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2C10E2">
      <w:pPr>
        <w:ind w:left="-1440" w:leftChars="-600" w:firstLine="1285" w:firstLineChars="400"/>
        <w:jc w:val="left"/>
        <w:rPr>
          <w:rFonts w:hint="eastAsia" w:asciiTheme="minorEastAsia" w:hAnsiTheme="minorEastAsia" w:eastAsiaTheme="minorEastAsia" w:cstheme="minorEastAsia"/>
          <w:b/>
          <w:bCs/>
          <w:color w:val="auto"/>
          <w:sz w:val="32"/>
          <w:szCs w:val="32"/>
          <w:highlight w:val="none"/>
          <w:shd w:val="clear"/>
          <w:lang w:val="en-US" w:eastAsia="zh-CN"/>
        </w:rPr>
      </w:pPr>
      <w:bookmarkStart w:id="0" w:name="_Toc12036"/>
      <w:bookmarkStart w:id="1" w:name="_Toc28377"/>
      <w:r>
        <w:rPr>
          <w:rFonts w:hint="eastAsia" w:asciiTheme="minorEastAsia" w:hAnsiTheme="minorEastAsia" w:eastAsiaTheme="minorEastAsia" w:cstheme="minorEastAsia"/>
          <w:b/>
          <w:bCs/>
          <w:color w:val="auto"/>
          <w:sz w:val="32"/>
          <w:szCs w:val="32"/>
          <w:highlight w:val="none"/>
        </w:rPr>
        <w:t>项目编号：</w:t>
      </w:r>
      <w:r>
        <w:rPr>
          <w:rFonts w:hint="eastAsia" w:asciiTheme="minorEastAsia" w:hAnsiTheme="minorEastAsia" w:eastAsiaTheme="minorEastAsia" w:cstheme="minorEastAsia"/>
          <w:b/>
          <w:bCs/>
          <w:color w:val="auto"/>
          <w:sz w:val="32"/>
          <w:szCs w:val="32"/>
          <w:highlight w:val="none"/>
          <w:shd w:val="clear"/>
          <w:lang w:eastAsia="zh-CN"/>
        </w:rPr>
        <w:t>ZJBJ-ZC-2026-001.1B1</w:t>
      </w:r>
    </w:p>
    <w:p w14:paraId="1EBB8E0E">
      <w:pPr>
        <w:ind w:left="0" w:leftChars="0" w:firstLine="0" w:firstLineChars="0"/>
        <w:jc w:val="center"/>
        <w:rPr>
          <w:rFonts w:hint="eastAsia" w:asciiTheme="minorEastAsia" w:hAnsiTheme="minorEastAsia" w:eastAsiaTheme="minorEastAsia" w:cstheme="minorEastAsia"/>
          <w:b/>
          <w:color w:val="auto"/>
          <w:sz w:val="44"/>
          <w:szCs w:val="44"/>
          <w:highlight w:val="none"/>
          <w:lang w:val="en-US" w:eastAsia="zh-CN"/>
        </w:rPr>
      </w:pPr>
    </w:p>
    <w:p w14:paraId="5AEBEC2C">
      <w:pPr>
        <w:ind w:left="0" w:leftChars="0" w:firstLine="0" w:firstLineChars="0"/>
        <w:jc w:val="center"/>
        <w:rPr>
          <w:rFonts w:hint="eastAsia" w:asciiTheme="minorEastAsia" w:hAnsiTheme="minorEastAsia" w:eastAsiaTheme="minorEastAsia" w:cstheme="minorEastAsia"/>
          <w:b/>
          <w:color w:val="auto"/>
          <w:sz w:val="52"/>
          <w:szCs w:val="52"/>
          <w:highlight w:val="none"/>
          <w:lang w:eastAsia="zh-CN"/>
        </w:rPr>
      </w:pPr>
    </w:p>
    <w:p w14:paraId="10E9F5A6">
      <w:pPr>
        <w:ind w:left="0" w:leftChars="0" w:firstLine="0" w:firstLineChars="0"/>
        <w:jc w:val="center"/>
        <w:rPr>
          <w:rFonts w:hint="eastAsia" w:asciiTheme="minorEastAsia" w:hAnsiTheme="minorEastAsia" w:eastAsiaTheme="minorEastAsia" w:cstheme="minorEastAsia"/>
          <w:b/>
          <w:color w:val="auto"/>
          <w:sz w:val="52"/>
          <w:szCs w:val="52"/>
          <w:highlight w:val="none"/>
          <w:lang w:eastAsia="zh-CN"/>
        </w:rPr>
      </w:pPr>
      <w:r>
        <w:rPr>
          <w:rFonts w:hint="eastAsia" w:asciiTheme="minorEastAsia" w:hAnsiTheme="minorEastAsia" w:eastAsiaTheme="minorEastAsia" w:cstheme="minorEastAsia"/>
          <w:b/>
          <w:color w:val="auto"/>
          <w:sz w:val="52"/>
          <w:szCs w:val="52"/>
          <w:highlight w:val="none"/>
          <w:lang w:eastAsia="zh-CN"/>
        </w:rPr>
        <w:t>大孔径CT维保服务（二次）</w:t>
      </w:r>
    </w:p>
    <w:p w14:paraId="4D10E4F4">
      <w:pPr>
        <w:ind w:left="0" w:leftChars="0" w:firstLine="0" w:firstLineChars="0"/>
        <w:jc w:val="center"/>
        <w:rPr>
          <w:rFonts w:hint="default" w:asciiTheme="minorEastAsia" w:hAnsiTheme="minorEastAsia" w:eastAsiaTheme="minorEastAsia" w:cstheme="minorEastAsia"/>
          <w:b/>
          <w:color w:val="auto"/>
          <w:sz w:val="40"/>
          <w:szCs w:val="40"/>
          <w:highlight w:val="none"/>
          <w:lang w:val="en-US" w:eastAsia="zh-CN"/>
        </w:rPr>
      </w:pPr>
    </w:p>
    <w:p w14:paraId="186BA49C">
      <w:pPr>
        <w:jc w:val="both"/>
        <w:rPr>
          <w:rFonts w:hint="eastAsia" w:asciiTheme="minorEastAsia" w:hAnsiTheme="minorEastAsia" w:eastAsiaTheme="minorEastAsia" w:cstheme="minorEastAsia"/>
          <w:b/>
          <w:color w:val="auto"/>
          <w:sz w:val="40"/>
          <w:szCs w:val="40"/>
          <w:highlight w:val="none"/>
        </w:rPr>
      </w:pPr>
    </w:p>
    <w:p w14:paraId="68C24A33">
      <w:pPr>
        <w:ind w:left="0" w:leftChars="0" w:firstLine="0" w:firstLineChars="0"/>
        <w:jc w:val="center"/>
        <w:rPr>
          <w:rFonts w:hint="eastAsia" w:asciiTheme="minorEastAsia" w:hAnsiTheme="minorEastAsia" w:eastAsiaTheme="minorEastAsia" w:cstheme="minorEastAsia"/>
          <w:b/>
          <w:color w:val="auto"/>
          <w:sz w:val="72"/>
          <w:szCs w:val="72"/>
          <w:highlight w:val="none"/>
          <w:lang w:eastAsia="zh-CN"/>
        </w:rPr>
      </w:pPr>
    </w:p>
    <w:p w14:paraId="605324C0">
      <w:pPr>
        <w:ind w:left="0" w:leftChars="0" w:firstLine="0" w:firstLineChars="0"/>
        <w:jc w:val="center"/>
        <w:rPr>
          <w:rFonts w:hint="eastAsia" w:asciiTheme="minorEastAsia" w:hAnsiTheme="minorEastAsia" w:eastAsiaTheme="minorEastAsia" w:cstheme="minorEastAsia"/>
          <w:b/>
          <w:color w:val="auto"/>
          <w:sz w:val="72"/>
          <w:szCs w:val="72"/>
          <w:highlight w:val="none"/>
          <w:lang w:eastAsia="zh-CN"/>
        </w:rPr>
      </w:pPr>
      <w:r>
        <w:rPr>
          <w:rFonts w:hint="eastAsia" w:asciiTheme="minorEastAsia" w:hAnsiTheme="minorEastAsia" w:eastAsiaTheme="minorEastAsia" w:cstheme="minorEastAsia"/>
          <w:b/>
          <w:color w:val="auto"/>
          <w:sz w:val="72"/>
          <w:szCs w:val="72"/>
          <w:highlight w:val="none"/>
          <w:lang w:eastAsia="zh-CN"/>
        </w:rPr>
        <w:t>竞争性磋商文件</w:t>
      </w:r>
    </w:p>
    <w:p w14:paraId="0A73BD01">
      <w:pPr>
        <w:ind w:left="0" w:leftChars="0" w:firstLine="0" w:firstLineChars="0"/>
        <w:jc w:val="center"/>
        <w:rPr>
          <w:rFonts w:hint="eastAsia" w:asciiTheme="minorEastAsia" w:hAnsiTheme="minorEastAsia" w:eastAsiaTheme="minorEastAsia" w:cstheme="minorEastAsia"/>
          <w:b/>
          <w:color w:val="auto"/>
          <w:sz w:val="28"/>
          <w:szCs w:val="28"/>
          <w:highlight w:val="none"/>
          <w:lang w:eastAsia="zh-CN"/>
        </w:rPr>
      </w:pPr>
      <w:r>
        <w:rPr>
          <w:rFonts w:hint="eastAsia" w:asciiTheme="minorEastAsia" w:hAnsiTheme="minorEastAsia" w:eastAsiaTheme="minorEastAsia" w:cstheme="minorEastAsia"/>
          <w:b/>
          <w:color w:val="auto"/>
          <w:sz w:val="28"/>
          <w:szCs w:val="28"/>
          <w:highlight w:val="none"/>
          <w:lang w:eastAsia="zh-CN"/>
        </w:rPr>
        <w:t>（</w:t>
      </w:r>
      <w:r>
        <w:rPr>
          <w:rFonts w:hint="eastAsia" w:asciiTheme="minorEastAsia" w:hAnsiTheme="minorEastAsia" w:eastAsiaTheme="minorEastAsia" w:cstheme="minorEastAsia"/>
          <w:b/>
          <w:color w:val="auto"/>
          <w:sz w:val="28"/>
          <w:szCs w:val="28"/>
          <w:highlight w:val="none"/>
          <w:lang w:val="en-US" w:eastAsia="zh-CN"/>
        </w:rPr>
        <w:t>专门面向中小企业采购</w:t>
      </w:r>
      <w:r>
        <w:rPr>
          <w:rFonts w:hint="eastAsia" w:asciiTheme="minorEastAsia" w:hAnsiTheme="minorEastAsia" w:eastAsiaTheme="minorEastAsia" w:cstheme="minorEastAsia"/>
          <w:b/>
          <w:color w:val="auto"/>
          <w:sz w:val="28"/>
          <w:szCs w:val="28"/>
          <w:highlight w:val="none"/>
          <w:lang w:eastAsia="zh-CN"/>
        </w:rPr>
        <w:t>）</w:t>
      </w:r>
    </w:p>
    <w:p w14:paraId="792CBAE6">
      <w:pPr>
        <w:spacing w:line="480" w:lineRule="auto"/>
        <w:jc w:val="center"/>
        <w:rPr>
          <w:rFonts w:hint="eastAsia" w:asciiTheme="minorEastAsia" w:hAnsiTheme="minorEastAsia" w:eastAsiaTheme="minorEastAsia" w:cstheme="minorEastAsia"/>
          <w:color w:val="auto"/>
          <w:sz w:val="36"/>
          <w:szCs w:val="36"/>
          <w:highlight w:val="none"/>
        </w:rPr>
      </w:pPr>
    </w:p>
    <w:p w14:paraId="6EB5145C">
      <w:pPr>
        <w:pStyle w:val="38"/>
        <w:rPr>
          <w:rFonts w:hint="eastAsia" w:asciiTheme="minorEastAsia" w:hAnsiTheme="minorEastAsia" w:eastAsiaTheme="minorEastAsia" w:cstheme="minorEastAsia"/>
          <w:color w:val="auto"/>
          <w:sz w:val="36"/>
          <w:szCs w:val="36"/>
          <w:highlight w:val="none"/>
        </w:rPr>
      </w:pPr>
    </w:p>
    <w:p w14:paraId="74782F69">
      <w:pPr>
        <w:pStyle w:val="38"/>
        <w:rPr>
          <w:rFonts w:hint="eastAsia" w:asciiTheme="minorEastAsia" w:hAnsiTheme="minorEastAsia" w:eastAsiaTheme="minorEastAsia" w:cstheme="minorEastAsia"/>
          <w:color w:val="auto"/>
          <w:sz w:val="36"/>
          <w:szCs w:val="36"/>
          <w:highlight w:val="none"/>
        </w:rPr>
      </w:pPr>
    </w:p>
    <w:p w14:paraId="51775775">
      <w:pPr>
        <w:pStyle w:val="38"/>
        <w:rPr>
          <w:rFonts w:hint="eastAsia" w:asciiTheme="minorEastAsia" w:hAnsiTheme="minorEastAsia" w:eastAsiaTheme="minorEastAsia" w:cstheme="minorEastAsia"/>
          <w:color w:val="auto"/>
          <w:sz w:val="36"/>
          <w:szCs w:val="36"/>
          <w:highlight w:val="none"/>
        </w:rPr>
      </w:pPr>
    </w:p>
    <w:p w14:paraId="09562751">
      <w:pPr>
        <w:keepNext w:val="0"/>
        <w:keepLines w:val="0"/>
        <w:pageBreakBefore w:val="0"/>
        <w:widowControl w:val="0"/>
        <w:tabs>
          <w:tab w:val="left" w:pos="5670"/>
        </w:tabs>
        <w:kinsoku/>
        <w:wordWrap/>
        <w:overflowPunct/>
        <w:topLinePunct w:val="0"/>
        <w:autoSpaceDE w:val="0"/>
        <w:autoSpaceDN w:val="0"/>
        <w:bidi w:val="0"/>
        <w:adjustRightInd w:val="0"/>
        <w:snapToGrid w:val="0"/>
        <w:spacing w:line="480" w:lineRule="auto"/>
        <w:ind w:left="0" w:leftChars="0" w:firstLine="0" w:firstLineChars="0"/>
        <w:jc w:val="center"/>
        <w:textAlignment w:val="auto"/>
        <w:rPr>
          <w:rFonts w:hint="eastAsia" w:asciiTheme="minorEastAsia" w:hAnsiTheme="minorEastAsia" w:eastAsiaTheme="minorEastAsia" w:cstheme="minorEastAsia"/>
          <w:b/>
          <w:color w:val="auto"/>
          <w:sz w:val="32"/>
          <w:szCs w:val="32"/>
          <w:highlight w:val="none"/>
          <w:lang w:val="en-US"/>
        </w:rPr>
      </w:pPr>
      <w:r>
        <w:rPr>
          <w:rFonts w:hint="eastAsia" w:asciiTheme="minorEastAsia" w:hAnsiTheme="minorEastAsia" w:eastAsiaTheme="minorEastAsia" w:cstheme="minorEastAsia"/>
          <w:b/>
          <w:color w:val="auto"/>
          <w:sz w:val="32"/>
          <w:szCs w:val="32"/>
          <w:highlight w:val="none"/>
          <w:lang w:val="en-US" w:eastAsia="zh-CN"/>
        </w:rPr>
        <w:t>采 购 人：宝鸡市人民医院</w:t>
      </w:r>
    </w:p>
    <w:p w14:paraId="4C581AAC">
      <w:pPr>
        <w:keepNext w:val="0"/>
        <w:keepLines w:val="0"/>
        <w:pageBreakBefore w:val="0"/>
        <w:widowControl w:val="0"/>
        <w:tabs>
          <w:tab w:val="left" w:pos="5670"/>
        </w:tabs>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eastAsia" w:asciiTheme="minorEastAsia" w:hAnsiTheme="minorEastAsia" w:eastAsiaTheme="minorEastAsia" w:cstheme="minorEastAsia"/>
          <w:b/>
          <w:color w:val="auto"/>
          <w:sz w:val="32"/>
          <w:szCs w:val="32"/>
          <w:highlight w:val="none"/>
          <w:lang w:val="zh-CN" w:eastAsia="zh-CN"/>
        </w:rPr>
      </w:pPr>
      <w:r>
        <w:rPr>
          <w:rFonts w:hint="eastAsia" w:asciiTheme="minorEastAsia" w:hAnsiTheme="minorEastAsia" w:eastAsiaTheme="minorEastAsia" w:cstheme="minorEastAsia"/>
          <w:b/>
          <w:color w:val="auto"/>
          <w:sz w:val="32"/>
          <w:szCs w:val="32"/>
          <w:highlight w:val="none"/>
          <w:lang w:val="en-US" w:eastAsia="zh-CN"/>
        </w:rPr>
        <w:t xml:space="preserve"> </w:t>
      </w:r>
      <w:r>
        <w:rPr>
          <w:rFonts w:hint="eastAsia" w:asciiTheme="minorEastAsia" w:hAnsiTheme="minorEastAsia" w:eastAsiaTheme="minorEastAsia" w:cstheme="minorEastAsia"/>
          <w:b/>
          <w:color w:val="auto"/>
          <w:sz w:val="32"/>
          <w:szCs w:val="32"/>
          <w:highlight w:val="none"/>
          <w:lang w:val="zh-CN"/>
        </w:rPr>
        <w:t>代理机构：</w:t>
      </w:r>
      <w:r>
        <w:rPr>
          <w:rFonts w:hint="eastAsia" w:asciiTheme="minorEastAsia" w:hAnsiTheme="minorEastAsia" w:eastAsiaTheme="minorEastAsia" w:cstheme="minorEastAsia"/>
          <w:b/>
          <w:color w:val="auto"/>
          <w:sz w:val="32"/>
          <w:szCs w:val="32"/>
          <w:highlight w:val="none"/>
          <w:lang w:eastAsia="zh-CN"/>
        </w:rPr>
        <w:t>致君项目管理有限公司</w:t>
      </w:r>
    </w:p>
    <w:p w14:paraId="4496932F">
      <w:pPr>
        <w:spacing w:line="480" w:lineRule="exact"/>
        <w:ind w:left="0" w:leftChars="0" w:firstLine="0" w:firstLineChars="0"/>
        <w:jc w:val="center"/>
        <w:rPr>
          <w:rFonts w:hint="eastAsia" w:asciiTheme="minorEastAsia" w:hAnsiTheme="minorEastAsia" w:eastAsiaTheme="minorEastAsia" w:cstheme="minorEastAsia"/>
          <w:b/>
          <w:bCs/>
          <w:color w:val="auto"/>
          <w:sz w:val="32"/>
          <w:szCs w:val="32"/>
          <w:highlight w:val="none"/>
          <w:lang w:val="zh-CN"/>
        </w:rPr>
      </w:pPr>
    </w:p>
    <w:p w14:paraId="0167B8F4">
      <w:pPr>
        <w:spacing w:line="480" w:lineRule="exact"/>
        <w:ind w:left="0" w:leftChars="0" w:firstLine="0" w:firstLineChars="0"/>
        <w:jc w:val="center"/>
        <w:rPr>
          <w:rFonts w:hint="eastAsia" w:asciiTheme="minorEastAsia" w:hAnsiTheme="minorEastAsia" w:eastAsiaTheme="minorEastAsia" w:cstheme="minorEastAsia"/>
          <w:b/>
          <w:bCs/>
          <w:color w:val="auto"/>
          <w:sz w:val="32"/>
          <w:szCs w:val="32"/>
          <w:highlight w:val="none"/>
          <w:lang w:val="zh-CN"/>
        </w:rPr>
      </w:pPr>
      <w:r>
        <w:rPr>
          <w:rFonts w:hint="eastAsia" w:asciiTheme="minorEastAsia" w:hAnsiTheme="minorEastAsia" w:eastAsiaTheme="minorEastAsia" w:cstheme="minorEastAsia"/>
          <w:b/>
          <w:bCs/>
          <w:color w:val="auto"/>
          <w:sz w:val="32"/>
          <w:szCs w:val="32"/>
          <w:highlight w:val="none"/>
          <w:lang w:val="zh-CN"/>
        </w:rPr>
        <w:t>二〇</w:t>
      </w:r>
      <w:r>
        <w:rPr>
          <w:rFonts w:hint="eastAsia" w:asciiTheme="minorEastAsia" w:hAnsiTheme="minorEastAsia" w:eastAsiaTheme="minorEastAsia" w:cstheme="minorEastAsia"/>
          <w:b/>
          <w:bCs/>
          <w:color w:val="auto"/>
          <w:sz w:val="32"/>
          <w:szCs w:val="32"/>
          <w:highlight w:val="none"/>
          <w:lang w:val="en-US" w:eastAsia="zh-CN"/>
        </w:rPr>
        <w:t>二六</w:t>
      </w:r>
      <w:r>
        <w:rPr>
          <w:rFonts w:hint="eastAsia" w:asciiTheme="minorEastAsia" w:hAnsiTheme="minorEastAsia" w:eastAsiaTheme="minorEastAsia" w:cstheme="minorEastAsia"/>
          <w:b/>
          <w:bCs/>
          <w:color w:val="auto"/>
          <w:sz w:val="32"/>
          <w:szCs w:val="32"/>
          <w:highlight w:val="none"/>
          <w:lang w:val="zh-CN"/>
        </w:rPr>
        <w:t>年</w:t>
      </w:r>
      <w:r>
        <w:rPr>
          <w:rFonts w:hint="eastAsia" w:asciiTheme="minorEastAsia" w:hAnsiTheme="minorEastAsia" w:eastAsiaTheme="minorEastAsia" w:cstheme="minorEastAsia"/>
          <w:b/>
          <w:bCs/>
          <w:color w:val="auto"/>
          <w:sz w:val="32"/>
          <w:szCs w:val="32"/>
          <w:highlight w:val="none"/>
          <w:lang w:val="en-US" w:eastAsia="zh-CN"/>
        </w:rPr>
        <w:t>五</w:t>
      </w:r>
      <w:r>
        <w:rPr>
          <w:rFonts w:hint="eastAsia" w:asciiTheme="minorEastAsia" w:hAnsiTheme="minorEastAsia" w:eastAsiaTheme="minorEastAsia" w:cstheme="minorEastAsia"/>
          <w:b/>
          <w:bCs/>
          <w:color w:val="auto"/>
          <w:sz w:val="32"/>
          <w:szCs w:val="32"/>
          <w:highlight w:val="none"/>
          <w:lang w:val="zh-CN"/>
        </w:rPr>
        <w:t>月</w:t>
      </w:r>
    </w:p>
    <w:p w14:paraId="141580EE">
      <w:pPr>
        <w:spacing w:line="480" w:lineRule="exact"/>
        <w:ind w:left="0" w:leftChars="0" w:firstLine="0" w:firstLineChars="0"/>
        <w:jc w:val="center"/>
        <w:rPr>
          <w:rFonts w:hint="eastAsia" w:ascii="宋体" w:hAnsi="宋体" w:eastAsia="宋体" w:cs="宋体"/>
          <w:b/>
          <w:bCs/>
          <w:color w:val="auto"/>
          <w:sz w:val="32"/>
          <w:szCs w:val="32"/>
          <w:highlight w:val="none"/>
          <w:lang w:val="zh-CN"/>
        </w:rPr>
      </w:pPr>
    </w:p>
    <w:p w14:paraId="4B2598F7">
      <w:pPr>
        <w:pStyle w:val="7"/>
        <w:jc w:val="center"/>
        <w:rPr>
          <w:rFonts w:hint="eastAsia" w:ascii="宋体" w:hAnsi="宋体" w:eastAsia="宋体" w:cs="宋体"/>
          <w:color w:val="auto"/>
          <w:highlight w:val="none"/>
          <w:lang w:val="zh-CN"/>
        </w:rPr>
      </w:pPr>
    </w:p>
    <w:p w14:paraId="12FA884B">
      <w:pPr>
        <w:pStyle w:val="39"/>
        <w:jc w:val="center"/>
        <w:rPr>
          <w:rFonts w:hint="eastAsia" w:ascii="宋体" w:hAnsi="宋体" w:eastAsia="宋体" w:cs="宋体"/>
          <w:color w:val="auto"/>
          <w:sz w:val="48"/>
          <w:szCs w:val="48"/>
          <w:highlight w:val="none"/>
          <w:lang w:val="zh-CN"/>
        </w:rPr>
        <w:sectPr>
          <w:headerReference r:id="rId7" w:type="first"/>
          <w:headerReference r:id="rId5" w:type="default"/>
          <w:footerReference r:id="rId8" w:type="default"/>
          <w:headerReference r:id="rId6" w:type="even"/>
          <w:footerReference r:id="rId9" w:type="even"/>
          <w:pgSz w:w="11906" w:h="16838"/>
          <w:pgMar w:top="1440" w:right="1463" w:bottom="1440" w:left="1576" w:header="851" w:footer="992" w:gutter="567"/>
          <w:pgNumType w:fmt="decimal" w:start="1"/>
          <w:cols w:space="720" w:num="1"/>
          <w:titlePg/>
          <w:docGrid w:type="lines" w:linePitch="312" w:charSpace="0"/>
        </w:sectPr>
      </w:pPr>
    </w:p>
    <w:p w14:paraId="225C3795">
      <w:pPr>
        <w:pStyle w:val="40"/>
        <w:jc w:val="center"/>
        <w:rPr>
          <w:rFonts w:hint="eastAsia" w:ascii="宋体" w:hAnsi="宋体" w:eastAsia="宋体" w:cs="宋体"/>
          <w:color w:val="auto"/>
          <w:highlight w:val="none"/>
          <w:lang w:val="zh-CN"/>
        </w:rPr>
      </w:pPr>
      <w:r>
        <w:rPr>
          <w:rFonts w:hint="eastAsia" w:ascii="宋体" w:hAnsi="宋体" w:eastAsia="宋体" w:cs="宋体"/>
          <w:color w:val="auto"/>
          <w:sz w:val="48"/>
          <w:szCs w:val="48"/>
          <w:highlight w:val="none"/>
          <w:lang w:val="zh-CN"/>
        </w:rPr>
        <w:t>目  录</w:t>
      </w:r>
      <w:bookmarkEnd w:id="0"/>
      <w:bookmarkEnd w:id="1"/>
    </w:p>
    <w:p w14:paraId="0912BAA8">
      <w:pPr>
        <w:pStyle w:val="13"/>
        <w:tabs>
          <w:tab w:val="right" w:leader="dot" w:pos="8306"/>
        </w:tabs>
        <w:spacing w:line="480" w:lineRule="auto"/>
        <w:rPr>
          <w:rFonts w:hint="eastAsia" w:ascii="宋体" w:hAnsi="宋体" w:eastAsia="宋体" w:cs="宋体"/>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\h \z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_Toc12964 </w:instrText>
      </w:r>
      <w:r>
        <w:rPr>
          <w:rFonts w:hint="eastAsia" w:ascii="宋体" w:hAnsi="宋体" w:eastAsia="宋体" w:cs="宋体"/>
          <w:bCs/>
          <w:szCs w:val="24"/>
          <w:highlight w:val="none"/>
        </w:rPr>
        <w:fldChar w:fldCharType="separate"/>
      </w:r>
      <w:r>
        <w:rPr>
          <w:rFonts w:hint="eastAsia" w:ascii="宋体" w:hAnsi="宋体" w:eastAsia="宋体" w:cs="宋体"/>
        </w:rPr>
        <w:t>第一章  竞争性磋商</w:t>
      </w:r>
      <w:r>
        <w:rPr>
          <w:rFonts w:hint="eastAsia" w:ascii="宋体" w:hAnsi="宋体" w:eastAsia="宋体" w:cs="宋体"/>
          <w:lang w:eastAsia="zh-CN"/>
        </w:rPr>
        <w:t>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_Toc12964 \h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p>
    <w:p w14:paraId="4F52EB45">
      <w:pPr>
        <w:pStyle w:val="13"/>
        <w:tabs>
          <w:tab w:val="right" w:leader="dot" w:pos="8306"/>
        </w:tabs>
        <w:spacing w:line="480" w:lineRule="auto"/>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_Toc17319 </w:instrText>
      </w:r>
      <w:r>
        <w:rPr>
          <w:rFonts w:hint="eastAsia" w:ascii="宋体" w:hAnsi="宋体" w:eastAsia="宋体" w:cs="宋体"/>
          <w:bCs/>
          <w:szCs w:val="24"/>
          <w:highlight w:val="none"/>
        </w:rPr>
        <w:fldChar w:fldCharType="separate"/>
      </w:r>
      <w:r>
        <w:rPr>
          <w:rFonts w:hint="eastAsia" w:ascii="宋体" w:hAnsi="宋体" w:eastAsia="宋体" w:cs="宋体"/>
        </w:rPr>
        <w:t xml:space="preserve">第二章 </w:t>
      </w:r>
      <w:r>
        <w:rPr>
          <w:rFonts w:hint="eastAsia" w:ascii="宋体" w:hAnsi="宋体" w:eastAsia="宋体" w:cs="宋体"/>
          <w:lang w:val="en-US" w:eastAsia="zh-CN"/>
        </w:rPr>
        <w:t xml:space="preserve"> </w:t>
      </w:r>
      <w:r>
        <w:rPr>
          <w:rFonts w:hint="eastAsia" w:ascii="宋体" w:hAnsi="宋体" w:eastAsia="宋体" w:cs="宋体"/>
        </w:rPr>
        <w:t>供应商须知</w:t>
      </w:r>
      <w:r>
        <w:rPr>
          <w:rFonts w:hint="eastAsia" w:ascii="宋体" w:hAnsi="宋体" w:eastAsia="宋体" w:cs="宋体"/>
        </w:rPr>
        <w:tab/>
      </w:r>
      <w:r>
        <w:rPr>
          <w:rFonts w:hint="eastAsia" w:cs="宋体"/>
          <w:lang w:val="en-US" w:eastAsia="zh-CN"/>
        </w:rPr>
        <w:t>6</w:t>
      </w:r>
      <w:r>
        <w:rPr>
          <w:rFonts w:hint="eastAsia" w:ascii="宋体" w:hAnsi="宋体" w:eastAsia="宋体" w:cs="宋体"/>
          <w:bCs/>
          <w:color w:val="auto"/>
          <w:szCs w:val="24"/>
          <w:highlight w:val="none"/>
        </w:rPr>
        <w:fldChar w:fldCharType="end"/>
      </w:r>
    </w:p>
    <w:p w14:paraId="4C72D5C9">
      <w:pPr>
        <w:pStyle w:val="13"/>
        <w:tabs>
          <w:tab w:val="right" w:leader="dot" w:pos="8306"/>
        </w:tabs>
        <w:spacing w:line="480" w:lineRule="auto"/>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_Toc2157 </w:instrText>
      </w:r>
      <w:r>
        <w:rPr>
          <w:rFonts w:hint="eastAsia" w:ascii="宋体" w:hAnsi="宋体" w:eastAsia="宋体" w:cs="宋体"/>
          <w:bCs/>
          <w:szCs w:val="24"/>
          <w:highlight w:val="none"/>
        </w:rPr>
        <w:fldChar w:fldCharType="separate"/>
      </w:r>
      <w:r>
        <w:rPr>
          <w:rFonts w:hint="eastAsia" w:ascii="宋体" w:hAnsi="宋体" w:eastAsia="宋体" w:cs="宋体"/>
          <w:kern w:val="0"/>
        </w:rPr>
        <w:t>第三章</w:t>
      </w:r>
      <w:r>
        <w:rPr>
          <w:rFonts w:hint="eastAsia" w:ascii="宋体" w:hAnsi="宋体" w:eastAsia="宋体" w:cs="宋体"/>
          <w:kern w:val="0"/>
          <w:lang w:val="en-US" w:eastAsia="zh-CN"/>
        </w:rPr>
        <w:t xml:space="preserve"> </w:t>
      </w:r>
      <w:r>
        <w:rPr>
          <w:rFonts w:hint="eastAsia" w:ascii="宋体" w:hAnsi="宋体" w:eastAsia="宋体" w:cs="宋体"/>
          <w:kern w:val="0"/>
        </w:rPr>
        <w:t xml:space="preserve"> </w:t>
      </w:r>
      <w:r>
        <w:rPr>
          <w:rFonts w:hint="eastAsia" w:ascii="宋体" w:hAnsi="宋体" w:eastAsia="宋体" w:cs="宋体"/>
          <w:kern w:val="0"/>
          <w:highlight w:val="none"/>
          <w:lang w:eastAsia="zh-CN"/>
        </w:rPr>
        <w:t>磋商评审办法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_Toc2157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p>
    <w:p w14:paraId="59D2D6C9">
      <w:pPr>
        <w:pStyle w:val="13"/>
        <w:tabs>
          <w:tab w:val="right" w:leader="dot" w:pos="8306"/>
        </w:tabs>
        <w:spacing w:line="480" w:lineRule="auto"/>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_Toc8732 </w:instrText>
      </w:r>
      <w:r>
        <w:rPr>
          <w:rFonts w:hint="eastAsia" w:ascii="宋体" w:hAnsi="宋体" w:eastAsia="宋体" w:cs="宋体"/>
          <w:bCs/>
          <w:szCs w:val="24"/>
          <w:highlight w:val="none"/>
        </w:rPr>
        <w:fldChar w:fldCharType="separate"/>
      </w:r>
      <w:r>
        <w:rPr>
          <w:rFonts w:hint="eastAsia" w:ascii="宋体" w:hAnsi="宋体" w:eastAsia="宋体" w:cs="宋体"/>
          <w:bCs/>
          <w:kern w:val="0"/>
          <w:szCs w:val="44"/>
          <w:highlight w:val="none"/>
          <w:lang w:val="en-US" w:eastAsia="zh-CN" w:bidi="ar-SA"/>
        </w:rPr>
        <w:t>第四章  采购内容及要求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_Toc8732 \h </w:instrText>
      </w:r>
      <w:r>
        <w:rPr>
          <w:rFonts w:hint="eastAsia" w:ascii="宋体" w:hAnsi="宋体" w:eastAsia="宋体" w:cs="宋体"/>
        </w:rPr>
        <w:fldChar w:fldCharType="separate"/>
      </w:r>
      <w:r>
        <w:rPr>
          <w:rFonts w:hint="eastAsia" w:ascii="宋体" w:hAnsi="宋体" w:eastAsia="宋体" w:cs="宋体"/>
        </w:rPr>
        <w:t>39</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p>
    <w:p w14:paraId="7D5D2941">
      <w:pPr>
        <w:pStyle w:val="13"/>
        <w:tabs>
          <w:tab w:val="right" w:leader="dot" w:pos="8306"/>
        </w:tabs>
        <w:spacing w:line="480" w:lineRule="auto"/>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_Toc21691 </w:instrText>
      </w:r>
      <w:r>
        <w:rPr>
          <w:rFonts w:hint="eastAsia" w:ascii="宋体" w:hAnsi="宋体" w:eastAsia="宋体" w:cs="宋体"/>
          <w:bCs/>
          <w:szCs w:val="24"/>
          <w:highlight w:val="none"/>
        </w:rPr>
        <w:fldChar w:fldCharType="separate"/>
      </w:r>
      <w:r>
        <w:rPr>
          <w:rFonts w:hint="eastAsia" w:ascii="宋体" w:hAnsi="宋体" w:eastAsia="宋体" w:cs="宋体"/>
          <w:bCs/>
          <w:kern w:val="0"/>
          <w:szCs w:val="44"/>
          <w:highlight w:val="none"/>
          <w:lang w:val="en-US" w:eastAsia="zh-CN" w:bidi="ar-SA"/>
        </w:rPr>
        <w:t>第五章  商务要求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_Toc21691 \h </w:instrText>
      </w:r>
      <w:r>
        <w:rPr>
          <w:rFonts w:hint="eastAsia" w:ascii="宋体" w:hAnsi="宋体" w:eastAsia="宋体" w:cs="宋体"/>
        </w:rPr>
        <w:fldChar w:fldCharType="separate"/>
      </w:r>
      <w:r>
        <w:rPr>
          <w:rFonts w:hint="eastAsia" w:ascii="宋体" w:hAnsi="宋体" w:eastAsia="宋体" w:cs="宋体"/>
        </w:rPr>
        <w:t>40</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p>
    <w:p w14:paraId="3ED75638">
      <w:pPr>
        <w:pStyle w:val="13"/>
        <w:tabs>
          <w:tab w:val="right" w:leader="dot" w:pos="8306"/>
        </w:tabs>
        <w:spacing w:line="480" w:lineRule="auto"/>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_Toc12101 </w:instrText>
      </w:r>
      <w:r>
        <w:rPr>
          <w:rFonts w:hint="eastAsia" w:ascii="宋体" w:hAnsi="宋体" w:eastAsia="宋体" w:cs="宋体"/>
          <w:bCs/>
          <w:szCs w:val="24"/>
          <w:highlight w:val="none"/>
        </w:rPr>
        <w:fldChar w:fldCharType="separate"/>
      </w:r>
      <w:r>
        <w:rPr>
          <w:rFonts w:hint="eastAsia" w:ascii="宋体" w:hAnsi="宋体" w:eastAsia="宋体" w:cs="宋体"/>
          <w:kern w:val="0"/>
          <w:highlight w:val="none"/>
        </w:rPr>
        <w:t>第</w:t>
      </w:r>
      <w:r>
        <w:rPr>
          <w:rFonts w:hint="eastAsia" w:ascii="宋体" w:hAnsi="宋体" w:eastAsia="宋体" w:cs="宋体"/>
          <w:kern w:val="0"/>
          <w:highlight w:val="none"/>
          <w:lang w:val="en-US" w:eastAsia="zh-CN"/>
        </w:rPr>
        <w:t>六</w:t>
      </w:r>
      <w:r>
        <w:rPr>
          <w:rFonts w:hint="eastAsia" w:ascii="宋体" w:hAnsi="宋体" w:eastAsia="宋体" w:cs="宋体"/>
          <w:kern w:val="0"/>
          <w:highlight w:val="none"/>
        </w:rPr>
        <w:t xml:space="preserve">章  </w:t>
      </w:r>
      <w:r>
        <w:rPr>
          <w:rFonts w:hint="eastAsia" w:cs="宋体"/>
          <w:kern w:val="0"/>
          <w:highlight w:val="none"/>
          <w:lang w:val="en-US" w:eastAsia="zh-CN"/>
        </w:rPr>
        <w:t>采购</w:t>
      </w:r>
      <w:r>
        <w:rPr>
          <w:rFonts w:hint="eastAsia" w:ascii="宋体" w:hAnsi="宋体" w:eastAsia="宋体" w:cs="宋体"/>
          <w:kern w:val="0"/>
          <w:highlight w:val="none"/>
        </w:rPr>
        <w:t>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_Toc12101 \h </w:instrText>
      </w:r>
      <w:r>
        <w:rPr>
          <w:rFonts w:hint="eastAsia" w:ascii="宋体" w:hAnsi="宋体" w:eastAsia="宋体" w:cs="宋体"/>
        </w:rPr>
        <w:fldChar w:fldCharType="separate"/>
      </w:r>
      <w:r>
        <w:rPr>
          <w:rFonts w:hint="eastAsia" w:ascii="宋体" w:hAnsi="宋体" w:eastAsia="宋体" w:cs="宋体"/>
        </w:rPr>
        <w:t>45</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p>
    <w:p w14:paraId="4C9CDAF4">
      <w:pPr>
        <w:pStyle w:val="13"/>
        <w:tabs>
          <w:tab w:val="right" w:leader="dot" w:pos="8306"/>
        </w:tabs>
        <w:spacing w:line="480" w:lineRule="auto"/>
        <w:rPr>
          <w:rFonts w:hint="eastAsia" w:ascii="宋体" w:hAnsi="宋体" w:eastAsia="宋体" w:cs="宋体"/>
        </w:rPr>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_Toc13347 </w:instrText>
      </w:r>
      <w:r>
        <w:rPr>
          <w:rFonts w:hint="eastAsia" w:ascii="宋体" w:hAnsi="宋体" w:eastAsia="宋体" w:cs="宋体"/>
          <w:bCs/>
          <w:szCs w:val="24"/>
          <w:highlight w:val="none"/>
        </w:rPr>
        <w:fldChar w:fldCharType="separate"/>
      </w:r>
      <w:r>
        <w:rPr>
          <w:rFonts w:hint="eastAsia" w:ascii="宋体" w:hAnsi="宋体" w:eastAsia="宋体" w:cs="宋体"/>
          <w:kern w:val="0"/>
          <w:highlight w:val="none"/>
        </w:rPr>
        <w:t>第</w:t>
      </w:r>
      <w:r>
        <w:rPr>
          <w:rFonts w:hint="eastAsia" w:ascii="宋体" w:hAnsi="宋体" w:eastAsia="宋体" w:cs="宋体"/>
          <w:kern w:val="0"/>
          <w:highlight w:val="none"/>
          <w:lang w:val="en-US" w:eastAsia="zh-CN"/>
        </w:rPr>
        <w:t>七</w:t>
      </w:r>
      <w:r>
        <w:rPr>
          <w:rFonts w:hint="eastAsia" w:ascii="宋体" w:hAnsi="宋体" w:eastAsia="宋体" w:cs="宋体"/>
          <w:kern w:val="0"/>
          <w:highlight w:val="none"/>
        </w:rPr>
        <w:t>章  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_Toc13347 \h </w:instrText>
      </w:r>
      <w:r>
        <w:rPr>
          <w:rFonts w:hint="eastAsia" w:ascii="宋体" w:hAnsi="宋体" w:eastAsia="宋体" w:cs="宋体"/>
        </w:rPr>
        <w:fldChar w:fldCharType="separate"/>
      </w:r>
      <w:r>
        <w:rPr>
          <w:rFonts w:hint="eastAsia" w:ascii="宋体" w:hAnsi="宋体" w:eastAsia="宋体" w:cs="宋体"/>
        </w:rPr>
        <w:t>53</w:t>
      </w:r>
      <w:r>
        <w:rPr>
          <w:rFonts w:hint="eastAsia" w:ascii="宋体" w:hAnsi="宋体" w:eastAsia="宋体" w:cs="宋体"/>
        </w:rPr>
        <w:fldChar w:fldCharType="end"/>
      </w:r>
      <w:r>
        <w:rPr>
          <w:rFonts w:hint="eastAsia" w:ascii="宋体" w:hAnsi="宋体" w:eastAsia="宋体" w:cs="宋体"/>
          <w:bCs/>
          <w:color w:val="auto"/>
          <w:szCs w:val="24"/>
          <w:highlight w:val="none"/>
        </w:rPr>
        <w:fldChar w:fldCharType="end"/>
      </w:r>
    </w:p>
    <w:p w14:paraId="09940B0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highlight w:val="none"/>
        </w:rPr>
      </w:pPr>
      <w:r>
        <w:rPr>
          <w:rFonts w:hint="eastAsia" w:ascii="宋体" w:hAnsi="宋体" w:eastAsia="宋体" w:cs="宋体"/>
          <w:bCs/>
          <w:color w:val="auto"/>
          <w:szCs w:val="24"/>
          <w:highlight w:val="none"/>
        </w:rPr>
        <w:fldChar w:fldCharType="end"/>
      </w:r>
    </w:p>
    <w:p w14:paraId="3AC9AFC8">
      <w:pPr>
        <w:spacing w:line="480" w:lineRule="exact"/>
        <w:rPr>
          <w:rFonts w:hint="eastAsia" w:ascii="宋体" w:hAnsi="宋体" w:eastAsia="宋体" w:cs="宋体"/>
          <w:b/>
          <w:color w:val="auto"/>
          <w:sz w:val="24"/>
          <w:highlight w:val="none"/>
        </w:rPr>
      </w:pPr>
    </w:p>
    <w:p w14:paraId="4C7EE299">
      <w:pPr>
        <w:spacing w:after="120" w:afterLines="50"/>
        <w:jc w:val="center"/>
        <w:rPr>
          <w:rFonts w:hint="eastAsia" w:ascii="宋体" w:hAnsi="宋体" w:eastAsia="宋体" w:cs="宋体"/>
          <w:b/>
          <w:bCs/>
          <w:color w:val="auto"/>
          <w:sz w:val="32"/>
          <w:szCs w:val="32"/>
          <w:highlight w:val="none"/>
        </w:rPr>
        <w:sectPr>
          <w:headerReference r:id="rId11" w:type="first"/>
          <w:footerReference r:id="rId13" w:type="first"/>
          <w:headerReference r:id="rId10" w:type="default"/>
          <w:footerReference r:id="rId12" w:type="default"/>
          <w:pgSz w:w="11906" w:h="16838"/>
          <w:pgMar w:top="1440" w:right="1800" w:bottom="1440" w:left="1800" w:header="851" w:footer="992" w:gutter="0"/>
          <w:pgNumType w:fmt="decimal" w:start="1"/>
          <w:cols w:space="720" w:num="1"/>
          <w:titlePg/>
          <w:rtlGutter w:val="0"/>
          <w:docGrid w:type="lines" w:linePitch="312" w:charSpace="0"/>
        </w:sectPr>
      </w:pPr>
    </w:p>
    <w:p w14:paraId="4FBC3C7B">
      <w:pPr>
        <w:spacing w:after="120" w:afterLines="50"/>
        <w:jc w:val="center"/>
        <w:rPr>
          <w:rFonts w:hint="eastAsia" w:ascii="宋体" w:hAnsi="宋体" w:eastAsia="宋体" w:cs="宋体"/>
          <w:color w:val="auto"/>
          <w:highlight w:val="none"/>
          <w:lang w:eastAsia="zh-CN"/>
        </w:rPr>
      </w:pPr>
      <w:r>
        <w:rPr>
          <w:rFonts w:hint="eastAsia" w:ascii="宋体" w:hAnsi="宋体" w:eastAsia="宋体" w:cs="宋体"/>
          <w:b/>
          <w:bCs/>
          <w:color w:val="auto"/>
          <w:sz w:val="32"/>
          <w:szCs w:val="32"/>
          <w:highlight w:val="none"/>
        </w:rPr>
        <w:t>特别提示</w:t>
      </w:r>
    </w:p>
    <w:p w14:paraId="16746638">
      <w:pPr>
        <w:spacing w:line="560" w:lineRule="exact"/>
        <w:ind w:firstLine="482" w:firstLineChars="200"/>
        <w:rPr>
          <w:rFonts w:hint="eastAsia" w:ascii="宋体" w:hAnsi="宋体" w:eastAsia="宋体" w:cs="宋体"/>
          <w:b/>
          <w:bCs/>
          <w:snapToGrid w:val="0"/>
          <w:sz w:val="24"/>
          <w:szCs w:val="24"/>
        </w:rPr>
      </w:pPr>
      <w:r>
        <w:rPr>
          <w:rFonts w:hint="eastAsia" w:ascii="宋体" w:hAnsi="宋体" w:eastAsia="宋体" w:cs="宋体"/>
          <w:b/>
          <w:bCs/>
          <w:snapToGrid w:val="0"/>
          <w:sz w:val="24"/>
          <w:szCs w:val="24"/>
        </w:rPr>
        <w:t>1、本项目采用电子化投标的方式投标，投标人须使用数字认证证书（CA锁）对电子</w:t>
      </w:r>
      <w:r>
        <w:rPr>
          <w:rFonts w:hint="eastAsia" w:ascii="宋体" w:hAnsi="宋体" w:eastAsia="宋体" w:cs="宋体"/>
          <w:b/>
          <w:bCs/>
          <w:snapToGrid w:val="0"/>
          <w:sz w:val="24"/>
          <w:szCs w:val="24"/>
          <w:lang w:eastAsia="zh-CN"/>
        </w:rPr>
        <w:t>响应文件</w:t>
      </w:r>
      <w:r>
        <w:rPr>
          <w:rFonts w:hint="eastAsia" w:ascii="宋体" w:hAnsi="宋体" w:eastAsia="宋体" w:cs="宋体"/>
          <w:b/>
          <w:bCs/>
          <w:snapToGrid w:val="0"/>
          <w:sz w:val="24"/>
          <w:szCs w:val="24"/>
        </w:rPr>
        <w:t>进行签章（文件要求签字处可使用法人签章锁手写签名）、加密、递交及开标时解密等相关招投标事宜。</w:t>
      </w:r>
    </w:p>
    <w:p w14:paraId="5D83E6CD">
      <w:pPr>
        <w:spacing w:line="560" w:lineRule="exact"/>
        <w:ind w:firstLine="482" w:firstLineChars="200"/>
        <w:rPr>
          <w:rFonts w:hint="eastAsia" w:ascii="宋体" w:hAnsi="宋体" w:eastAsia="宋体" w:cs="宋体"/>
          <w:b/>
          <w:bCs/>
          <w:snapToGrid w:val="0"/>
          <w:sz w:val="24"/>
          <w:szCs w:val="24"/>
          <w:lang w:eastAsia="zh-CN"/>
        </w:rPr>
      </w:pPr>
      <w:r>
        <w:rPr>
          <w:rFonts w:hint="eastAsia" w:ascii="宋体" w:hAnsi="宋体" w:eastAsia="宋体" w:cs="宋体"/>
          <w:b/>
          <w:bCs/>
          <w:snapToGrid w:val="0"/>
          <w:sz w:val="24"/>
          <w:szCs w:val="24"/>
          <w:lang w:val="en-US" w:eastAsia="zh-CN"/>
        </w:rPr>
        <w:t>2</w:t>
      </w:r>
      <w:r>
        <w:rPr>
          <w:rFonts w:hint="eastAsia" w:ascii="宋体" w:hAnsi="宋体" w:eastAsia="宋体" w:cs="宋体"/>
          <w:b/>
          <w:bCs/>
          <w:snapToGrid w:val="0"/>
          <w:sz w:val="24"/>
          <w:szCs w:val="24"/>
        </w:rPr>
        <w:t>、制作电子</w:t>
      </w:r>
      <w:r>
        <w:rPr>
          <w:rFonts w:hint="eastAsia" w:ascii="宋体" w:hAnsi="宋体" w:eastAsia="宋体" w:cs="宋体"/>
          <w:b/>
          <w:bCs/>
          <w:snapToGrid w:val="0"/>
          <w:sz w:val="24"/>
          <w:szCs w:val="24"/>
          <w:lang w:eastAsia="zh-CN"/>
        </w:rPr>
        <w:t>响应文件</w:t>
      </w:r>
    </w:p>
    <w:p w14:paraId="6235A0DD">
      <w:pPr>
        <w:spacing w:line="560" w:lineRule="exact"/>
        <w:ind w:firstLine="482" w:firstLineChars="200"/>
        <w:rPr>
          <w:rFonts w:hint="eastAsia" w:ascii="宋体" w:hAnsi="宋体" w:eastAsia="宋体" w:cs="宋体"/>
          <w:b/>
          <w:bCs/>
          <w:snapToGrid w:val="0"/>
          <w:sz w:val="24"/>
          <w:szCs w:val="24"/>
        </w:rPr>
      </w:pPr>
      <w:r>
        <w:rPr>
          <w:rFonts w:hint="eastAsia" w:ascii="宋体" w:hAnsi="宋体" w:eastAsia="宋体" w:cs="宋体"/>
          <w:b/>
          <w:bCs/>
          <w:snapToGrid w:val="0"/>
          <w:sz w:val="24"/>
          <w:szCs w:val="24"/>
        </w:rPr>
        <w:t>投标供应商须在“全国公共资源交易中心平台（陕西省）（</w:t>
      </w:r>
      <w:r>
        <w:rPr>
          <w:rFonts w:hint="eastAsia" w:cs="宋体"/>
          <w:b/>
          <w:bCs/>
          <w:snapToGrid w:val="0"/>
          <w:sz w:val="24"/>
          <w:szCs w:val="24"/>
          <w:lang w:eastAsia="zh-CN"/>
        </w:rPr>
        <w:t>http://ggzy.baoji.gov.cn/</w:t>
      </w:r>
      <w:r>
        <w:rPr>
          <w:rFonts w:hint="eastAsia" w:ascii="宋体" w:hAnsi="宋体" w:eastAsia="宋体" w:cs="宋体"/>
          <w:b/>
          <w:bCs/>
          <w:snapToGrid w:val="0"/>
          <w:sz w:val="24"/>
          <w:szCs w:val="24"/>
        </w:rPr>
        <w:t>）”的“服务指南”栏目“下载专区”中，免费下载“陕西省公共资源交易平台政府采购电子标书制作工具(V8.0.0.2)”，并升级至最新版本，使用该客户端制作电子</w:t>
      </w:r>
      <w:r>
        <w:rPr>
          <w:rFonts w:hint="eastAsia" w:ascii="宋体" w:hAnsi="宋体" w:eastAsia="宋体" w:cs="宋体"/>
          <w:b/>
          <w:bCs/>
          <w:snapToGrid w:val="0"/>
          <w:sz w:val="24"/>
          <w:szCs w:val="24"/>
          <w:lang w:eastAsia="zh-CN"/>
        </w:rPr>
        <w:t>响应文件</w:t>
      </w:r>
      <w:r>
        <w:rPr>
          <w:rFonts w:hint="eastAsia" w:ascii="宋体" w:hAnsi="宋体" w:eastAsia="宋体" w:cs="宋体"/>
          <w:b/>
          <w:bCs/>
          <w:snapToGrid w:val="0"/>
          <w:sz w:val="24"/>
          <w:szCs w:val="24"/>
        </w:rPr>
        <w:t>，制作扩展名为“.SXSTF”的电子</w:t>
      </w:r>
      <w:r>
        <w:rPr>
          <w:rFonts w:hint="eastAsia" w:ascii="宋体" w:hAnsi="宋体" w:eastAsia="宋体" w:cs="宋体"/>
          <w:b/>
          <w:bCs/>
          <w:snapToGrid w:val="0"/>
          <w:sz w:val="24"/>
          <w:szCs w:val="24"/>
          <w:lang w:eastAsia="zh-CN"/>
        </w:rPr>
        <w:t>响应文件</w:t>
      </w:r>
      <w:r>
        <w:rPr>
          <w:rFonts w:hint="eastAsia" w:ascii="宋体" w:hAnsi="宋体" w:eastAsia="宋体" w:cs="宋体"/>
          <w:b/>
          <w:bCs/>
          <w:snapToGrid w:val="0"/>
          <w:sz w:val="24"/>
          <w:szCs w:val="24"/>
        </w:rPr>
        <w:t>。”</w:t>
      </w:r>
    </w:p>
    <w:p w14:paraId="269945EA">
      <w:pPr>
        <w:spacing w:line="560" w:lineRule="exact"/>
        <w:ind w:firstLine="482" w:firstLineChars="200"/>
        <w:rPr>
          <w:rFonts w:hint="eastAsia" w:ascii="宋体" w:hAnsi="宋体" w:eastAsia="宋体" w:cs="宋体"/>
          <w:b/>
          <w:bCs/>
          <w:snapToGrid w:val="0"/>
          <w:sz w:val="24"/>
          <w:szCs w:val="24"/>
          <w:lang w:eastAsia="zh-CN"/>
        </w:rPr>
      </w:pPr>
      <w:r>
        <w:rPr>
          <w:rFonts w:hint="eastAsia" w:ascii="宋体" w:hAnsi="宋体" w:eastAsia="宋体" w:cs="宋体"/>
          <w:b/>
          <w:bCs/>
          <w:snapToGrid w:val="0"/>
          <w:sz w:val="24"/>
          <w:szCs w:val="24"/>
          <w:lang w:val="en-US" w:eastAsia="zh-CN"/>
        </w:rPr>
        <w:t>3</w:t>
      </w:r>
      <w:r>
        <w:rPr>
          <w:rFonts w:hint="eastAsia" w:ascii="宋体" w:hAnsi="宋体" w:eastAsia="宋体" w:cs="宋体"/>
          <w:b/>
          <w:bCs/>
          <w:snapToGrid w:val="0"/>
          <w:sz w:val="24"/>
          <w:szCs w:val="24"/>
        </w:rPr>
        <w:t>、递交电子</w:t>
      </w:r>
      <w:r>
        <w:rPr>
          <w:rFonts w:hint="eastAsia" w:ascii="宋体" w:hAnsi="宋体" w:eastAsia="宋体" w:cs="宋体"/>
          <w:b/>
          <w:bCs/>
          <w:snapToGrid w:val="0"/>
          <w:sz w:val="24"/>
          <w:szCs w:val="24"/>
          <w:lang w:eastAsia="zh-CN"/>
        </w:rPr>
        <w:t>响应文件</w:t>
      </w:r>
    </w:p>
    <w:p w14:paraId="362FA7B1">
      <w:pPr>
        <w:keepNext w:val="0"/>
        <w:keepLines w:val="0"/>
        <w:pageBreakBefore w:val="0"/>
        <w:widowControl w:val="0"/>
        <w:kinsoku/>
        <w:wordWrap/>
        <w:overflowPunct/>
        <w:topLinePunct w:val="0"/>
        <w:autoSpaceDE/>
        <w:autoSpaceDN/>
        <w:bidi w:val="0"/>
        <w:adjustRightInd/>
        <w:snapToGrid/>
        <w:spacing w:before="1" w:line="420" w:lineRule="exact"/>
        <w:ind w:left="10" w:firstLine="483"/>
        <w:textAlignment w:val="auto"/>
        <w:rPr>
          <w:rFonts w:hint="eastAsia" w:ascii="宋体" w:hAnsi="宋体" w:eastAsia="宋体" w:cs="宋体"/>
          <w:color w:val="auto"/>
          <w:spacing w:val="8"/>
          <w:sz w:val="24"/>
          <w:szCs w:val="24"/>
          <w:highlight w:val="none"/>
        </w:rPr>
      </w:pPr>
      <w:r>
        <w:rPr>
          <w:rFonts w:hint="eastAsia" w:ascii="宋体" w:hAnsi="宋体" w:eastAsia="宋体" w:cs="宋体"/>
          <w:b/>
          <w:bCs/>
          <w:snapToGrid w:val="0"/>
          <w:sz w:val="24"/>
          <w:szCs w:val="24"/>
        </w:rPr>
        <w:t>登录全国公共资源交易中心平台（</w:t>
      </w:r>
      <w:r>
        <w:rPr>
          <w:rFonts w:hint="eastAsia" w:ascii="宋体" w:hAnsi="宋体" w:eastAsia="宋体" w:cs="宋体"/>
          <w:b/>
          <w:bCs/>
          <w:snapToGrid w:val="0"/>
          <w:sz w:val="24"/>
          <w:szCs w:val="24"/>
          <w:lang w:val="en-US" w:eastAsia="zh-CN"/>
        </w:rPr>
        <w:t>宝鸡市</w:t>
      </w:r>
      <w:r>
        <w:rPr>
          <w:rFonts w:hint="eastAsia" w:ascii="宋体" w:hAnsi="宋体" w:eastAsia="宋体" w:cs="宋体"/>
          <w:b/>
          <w:bCs/>
          <w:snapToGrid w:val="0"/>
          <w:sz w:val="24"/>
          <w:szCs w:val="24"/>
        </w:rPr>
        <w:t>）（</w:t>
      </w:r>
      <w:r>
        <w:rPr>
          <w:rFonts w:hint="eastAsia" w:cs="宋体"/>
          <w:b/>
          <w:bCs/>
          <w:snapToGrid w:val="0"/>
          <w:sz w:val="24"/>
          <w:szCs w:val="24"/>
          <w:lang w:eastAsia="zh-CN"/>
        </w:rPr>
        <w:t>http://ggzy.baoji.gov.cn/</w:t>
      </w:r>
      <w:r>
        <w:rPr>
          <w:rFonts w:hint="eastAsia" w:ascii="宋体" w:hAnsi="宋体" w:eastAsia="宋体" w:cs="宋体"/>
          <w:b/>
          <w:bCs/>
          <w:snapToGrid w:val="0"/>
          <w:sz w:val="24"/>
          <w:szCs w:val="24"/>
        </w:rPr>
        <w:t>），选择“电子交易平台—陕西政府采购交易系统—企业端”进行登录，登录后选择“交易乙方”身份进入，进入菜单“采购业务—我的项目——项目流程——上传响应文件”，上传加密的电子</w:t>
      </w:r>
      <w:r>
        <w:rPr>
          <w:rFonts w:hint="eastAsia" w:ascii="宋体" w:hAnsi="宋体" w:eastAsia="宋体" w:cs="宋体"/>
          <w:b/>
          <w:bCs/>
          <w:snapToGrid w:val="0"/>
          <w:sz w:val="24"/>
          <w:szCs w:val="24"/>
          <w:lang w:eastAsia="zh-CN"/>
        </w:rPr>
        <w:t>响应文件</w:t>
      </w:r>
      <w:r>
        <w:rPr>
          <w:rFonts w:hint="eastAsia" w:ascii="宋体" w:hAnsi="宋体" w:eastAsia="宋体" w:cs="宋体"/>
          <w:b/>
          <w:bCs/>
          <w:snapToGrid w:val="0"/>
          <w:sz w:val="24"/>
          <w:szCs w:val="24"/>
        </w:rPr>
        <w:t>。上传成功后，电子化平台将予以记录。</w:t>
      </w:r>
    </w:p>
    <w:p w14:paraId="32429C5B">
      <w:pPr>
        <w:pStyle w:val="2"/>
        <w:spacing w:before="312" w:beforeLines="100" w:after="156" w:afterLines="50" w:line="800" w:lineRule="exact"/>
        <w:jc w:val="center"/>
        <w:rPr>
          <w:rFonts w:hint="eastAsia" w:ascii="宋体" w:hAnsi="宋体" w:eastAsia="宋体" w:cs="宋体"/>
          <w:color w:val="auto"/>
          <w:sz w:val="36"/>
          <w:szCs w:val="36"/>
          <w:highlight w:val="none"/>
        </w:rPr>
        <w:sectPr>
          <w:headerReference r:id="rId14"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rtlGutter w:val="1"/>
          <w:docGrid w:linePitch="312" w:charSpace="0"/>
        </w:sectPr>
      </w:pPr>
    </w:p>
    <w:p w14:paraId="0A32F071">
      <w:pPr>
        <w:pStyle w:val="2"/>
        <w:bidi w:val="0"/>
        <w:rPr>
          <w:rFonts w:hint="eastAsia" w:ascii="宋体" w:hAnsi="宋体" w:eastAsia="宋体" w:cs="宋体"/>
          <w:lang w:eastAsia="zh-CN"/>
        </w:rPr>
      </w:pPr>
      <w:bookmarkStart w:id="2" w:name="_Toc12964"/>
      <w:r>
        <w:rPr>
          <w:rFonts w:hint="eastAsia" w:ascii="宋体" w:hAnsi="宋体" w:eastAsia="宋体" w:cs="宋体"/>
        </w:rPr>
        <w:t>第一章  竞争性磋商</w:t>
      </w:r>
      <w:r>
        <w:rPr>
          <w:rFonts w:hint="eastAsia" w:ascii="宋体" w:hAnsi="宋体" w:eastAsia="宋体" w:cs="宋体"/>
          <w:lang w:eastAsia="zh-CN"/>
        </w:rPr>
        <w:t>公告</w:t>
      </w:r>
      <w:bookmarkEnd w:id="2"/>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7"/>
      </w:tblGrid>
      <w:tr w14:paraId="2B55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96" w:hRule="atLeast"/>
        </w:trPr>
        <w:tc>
          <w:tcPr>
            <w:tcW w:w="5000" w:type="pct"/>
            <w:noWrap w:val="0"/>
            <w:vAlign w:val="top"/>
          </w:tcPr>
          <w:p w14:paraId="484639D7">
            <w:pPr>
              <w:bidi w:val="0"/>
              <w:ind w:left="0" w:leftChars="0" w:firstLine="0" w:firstLineChars="0"/>
              <w:rPr>
                <w:rFonts w:hint="eastAsia" w:ascii="宋体" w:hAnsi="宋体" w:eastAsia="宋体" w:cs="宋体"/>
                <w:b/>
                <w:bCs/>
                <w:lang w:eastAsia="zh-CN"/>
              </w:rPr>
            </w:pPr>
            <w:bookmarkStart w:id="3" w:name="_Toc17319"/>
            <w:r>
              <w:rPr>
                <w:rFonts w:hint="eastAsia" w:ascii="宋体" w:hAnsi="宋体" w:eastAsia="宋体" w:cs="宋体"/>
                <w:b/>
                <w:bCs/>
                <w:lang w:eastAsia="zh-CN"/>
              </w:rPr>
              <w:t>项目概况</w:t>
            </w:r>
          </w:p>
          <w:p w14:paraId="22293EFF">
            <w:pPr>
              <w:bidi w:val="0"/>
              <w:rPr>
                <w:rFonts w:hint="eastAsia" w:ascii="宋体" w:hAnsi="宋体" w:eastAsia="宋体" w:cs="宋体"/>
                <w:color w:val="auto"/>
                <w:szCs w:val="24"/>
                <w:highlight w:val="none"/>
                <w:lang w:eastAsia="zh-CN"/>
              </w:rPr>
            </w:pPr>
            <w:r>
              <w:rPr>
                <w:rFonts w:hint="eastAsia" w:cs="宋体"/>
                <w:lang w:val="en-US" w:eastAsia="zh-CN"/>
              </w:rPr>
              <w:t>大孔径CT维保服务（二次）</w:t>
            </w:r>
            <w:r>
              <w:rPr>
                <w:rFonts w:hint="eastAsia" w:ascii="宋体" w:hAnsi="宋体" w:eastAsia="宋体" w:cs="宋体"/>
              </w:rPr>
              <w:t>的潜在供应商</w:t>
            </w:r>
            <w:r>
              <w:rPr>
                <w:rFonts w:hint="eastAsia" w:ascii="宋体" w:hAnsi="宋体" w:eastAsia="宋体" w:cs="宋体"/>
                <w:lang w:val="en-US" w:eastAsia="zh-CN"/>
              </w:rPr>
              <w:t>应</w:t>
            </w:r>
            <w:r>
              <w:rPr>
                <w:rFonts w:hint="eastAsia" w:ascii="宋体" w:hAnsi="宋体" w:eastAsia="宋体" w:cs="宋体"/>
              </w:rPr>
              <w:t>在</w:t>
            </w:r>
            <w:r>
              <w:rPr>
                <w:rFonts w:hint="eastAsia" w:ascii="宋体" w:hAnsi="宋体" w:eastAsia="宋体" w:cs="宋体"/>
                <w:lang w:val="en-US" w:eastAsia="zh-CN"/>
              </w:rPr>
              <w:t>全国公共资源交易平台（陕西省·宝鸡市）宝鸡市公共资源交易中心下载获取采购文件</w:t>
            </w:r>
            <w:r>
              <w:rPr>
                <w:rFonts w:hint="eastAsia" w:ascii="宋体" w:hAnsi="宋体" w:eastAsia="宋体" w:cs="宋体"/>
              </w:rPr>
              <w:t>，并</w:t>
            </w:r>
            <w:r>
              <w:rPr>
                <w:rFonts w:hint="eastAsia" w:ascii="宋体" w:hAnsi="宋体" w:eastAsia="宋体" w:cs="宋体"/>
                <w:highlight w:val="none"/>
              </w:rPr>
              <w:t>于</w:t>
            </w:r>
            <w:r>
              <w:rPr>
                <w:rFonts w:hint="eastAsia" w:ascii="宋体" w:hAnsi="宋体" w:eastAsia="宋体" w:cs="宋体"/>
                <w:highlight w:val="none"/>
                <w:lang w:val="en-US" w:eastAsia="zh-CN"/>
              </w:rPr>
              <w:t>2026</w:t>
            </w:r>
            <w:r>
              <w:rPr>
                <w:rFonts w:hint="eastAsia" w:cs="宋体"/>
                <w:highlight w:val="none"/>
                <w:lang w:val="en-US" w:eastAsia="zh-CN"/>
              </w:rPr>
              <w:t>年</w:t>
            </w:r>
            <w:r>
              <w:rPr>
                <w:rFonts w:hint="eastAsia" w:ascii="宋体" w:hAnsi="宋体" w:eastAsia="宋体" w:cs="宋体"/>
                <w:highlight w:val="none"/>
                <w:lang w:val="en-US" w:eastAsia="zh-CN"/>
              </w:rPr>
              <w:t>06</w:t>
            </w:r>
            <w:r>
              <w:rPr>
                <w:rFonts w:hint="eastAsia" w:cs="宋体"/>
                <w:highlight w:val="none"/>
                <w:lang w:val="en-US" w:eastAsia="zh-CN"/>
              </w:rPr>
              <w:t>月</w:t>
            </w:r>
            <w:r>
              <w:rPr>
                <w:rFonts w:hint="eastAsia" w:ascii="宋体" w:hAnsi="宋体" w:eastAsia="宋体" w:cs="宋体"/>
                <w:highlight w:val="none"/>
                <w:lang w:val="en-US" w:eastAsia="zh-CN"/>
              </w:rPr>
              <w:t>05</w:t>
            </w:r>
            <w:r>
              <w:rPr>
                <w:rFonts w:hint="eastAsia" w:cs="宋体"/>
                <w:highlight w:val="none"/>
                <w:lang w:val="en-US" w:eastAsia="zh-CN"/>
              </w:rPr>
              <w:t>日</w:t>
            </w:r>
            <w:r>
              <w:rPr>
                <w:rFonts w:hint="eastAsia" w:ascii="宋体" w:hAnsi="宋体" w:eastAsia="宋体" w:cs="宋体"/>
                <w:highlight w:val="none"/>
                <w:lang w:val="en-US" w:eastAsia="zh-CN"/>
              </w:rPr>
              <w:t xml:space="preserve"> 09:00:00分</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北京时间</w:t>
            </w:r>
            <w:r>
              <w:rPr>
                <w:rFonts w:hint="eastAsia" w:ascii="宋体" w:hAnsi="宋体" w:eastAsia="宋体" w:cs="宋体"/>
                <w:highlight w:val="none"/>
                <w:lang w:eastAsia="zh-CN"/>
              </w:rPr>
              <w:t>）</w:t>
            </w:r>
            <w:r>
              <w:rPr>
                <w:rFonts w:hint="eastAsia" w:ascii="宋体" w:hAnsi="宋体" w:eastAsia="宋体" w:cs="宋体"/>
                <w:highlight w:val="none"/>
              </w:rPr>
              <w:t>前</w:t>
            </w:r>
            <w:r>
              <w:rPr>
                <w:rFonts w:hint="eastAsia" w:ascii="宋体" w:hAnsi="宋体" w:eastAsia="宋体" w:cs="宋体"/>
                <w:highlight w:val="none"/>
                <w:lang w:val="en-US" w:eastAsia="zh-CN"/>
              </w:rPr>
              <w:t>提</w:t>
            </w:r>
            <w:r>
              <w:rPr>
                <w:rFonts w:hint="eastAsia" w:ascii="宋体" w:hAnsi="宋体" w:eastAsia="宋体" w:cs="宋体"/>
                <w:highlight w:val="none"/>
              </w:rPr>
              <w:t>交响应文件。</w:t>
            </w:r>
          </w:p>
        </w:tc>
      </w:tr>
    </w:tbl>
    <w:p w14:paraId="350DA510">
      <w:pPr>
        <w:bidi w:val="0"/>
        <w:ind w:left="0" w:leftChars="0" w:firstLine="0" w:firstLineChars="0"/>
        <w:rPr>
          <w:rFonts w:hint="eastAsia" w:ascii="宋体" w:hAnsi="宋体" w:eastAsia="宋体" w:cs="宋体"/>
          <w:b/>
          <w:bCs/>
        </w:rPr>
      </w:pPr>
      <w:r>
        <w:rPr>
          <w:rFonts w:hint="eastAsia" w:ascii="宋体" w:hAnsi="宋体" w:eastAsia="宋体" w:cs="宋体"/>
          <w:b/>
          <w:bCs/>
        </w:rPr>
        <w:t>一、项目基本情况：</w:t>
      </w:r>
    </w:p>
    <w:p w14:paraId="152F6DE4">
      <w:pPr>
        <w:bidi w:val="0"/>
        <w:rPr>
          <w:rFonts w:hint="eastAsia" w:ascii="宋体" w:hAnsi="宋体" w:eastAsia="宋体" w:cs="宋体"/>
          <w:shd w:val="clear" w:fill="FFFF00"/>
          <w:lang w:val="en-US" w:eastAsia="zh-CN"/>
        </w:rPr>
      </w:pPr>
      <w:r>
        <w:rPr>
          <w:rFonts w:hint="eastAsia" w:ascii="宋体" w:hAnsi="宋体" w:eastAsia="宋体" w:cs="宋体"/>
        </w:rPr>
        <w:t>1、项目编号：</w:t>
      </w:r>
      <w:r>
        <w:rPr>
          <w:rFonts w:hint="eastAsia" w:cs="宋体"/>
          <w:lang w:eastAsia="zh-CN"/>
        </w:rPr>
        <w:t>ZJBJ-ZC-2026-001.1B1</w:t>
      </w:r>
    </w:p>
    <w:p w14:paraId="746A5245">
      <w:pPr>
        <w:bidi w:val="0"/>
        <w:rPr>
          <w:rFonts w:hint="eastAsia" w:ascii="宋体" w:hAnsi="宋体" w:eastAsia="宋体" w:cs="宋体"/>
          <w:lang w:eastAsia="zh-CN"/>
        </w:rPr>
      </w:pPr>
      <w:r>
        <w:rPr>
          <w:rFonts w:hint="eastAsia" w:ascii="宋体" w:hAnsi="宋体" w:eastAsia="宋体" w:cs="宋体"/>
        </w:rPr>
        <w:t>2、项目名称：</w:t>
      </w:r>
      <w:r>
        <w:rPr>
          <w:rFonts w:hint="eastAsia" w:cs="宋体"/>
          <w:lang w:val="en-US" w:eastAsia="zh-CN"/>
        </w:rPr>
        <w:t>大孔径CT维保服务（二次）</w:t>
      </w:r>
    </w:p>
    <w:p w14:paraId="25A395EC">
      <w:pPr>
        <w:bidi w:val="0"/>
        <w:rPr>
          <w:rFonts w:hint="eastAsia" w:ascii="宋体" w:hAnsi="宋体" w:eastAsia="宋体" w:cs="宋体"/>
        </w:rPr>
      </w:pPr>
      <w:r>
        <w:rPr>
          <w:rFonts w:hint="eastAsia" w:ascii="宋体" w:hAnsi="宋体" w:eastAsia="宋体" w:cs="宋体"/>
        </w:rPr>
        <w:t>3、</w:t>
      </w:r>
      <w:r>
        <w:rPr>
          <w:rFonts w:hint="eastAsia" w:ascii="宋体" w:hAnsi="宋体" w:eastAsia="宋体" w:cs="宋体"/>
          <w:lang w:eastAsia="zh-CN"/>
        </w:rPr>
        <w:t>采购方式</w:t>
      </w:r>
      <w:r>
        <w:rPr>
          <w:rFonts w:hint="eastAsia" w:ascii="宋体" w:hAnsi="宋体" w:eastAsia="宋体" w:cs="宋体"/>
        </w:rPr>
        <w:t>：</w:t>
      </w:r>
      <w:r>
        <w:rPr>
          <w:rFonts w:hint="eastAsia" w:ascii="宋体" w:hAnsi="宋体" w:eastAsia="宋体" w:cs="宋体"/>
          <w:lang w:eastAsia="zh-CN"/>
        </w:rPr>
        <w:t>竞争性磋商</w:t>
      </w:r>
    </w:p>
    <w:p w14:paraId="5310F4F8">
      <w:pPr>
        <w:bidi w:val="0"/>
        <w:rPr>
          <w:rFonts w:hint="eastAsia" w:ascii="宋体" w:hAnsi="宋体" w:eastAsia="宋体" w:cs="宋体"/>
          <w:highlight w:val="none"/>
        </w:rPr>
      </w:pPr>
      <w:r>
        <w:rPr>
          <w:rFonts w:hint="eastAsia" w:ascii="宋体" w:hAnsi="宋体" w:eastAsia="宋体" w:cs="宋体"/>
          <w:lang w:val="en-US" w:eastAsia="zh-CN"/>
        </w:rPr>
        <w:t>4</w:t>
      </w:r>
      <w:r>
        <w:rPr>
          <w:rFonts w:hint="eastAsia" w:ascii="宋体" w:hAnsi="宋体" w:eastAsia="宋体" w:cs="宋体"/>
        </w:rPr>
        <w:t>、预算金额：</w:t>
      </w:r>
      <w:r>
        <w:rPr>
          <w:rFonts w:hint="eastAsia" w:cs="宋体"/>
          <w:highlight w:val="none"/>
          <w:lang w:eastAsia="zh-CN"/>
        </w:rPr>
        <w:t>380000.00</w:t>
      </w:r>
      <w:r>
        <w:rPr>
          <w:rFonts w:hint="eastAsia" w:ascii="宋体" w:hAnsi="宋体" w:eastAsia="宋体" w:cs="宋体"/>
          <w:highlight w:val="none"/>
        </w:rPr>
        <w:t>元</w:t>
      </w:r>
    </w:p>
    <w:p w14:paraId="4CC7951B">
      <w:pPr>
        <w:bidi w:val="0"/>
        <w:rPr>
          <w:rFonts w:hint="eastAsia" w:ascii="宋体" w:hAnsi="宋体" w:eastAsia="宋体" w:cs="宋体"/>
          <w:highlight w:val="none"/>
          <w:lang w:val="en-US" w:eastAsia="zh-CN"/>
        </w:rPr>
      </w:pPr>
      <w:r>
        <w:rPr>
          <w:rFonts w:hint="eastAsia" w:ascii="宋体" w:hAnsi="宋体" w:eastAsia="宋体" w:cs="宋体"/>
          <w:highlight w:val="none"/>
          <w:lang w:val="en-US" w:eastAsia="zh-CN"/>
        </w:rPr>
        <w:t>5</w:t>
      </w:r>
      <w:r>
        <w:rPr>
          <w:rFonts w:hint="eastAsia" w:ascii="宋体" w:hAnsi="宋体" w:eastAsia="宋体" w:cs="宋体"/>
          <w:highlight w:val="none"/>
        </w:rPr>
        <w:t>、</w:t>
      </w:r>
      <w:r>
        <w:rPr>
          <w:rFonts w:hint="eastAsia" w:ascii="宋体" w:hAnsi="宋体" w:eastAsia="宋体" w:cs="宋体"/>
          <w:highlight w:val="none"/>
          <w:lang w:val="en-US" w:eastAsia="zh-CN"/>
        </w:rPr>
        <w:t>采购需求：</w:t>
      </w:r>
    </w:p>
    <w:p w14:paraId="7C936A4A">
      <w:pPr>
        <w:keepNext w:val="0"/>
        <w:keepLines w:val="0"/>
        <w:pageBreakBefore w:val="0"/>
        <w:widowControl w:val="0"/>
        <w:kinsoku/>
        <w:wordWrap/>
        <w:overflowPunct/>
        <w:topLinePunct w:val="0"/>
        <w:autoSpaceDE/>
        <w:autoSpaceDN/>
        <w:bidi w:val="0"/>
        <w:adjustRightInd/>
        <w:snapToGrid/>
        <w:ind w:left="480" w:leftChars="20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合同包1（</w:t>
      </w:r>
      <w:r>
        <w:rPr>
          <w:rFonts w:hint="eastAsia" w:cs="宋体"/>
          <w:highlight w:val="none"/>
          <w:lang w:val="en-US" w:eastAsia="zh-CN"/>
        </w:rPr>
        <w:t>大孔径CT维保服务（二次）</w:t>
      </w:r>
      <w:r>
        <w:rPr>
          <w:rFonts w:hint="eastAsia" w:ascii="宋体" w:hAnsi="宋体" w:eastAsia="宋体" w:cs="宋体"/>
          <w:highlight w:val="none"/>
          <w:lang w:val="en-US" w:eastAsia="zh-CN"/>
        </w:rPr>
        <w:t>）：</w:t>
      </w:r>
    </w:p>
    <w:p w14:paraId="1B9C53A4">
      <w:pPr>
        <w:keepNext w:val="0"/>
        <w:keepLines w:val="0"/>
        <w:pageBreakBefore w:val="0"/>
        <w:widowControl w:val="0"/>
        <w:kinsoku/>
        <w:wordWrap/>
        <w:overflowPunct/>
        <w:topLinePunct w:val="0"/>
        <w:autoSpaceDE/>
        <w:autoSpaceDN/>
        <w:bidi w:val="0"/>
        <w:adjustRightInd/>
        <w:snapToGrid/>
        <w:ind w:left="720" w:leftChars="300" w:firstLine="240" w:firstLineChars="100"/>
        <w:textAlignment w:val="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合同包预算金额：</w:t>
      </w:r>
      <w:r>
        <w:rPr>
          <w:rFonts w:hint="eastAsia" w:asciiTheme="minorEastAsia" w:hAnsiTheme="minorEastAsia" w:eastAsiaTheme="minorEastAsia" w:cstheme="minorEastAsia"/>
          <w:highlight w:val="none"/>
          <w:lang w:eastAsia="zh-CN"/>
        </w:rPr>
        <w:t>380000.00</w:t>
      </w:r>
      <w:r>
        <w:rPr>
          <w:rFonts w:hint="eastAsia" w:asciiTheme="minorEastAsia" w:hAnsiTheme="minorEastAsia" w:eastAsiaTheme="minorEastAsia" w:cstheme="minorEastAsia"/>
          <w:highlight w:val="none"/>
        </w:rPr>
        <w:t>元</w:t>
      </w:r>
    </w:p>
    <w:p w14:paraId="36AD4467">
      <w:pPr>
        <w:keepNext w:val="0"/>
        <w:keepLines w:val="0"/>
        <w:pageBreakBefore w:val="0"/>
        <w:widowControl w:val="0"/>
        <w:shd w:val="clear"/>
        <w:kinsoku/>
        <w:wordWrap/>
        <w:overflowPunct/>
        <w:topLinePunct w:val="0"/>
        <w:autoSpaceDE/>
        <w:autoSpaceDN/>
        <w:bidi w:val="0"/>
        <w:adjustRightInd/>
        <w:snapToGrid/>
        <w:ind w:left="720" w:leftChars="300" w:firstLine="240" w:firstLineChars="100"/>
        <w:textAlignment w:val="auto"/>
        <w:rPr>
          <w:rFonts w:hint="eastAsia" w:asciiTheme="minorEastAsia" w:hAnsiTheme="minorEastAsia" w:eastAsiaTheme="minorEastAsia" w:cstheme="minorEastAsia"/>
          <w:color w:val="auto"/>
          <w:kern w:val="2"/>
          <w:szCs w:val="24"/>
          <w:highlight w:val="none"/>
          <w:lang w:val="en-US" w:eastAsia="zh-CN" w:bidi="ar-SA"/>
        </w:rPr>
      </w:pPr>
      <w:r>
        <w:rPr>
          <w:rFonts w:hint="eastAsia" w:asciiTheme="minorEastAsia" w:hAnsiTheme="minorEastAsia" w:eastAsiaTheme="minorEastAsia" w:cstheme="minorEastAsia"/>
          <w:highlight w:val="none"/>
          <w:lang w:val="en-US" w:eastAsia="zh-CN"/>
        </w:rPr>
        <w:t>合同包最高限价：</w:t>
      </w:r>
      <w:r>
        <w:rPr>
          <w:rFonts w:hint="eastAsia" w:asciiTheme="minorEastAsia" w:hAnsiTheme="minorEastAsia" w:eastAsiaTheme="minorEastAsia" w:cstheme="minorEastAsia"/>
          <w:highlight w:val="none"/>
          <w:lang w:eastAsia="zh-CN"/>
        </w:rPr>
        <w:t>3</w:t>
      </w:r>
      <w:r>
        <w:rPr>
          <w:rFonts w:hint="eastAsia" w:asciiTheme="minorEastAsia" w:hAnsiTheme="minorEastAsia" w:eastAsiaTheme="minorEastAsia" w:cstheme="minorEastAsia"/>
          <w:highlight w:val="none"/>
          <w:lang w:val="en-US" w:eastAsia="zh-CN"/>
        </w:rPr>
        <w:t>6</w:t>
      </w:r>
      <w:r>
        <w:rPr>
          <w:rFonts w:hint="eastAsia" w:asciiTheme="minorEastAsia" w:hAnsiTheme="minorEastAsia" w:eastAsiaTheme="minorEastAsia" w:cstheme="minorEastAsia"/>
          <w:highlight w:val="none"/>
          <w:lang w:eastAsia="zh-CN"/>
        </w:rPr>
        <w:t>0000.00</w:t>
      </w:r>
      <w:r>
        <w:rPr>
          <w:rFonts w:hint="eastAsia" w:asciiTheme="minorEastAsia" w:hAnsiTheme="minorEastAsia" w:eastAsiaTheme="minorEastAsia" w:cstheme="minorEastAsia"/>
          <w:highlight w:val="none"/>
          <w:lang w:val="en-US" w:eastAsia="zh-CN"/>
        </w:rPr>
        <w:t>元</w:t>
      </w:r>
    </w:p>
    <w:tbl>
      <w:tblPr>
        <w:tblStyle w:val="21"/>
        <w:tblW w:w="5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974"/>
        <w:gridCol w:w="1698"/>
        <w:gridCol w:w="1339"/>
        <w:gridCol w:w="1267"/>
        <w:gridCol w:w="1776"/>
        <w:gridCol w:w="1776"/>
      </w:tblGrid>
      <w:tr w14:paraId="36FF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546" w:type="dxa"/>
            <w:noWrap w:val="0"/>
            <w:vAlign w:val="center"/>
          </w:tcPr>
          <w:p w14:paraId="2BB97832">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both"/>
              <w:textAlignment w:val="baseline"/>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b/>
                <w:bCs/>
                <w:i w:val="0"/>
                <w:iCs w:val="0"/>
                <w:caps w:val="0"/>
                <w:color w:val="333333"/>
                <w:spacing w:val="0"/>
                <w:sz w:val="21"/>
                <w:szCs w:val="21"/>
                <w:shd w:val="clear" w:color="auto" w:fill="FFFFFF"/>
                <w:vertAlign w:val="baseline"/>
                <w:lang w:val="en-US" w:eastAsia="zh-CN"/>
              </w:rPr>
              <w:t>品目号</w:t>
            </w:r>
          </w:p>
        </w:tc>
        <w:tc>
          <w:tcPr>
            <w:tcW w:w="974" w:type="dxa"/>
            <w:noWrap w:val="0"/>
            <w:vAlign w:val="center"/>
          </w:tcPr>
          <w:p w14:paraId="3570E906">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both"/>
              <w:textAlignment w:val="baseline"/>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b/>
                <w:bCs/>
                <w:i w:val="0"/>
                <w:iCs w:val="0"/>
                <w:caps w:val="0"/>
                <w:color w:val="333333"/>
                <w:spacing w:val="0"/>
                <w:sz w:val="21"/>
                <w:szCs w:val="21"/>
                <w:highlight w:val="none"/>
                <w:shd w:val="clear" w:color="auto" w:fill="FFFFFF"/>
                <w:vertAlign w:val="baseline"/>
                <w:lang w:val="en-US" w:eastAsia="zh-CN"/>
              </w:rPr>
              <w:t>品目名称</w:t>
            </w:r>
          </w:p>
        </w:tc>
        <w:tc>
          <w:tcPr>
            <w:tcW w:w="1698" w:type="dxa"/>
            <w:noWrap w:val="0"/>
            <w:vAlign w:val="center"/>
          </w:tcPr>
          <w:p w14:paraId="3D3BB990">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both"/>
              <w:textAlignment w:val="baseline"/>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b/>
                <w:bCs/>
                <w:kern w:val="0"/>
                <w:sz w:val="21"/>
                <w:szCs w:val="21"/>
                <w:highlight w:val="none"/>
                <w:lang w:val="en-US" w:eastAsia="zh-CN" w:bidi="ar"/>
              </w:rPr>
              <w:t>采购标的</w:t>
            </w:r>
          </w:p>
        </w:tc>
        <w:tc>
          <w:tcPr>
            <w:tcW w:w="1339" w:type="dxa"/>
            <w:noWrap w:val="0"/>
            <w:vAlign w:val="center"/>
          </w:tcPr>
          <w:p w14:paraId="51E0F51D">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both"/>
              <w:textAlignment w:val="baseline"/>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b/>
                <w:bCs/>
                <w:kern w:val="0"/>
                <w:sz w:val="21"/>
                <w:szCs w:val="21"/>
                <w:highlight w:val="none"/>
                <w:lang w:val="en-US" w:eastAsia="zh-CN" w:bidi="ar"/>
              </w:rPr>
              <w:t>数量（单位）</w:t>
            </w:r>
          </w:p>
        </w:tc>
        <w:tc>
          <w:tcPr>
            <w:tcW w:w="1267" w:type="dxa"/>
            <w:noWrap w:val="0"/>
            <w:vAlign w:val="center"/>
          </w:tcPr>
          <w:p w14:paraId="78221755">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both"/>
              <w:textAlignment w:val="baseline"/>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b/>
                <w:bCs/>
                <w:kern w:val="0"/>
                <w:sz w:val="21"/>
                <w:szCs w:val="21"/>
                <w:lang w:val="en-US" w:eastAsia="zh-CN" w:bidi="ar"/>
              </w:rPr>
              <w:t>技术规格、参数及要求</w:t>
            </w:r>
          </w:p>
        </w:tc>
        <w:tc>
          <w:tcPr>
            <w:tcW w:w="1776" w:type="dxa"/>
            <w:noWrap w:val="0"/>
            <w:vAlign w:val="center"/>
          </w:tcPr>
          <w:p w14:paraId="49942A22">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left"/>
              <w:textAlignment w:val="baseline"/>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b/>
                <w:bCs/>
                <w:kern w:val="0"/>
                <w:sz w:val="21"/>
                <w:szCs w:val="21"/>
                <w:lang w:val="en-US" w:eastAsia="zh-CN" w:bidi="ar"/>
              </w:rPr>
              <w:t>品目预算(元)</w:t>
            </w:r>
          </w:p>
        </w:tc>
        <w:tc>
          <w:tcPr>
            <w:tcW w:w="1776" w:type="dxa"/>
            <w:shd w:val="clear" w:color="auto" w:fill="auto"/>
            <w:noWrap w:val="0"/>
            <w:vAlign w:val="center"/>
          </w:tcPr>
          <w:p w14:paraId="16961CA4">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both"/>
              <w:textAlignment w:val="baseline"/>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b/>
                <w:bCs/>
                <w:kern w:val="0"/>
                <w:sz w:val="21"/>
                <w:szCs w:val="21"/>
                <w:lang w:val="en-US" w:eastAsia="zh-CN" w:bidi="ar"/>
              </w:rPr>
              <w:t>最高限价(元)</w:t>
            </w:r>
          </w:p>
        </w:tc>
      </w:tr>
      <w:tr w14:paraId="13E3B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46" w:type="dxa"/>
            <w:noWrap w:val="0"/>
            <w:vAlign w:val="center"/>
          </w:tcPr>
          <w:p w14:paraId="57E25D2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1-1</w:t>
            </w:r>
          </w:p>
        </w:tc>
        <w:tc>
          <w:tcPr>
            <w:tcW w:w="974" w:type="dxa"/>
            <w:shd w:val="clear" w:color="auto" w:fill="auto"/>
            <w:noWrap w:val="0"/>
            <w:vAlign w:val="center"/>
          </w:tcPr>
          <w:p w14:paraId="5C6B094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highlight w:val="none"/>
                <w:lang w:val="en-US" w:eastAsia="zh-CN"/>
              </w:rPr>
              <w:t>其他运行维护服务</w:t>
            </w:r>
          </w:p>
        </w:tc>
        <w:tc>
          <w:tcPr>
            <w:tcW w:w="1698" w:type="dxa"/>
            <w:shd w:val="clear" w:color="auto" w:fill="auto"/>
            <w:noWrap w:val="0"/>
            <w:vAlign w:val="center"/>
          </w:tcPr>
          <w:p w14:paraId="4D66F3D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highlight w:val="none"/>
                <w:lang w:val="en-US" w:eastAsia="zh-CN"/>
              </w:rPr>
              <w:t>大孔径CT维保服务</w:t>
            </w:r>
          </w:p>
        </w:tc>
        <w:tc>
          <w:tcPr>
            <w:tcW w:w="1339" w:type="dxa"/>
            <w:shd w:val="clear" w:color="auto" w:fill="auto"/>
            <w:noWrap w:val="0"/>
            <w:vAlign w:val="center"/>
          </w:tcPr>
          <w:p w14:paraId="1277C299">
            <w:pPr>
              <w:pStyle w:val="17"/>
              <w:keepNext w:val="0"/>
              <w:keepLines w:val="0"/>
              <w:widowControl/>
              <w:suppressLineNumbers w:val="0"/>
              <w:spacing w:line="240" w:lineRule="auto"/>
              <w:ind w:left="0" w:leftChars="0" w:firstLine="0" w:firstLineChars="0"/>
              <w:jc w:val="center"/>
              <w:textAlignment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000000"/>
                <w:spacing w:val="0"/>
                <w:position w:val="0"/>
                <w:sz w:val="24"/>
                <w:szCs w:val="24"/>
                <w:highlight w:val="none"/>
              </w:rPr>
              <w:t>1(项)</w:t>
            </w:r>
          </w:p>
        </w:tc>
        <w:tc>
          <w:tcPr>
            <w:tcW w:w="1267" w:type="dxa"/>
            <w:shd w:val="clear" w:color="auto" w:fill="auto"/>
            <w:noWrap w:val="0"/>
            <w:vAlign w:val="center"/>
          </w:tcPr>
          <w:p w14:paraId="2404C2B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sz w:val="24"/>
                <w:highlight w:val="none"/>
              </w:rPr>
              <w:t>详见采购文件</w:t>
            </w:r>
          </w:p>
        </w:tc>
        <w:tc>
          <w:tcPr>
            <w:tcW w:w="1776" w:type="dxa"/>
            <w:shd w:val="clear" w:color="auto" w:fill="auto"/>
            <w:noWrap w:val="0"/>
            <w:vAlign w:val="center"/>
          </w:tcPr>
          <w:p w14:paraId="46A4D7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highlight w:val="none"/>
                <w:lang w:eastAsia="zh-CN"/>
              </w:rPr>
              <w:t>380000.00</w:t>
            </w:r>
          </w:p>
        </w:tc>
        <w:tc>
          <w:tcPr>
            <w:tcW w:w="1776" w:type="dxa"/>
            <w:shd w:val="clear" w:color="auto" w:fill="auto"/>
            <w:noWrap w:val="0"/>
            <w:vAlign w:val="center"/>
          </w:tcPr>
          <w:p w14:paraId="12D374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highlight w:val="none"/>
                <w:lang w:eastAsia="zh-CN"/>
              </w:rPr>
              <w:t>3</w:t>
            </w:r>
            <w:r>
              <w:rPr>
                <w:rFonts w:hint="eastAsia" w:asciiTheme="minorEastAsia" w:hAnsiTheme="minorEastAsia" w:eastAsiaTheme="minorEastAsia" w:cstheme="minorEastAsia"/>
                <w:highlight w:val="none"/>
                <w:lang w:val="en-US" w:eastAsia="zh-CN"/>
              </w:rPr>
              <w:t>6</w:t>
            </w:r>
            <w:r>
              <w:rPr>
                <w:rFonts w:hint="eastAsia" w:asciiTheme="minorEastAsia" w:hAnsiTheme="minorEastAsia" w:eastAsiaTheme="minorEastAsia" w:cstheme="minorEastAsia"/>
                <w:highlight w:val="none"/>
                <w:lang w:eastAsia="zh-CN"/>
              </w:rPr>
              <w:t>0000.00</w:t>
            </w:r>
          </w:p>
        </w:tc>
      </w:tr>
    </w:tbl>
    <w:p w14:paraId="05892E76">
      <w:pPr>
        <w:pStyle w:val="17"/>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720" w:leftChars="300" w:firstLine="240" w:firstLineChars="1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w:t>
      </w:r>
      <w:r>
        <w:rPr>
          <w:rFonts w:hint="eastAsia" w:ascii="宋体" w:hAnsi="宋体" w:eastAsia="宋体" w:cs="宋体"/>
          <w:color w:val="auto"/>
          <w:highlight w:val="none"/>
          <w:lang w:val="en-US" w:eastAsia="zh-CN"/>
        </w:rPr>
        <w:t>合同包不</w:t>
      </w:r>
      <w:r>
        <w:rPr>
          <w:rFonts w:hint="eastAsia" w:ascii="宋体" w:hAnsi="宋体" w:eastAsia="宋体" w:cs="宋体"/>
          <w:color w:val="auto"/>
          <w:highlight w:val="none"/>
        </w:rPr>
        <w:t>接受联合体投标</w:t>
      </w:r>
    </w:p>
    <w:p w14:paraId="618F234B">
      <w:pPr>
        <w:pStyle w:val="17"/>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720" w:leftChars="30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lang w:val="en-US" w:eastAsia="zh-CN"/>
        </w:rPr>
        <w:t>根据采购文件要求</w:t>
      </w:r>
    </w:p>
    <w:p w14:paraId="3561BAE4">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241" w:firstLineChars="100"/>
        <w:jc w:val="both"/>
        <w:textAlignment w:val="baseline"/>
        <w:rPr>
          <w:rFonts w:hint="default" w:ascii="宋体" w:hAnsi="宋体" w:eastAsia="宋体" w:cs="宋体"/>
          <w:b/>
          <w:bCs/>
          <w:i w:val="0"/>
          <w:iCs w:val="0"/>
          <w:caps w:val="0"/>
          <w:color w:val="333333"/>
          <w:spacing w:val="0"/>
          <w:sz w:val="24"/>
          <w:szCs w:val="24"/>
          <w:shd w:val="clear" w:color="auto" w:fill="FFFFFF"/>
          <w:vertAlign w:val="baseline"/>
          <w:lang w:val="en-US" w:eastAsia="zh-CN"/>
        </w:rPr>
      </w:pPr>
      <w:r>
        <w:rPr>
          <w:rFonts w:hint="eastAsia" w:cs="宋体"/>
          <w:b/>
          <w:bCs/>
          <w:i w:val="0"/>
          <w:iCs w:val="0"/>
          <w:caps w:val="0"/>
          <w:color w:val="333333"/>
          <w:spacing w:val="0"/>
          <w:sz w:val="24"/>
          <w:szCs w:val="24"/>
          <w:shd w:val="clear" w:color="auto" w:fill="FFFFFF"/>
          <w:vertAlign w:val="baseline"/>
          <w:lang w:val="en-US" w:eastAsia="zh-CN"/>
        </w:rPr>
        <w:t>二、申请人的资格要求</w:t>
      </w:r>
    </w:p>
    <w:p w14:paraId="410036AF">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240" w:firstLineChars="100"/>
        <w:jc w:val="both"/>
        <w:textAlignment w:val="baseline"/>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color="auto" w:fill="FFFFFF"/>
          <w:vertAlign w:val="baseline"/>
        </w:rPr>
        <w:t>1.满足《中华人民共和国政府釆购法》第二十二条规定</w:t>
      </w:r>
      <w:r>
        <w:rPr>
          <w:rFonts w:hint="eastAsia" w:ascii="宋体" w:hAnsi="宋体" w:eastAsia="宋体" w:cs="宋体"/>
          <w:i w:val="0"/>
          <w:iCs w:val="0"/>
          <w:caps w:val="0"/>
          <w:color w:val="333333"/>
          <w:spacing w:val="0"/>
          <w:sz w:val="24"/>
          <w:szCs w:val="24"/>
          <w:shd w:val="clear" w:color="auto" w:fill="FFFFFF"/>
          <w:vertAlign w:val="baseline"/>
          <w:lang w:eastAsia="zh-CN"/>
        </w:rPr>
        <w:t>；</w:t>
      </w:r>
    </w:p>
    <w:p w14:paraId="357C0C7C">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240" w:firstLineChars="1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vertAlign w:val="baseline"/>
        </w:rPr>
        <w:t>2.落实政府采购政策需满足的资格要求：</w:t>
      </w:r>
    </w:p>
    <w:p w14:paraId="2E32CB7B">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vertAlign w:val="baseline"/>
        </w:rPr>
        <w:t>合同包1(</w:t>
      </w:r>
      <w:r>
        <w:rPr>
          <w:rFonts w:hint="eastAsia" w:cs="宋体"/>
          <w:i w:val="0"/>
          <w:iCs w:val="0"/>
          <w:caps w:val="0"/>
          <w:color w:val="333333"/>
          <w:spacing w:val="0"/>
          <w:sz w:val="24"/>
          <w:szCs w:val="24"/>
          <w:highlight w:val="none"/>
          <w:shd w:val="clear" w:color="auto" w:fill="FFFFFF"/>
          <w:vertAlign w:val="baseline"/>
          <w:lang w:val="en-US" w:eastAsia="zh-CN"/>
        </w:rPr>
        <w:t>大孔径CT维保服务（二次）</w:t>
      </w:r>
      <w:r>
        <w:rPr>
          <w:rFonts w:hint="eastAsia" w:ascii="宋体" w:hAnsi="宋体" w:eastAsia="宋体" w:cs="宋体"/>
          <w:i w:val="0"/>
          <w:iCs w:val="0"/>
          <w:caps w:val="0"/>
          <w:color w:val="333333"/>
          <w:spacing w:val="0"/>
          <w:sz w:val="24"/>
          <w:szCs w:val="24"/>
          <w:highlight w:val="none"/>
          <w:shd w:val="clear" w:color="auto" w:fill="FFFFFF"/>
          <w:vertAlign w:val="baseline"/>
        </w:rPr>
        <w:t>)落实政府采购政策需满足的资格要求如下:</w:t>
      </w:r>
    </w:p>
    <w:p w14:paraId="7CB1E010">
      <w:pPr>
        <w:numPr>
          <w:ilvl w:val="0"/>
          <w:numId w:val="0"/>
        </w:numPr>
        <w:shd w:val="clear" w:color="auto" w:fill="auto"/>
        <w:spacing w:line="360" w:lineRule="auto"/>
        <w:ind w:leftChars="0" w:firstLine="480" w:firstLineChars="200"/>
        <w:rPr>
          <w:rFonts w:hint="eastAsia"/>
          <w:highlight w:val="none"/>
          <w:lang w:val="en-US" w:eastAsia="zh-CN"/>
        </w:rPr>
      </w:pPr>
      <w:r>
        <w:rPr>
          <w:rFonts w:hint="eastAsia" w:ascii="宋体" w:hAnsi="宋体" w:eastAsia="宋体" w:cs="宋体"/>
          <w:sz w:val="24"/>
          <w:szCs w:val="24"/>
          <w:highlight w:val="none"/>
          <w:u w:val="none"/>
          <w:lang w:val="en-US" w:eastAsia="zh-CN"/>
        </w:rPr>
        <w:t>本项目专门面向中小企业采购，供应商需出具《中小型企业声明函》。</w:t>
      </w:r>
    </w:p>
    <w:p w14:paraId="373A443E">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vertAlign w:val="baseline"/>
        </w:rPr>
        <w:t>3.本项目的特定资格要求：</w:t>
      </w:r>
    </w:p>
    <w:p w14:paraId="7C08C6C8">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vertAlign w:val="baseline"/>
        </w:rPr>
        <w:t>合同包1(</w:t>
      </w:r>
      <w:r>
        <w:rPr>
          <w:rFonts w:hint="eastAsia" w:cs="宋体"/>
          <w:lang w:val="en-US" w:eastAsia="zh-CN"/>
        </w:rPr>
        <w:t>大孔径CT维保服务（二次）</w:t>
      </w:r>
      <w:r>
        <w:rPr>
          <w:rFonts w:hint="eastAsia" w:ascii="宋体" w:hAnsi="宋体" w:eastAsia="宋体" w:cs="宋体"/>
          <w:i w:val="0"/>
          <w:iCs w:val="0"/>
          <w:caps w:val="0"/>
          <w:color w:val="333333"/>
          <w:spacing w:val="0"/>
          <w:sz w:val="24"/>
          <w:szCs w:val="24"/>
          <w:shd w:val="clear" w:color="auto" w:fill="FFFFFF"/>
          <w:vertAlign w:val="baseline"/>
        </w:rPr>
        <w:t>)特定资格要求如下:</w:t>
      </w:r>
    </w:p>
    <w:p w14:paraId="33270D7F">
      <w:pPr>
        <w:numPr>
          <w:ilvl w:val="0"/>
          <w:numId w:val="0"/>
        </w:numPr>
        <w:spacing w:line="360" w:lineRule="auto"/>
        <w:ind w:firstLine="480" w:firstLineChars="200"/>
        <w:rPr>
          <w:rFonts w:hint="eastAsia"/>
          <w:sz w:val="24"/>
          <w:szCs w:val="24"/>
          <w:highlight w:val="none"/>
        </w:rPr>
      </w:pPr>
      <w:r>
        <w:rPr>
          <w:rFonts w:hint="eastAsia"/>
          <w:sz w:val="24"/>
          <w:szCs w:val="24"/>
          <w:highlight w:val="none"/>
          <w:lang w:val="en-US" w:eastAsia="zh-CN"/>
        </w:rPr>
        <w:t>3.1</w:t>
      </w:r>
      <w:r>
        <w:rPr>
          <w:rFonts w:hint="eastAsia"/>
          <w:sz w:val="24"/>
          <w:szCs w:val="24"/>
          <w:highlight w:val="none"/>
        </w:rPr>
        <w:t>具有独立承担民事责任能力的法人或其他组织，提供有效的营业执照</w:t>
      </w:r>
      <w:r>
        <w:rPr>
          <w:rFonts w:hint="eastAsia"/>
          <w:sz w:val="24"/>
          <w:szCs w:val="24"/>
          <w:highlight w:val="none"/>
          <w:lang w:eastAsia="zh-CN"/>
        </w:rPr>
        <w:t>、</w:t>
      </w:r>
      <w:r>
        <w:rPr>
          <w:rFonts w:hint="eastAsia" w:ascii="宋体" w:hAnsi="宋体" w:eastAsia="宋体" w:cs="Times New Roman"/>
          <w:sz w:val="24"/>
          <w:szCs w:val="24"/>
          <w:highlight w:val="none"/>
          <w:lang w:eastAsia="zh-CN"/>
        </w:rPr>
        <w:t>事业单位法人证书</w:t>
      </w:r>
      <w:r>
        <w:rPr>
          <w:rFonts w:hint="eastAsia" w:ascii="宋体" w:hAnsi="宋体" w:eastAsia="宋体" w:cs="Times New Roman"/>
          <w:sz w:val="24"/>
          <w:szCs w:val="24"/>
          <w:highlight w:val="none"/>
          <w:lang w:val="en-US" w:eastAsia="zh-CN"/>
        </w:rPr>
        <w:t>等有效证明</w:t>
      </w:r>
      <w:r>
        <w:rPr>
          <w:rFonts w:hint="eastAsia" w:ascii="宋体" w:hAnsi="宋体" w:eastAsia="宋体" w:cs="Times New Roman"/>
          <w:sz w:val="24"/>
          <w:szCs w:val="24"/>
          <w:highlight w:val="none"/>
        </w:rPr>
        <w:t>；</w:t>
      </w:r>
    </w:p>
    <w:p w14:paraId="3DB2C271">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480" w:firstLineChars="200"/>
        <w:jc w:val="both"/>
        <w:textAlignment w:val="baseline"/>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3.2法定代表人授权书</w:t>
      </w:r>
      <w:r>
        <w:rPr>
          <w:rFonts w:hint="eastAsia" w:cs="Times New Roman"/>
          <w:kern w:val="0"/>
          <w:sz w:val="24"/>
          <w:szCs w:val="24"/>
          <w:highlight w:val="none"/>
          <w:lang w:val="en-US" w:eastAsia="zh-CN" w:bidi="ar-SA"/>
        </w:rPr>
        <w:t>，需</w:t>
      </w:r>
      <w:r>
        <w:rPr>
          <w:rFonts w:hint="eastAsia" w:ascii="宋体" w:hAnsi="宋体" w:eastAsia="宋体" w:cs="Times New Roman"/>
          <w:kern w:val="0"/>
          <w:sz w:val="24"/>
          <w:szCs w:val="24"/>
          <w:highlight w:val="none"/>
          <w:lang w:val="en-US" w:eastAsia="zh-CN" w:bidi="ar-SA"/>
        </w:rPr>
        <w:t>附法定代表人、被授权人身份证复印件</w:t>
      </w:r>
      <w:r>
        <w:rPr>
          <w:rFonts w:hint="eastAsia" w:cs="Times New Roman"/>
          <w:kern w:val="0"/>
          <w:sz w:val="24"/>
          <w:szCs w:val="24"/>
          <w:highlight w:val="none"/>
          <w:lang w:val="en-US" w:eastAsia="zh-CN" w:bidi="ar-SA"/>
        </w:rPr>
        <w:t>（</w:t>
      </w:r>
      <w:r>
        <w:rPr>
          <w:rFonts w:hint="eastAsia" w:ascii="宋体" w:hAnsi="宋体" w:eastAsia="宋体" w:cs="Times New Roman"/>
          <w:kern w:val="0"/>
          <w:sz w:val="24"/>
          <w:szCs w:val="24"/>
          <w:highlight w:val="none"/>
          <w:lang w:val="en-US" w:eastAsia="zh-CN" w:bidi="ar-SA"/>
        </w:rPr>
        <w:t>法定代表人直接参加磋商，须提供法定代表人身份证明</w:t>
      </w:r>
      <w:r>
        <w:rPr>
          <w:rFonts w:hint="eastAsia" w:cs="Times New Roman"/>
          <w:kern w:val="0"/>
          <w:sz w:val="24"/>
          <w:szCs w:val="24"/>
          <w:highlight w:val="none"/>
          <w:lang w:val="en-US" w:eastAsia="zh-CN" w:bidi="ar-SA"/>
        </w:rPr>
        <w:t>书）</w:t>
      </w:r>
      <w:r>
        <w:rPr>
          <w:rFonts w:hint="eastAsia" w:ascii="宋体" w:hAnsi="宋体" w:eastAsia="宋体" w:cs="Times New Roman"/>
          <w:kern w:val="0"/>
          <w:sz w:val="24"/>
          <w:szCs w:val="24"/>
          <w:highlight w:val="none"/>
          <w:lang w:val="en-US" w:eastAsia="zh-CN" w:bidi="ar-SA"/>
        </w:rPr>
        <w:t>；</w:t>
      </w:r>
    </w:p>
    <w:p w14:paraId="57BB2AF0">
      <w:pPr>
        <w:numPr>
          <w:ilvl w:val="0"/>
          <w:numId w:val="0"/>
        </w:numPr>
        <w:spacing w:line="360" w:lineRule="auto"/>
        <w:ind w:firstLine="480" w:firstLineChars="200"/>
        <w:rPr>
          <w:rFonts w:hint="eastAsia"/>
          <w:sz w:val="24"/>
          <w:szCs w:val="24"/>
          <w:highlight w:val="none"/>
          <w:lang w:val="en-US" w:eastAsia="zh-CN"/>
        </w:rPr>
      </w:pPr>
      <w:r>
        <w:rPr>
          <w:rFonts w:hint="eastAsia" w:cs="宋体"/>
          <w:color w:val="auto"/>
          <w:szCs w:val="24"/>
          <w:lang w:val="en-US" w:eastAsia="zh-CN"/>
        </w:rPr>
        <w:t>3.3</w:t>
      </w:r>
      <w:r>
        <w:rPr>
          <w:rFonts w:hint="eastAsia" w:asciiTheme="minorEastAsia" w:hAnsiTheme="minorEastAsia" w:eastAsiaTheme="minorEastAsia" w:cstheme="minorEastAsia"/>
          <w:i w:val="0"/>
          <w:iCs w:val="0"/>
          <w:caps w:val="0"/>
          <w:color w:val="auto"/>
          <w:spacing w:val="0"/>
          <w:kern w:val="0"/>
          <w:sz w:val="24"/>
          <w:szCs w:val="24"/>
          <w:highlight w:val="none"/>
          <w:shd w:val="clear" w:color="auto" w:fill="auto"/>
          <w:lang w:val="en-US" w:eastAsia="zh-CN" w:bidi="ar-SA"/>
        </w:rPr>
        <w:t>供应商为制造商参与投标的提供医疗器械生产许可证或医疗器械生产备案凭证；代理或经销商参与投标的提供医疗器械经营许可证或医疗器械经营备案凭证；</w:t>
      </w:r>
    </w:p>
    <w:p w14:paraId="5F302004">
      <w:pPr>
        <w:numPr>
          <w:ilvl w:val="0"/>
          <w:numId w:val="0"/>
        </w:numPr>
        <w:spacing w:line="360" w:lineRule="auto"/>
        <w:ind w:firstLine="480" w:firstLineChars="200"/>
        <w:rPr>
          <w:rFonts w:hint="eastAsia"/>
          <w:sz w:val="24"/>
          <w:szCs w:val="24"/>
          <w:highlight w:val="none"/>
        </w:rPr>
      </w:pPr>
      <w:r>
        <w:rPr>
          <w:rFonts w:hint="eastAsia"/>
          <w:sz w:val="24"/>
          <w:szCs w:val="24"/>
          <w:highlight w:val="none"/>
          <w:lang w:val="en-US" w:eastAsia="zh-CN"/>
        </w:rPr>
        <w:t>3.4</w:t>
      </w:r>
      <w:r>
        <w:rPr>
          <w:rFonts w:hint="eastAsia"/>
          <w:sz w:val="24"/>
          <w:szCs w:val="24"/>
          <w:highlight w:val="none"/>
        </w:rPr>
        <w:t>提供</w:t>
      </w:r>
      <w:r>
        <w:rPr>
          <w:rFonts w:hint="eastAsia"/>
          <w:sz w:val="24"/>
          <w:szCs w:val="24"/>
          <w:highlight w:val="none"/>
          <w:lang w:eastAsia="zh-CN"/>
        </w:rPr>
        <w:t>2024年度或2025年度经审计的财务报告</w:t>
      </w:r>
      <w:r>
        <w:rPr>
          <w:rFonts w:hint="eastAsia"/>
          <w:sz w:val="24"/>
          <w:szCs w:val="24"/>
          <w:highlight w:val="none"/>
        </w:rPr>
        <w:t>（成立时间至提交磋商响应文件截止时间不足一年的可提供成立后任意时段的资产负债表），或其基本存款账户开户银行</w:t>
      </w:r>
      <w:r>
        <w:rPr>
          <w:rFonts w:hint="eastAsia"/>
          <w:sz w:val="24"/>
          <w:szCs w:val="24"/>
          <w:highlight w:val="none"/>
          <w:lang w:eastAsia="zh-CN"/>
        </w:rPr>
        <w:t>出具的近三个月资信证明</w:t>
      </w:r>
      <w:r>
        <w:rPr>
          <w:rFonts w:hint="eastAsia"/>
          <w:sz w:val="24"/>
          <w:szCs w:val="24"/>
          <w:highlight w:val="none"/>
        </w:rPr>
        <w:t>及基本存款账户开户许可证（基本账户信息表）；</w:t>
      </w:r>
    </w:p>
    <w:p w14:paraId="724BEBBA">
      <w:pPr>
        <w:numPr>
          <w:ilvl w:val="0"/>
          <w:numId w:val="0"/>
        </w:numPr>
        <w:spacing w:line="360" w:lineRule="auto"/>
        <w:ind w:firstLine="480" w:firstLineChars="200"/>
        <w:rPr>
          <w:rFonts w:hint="eastAsia"/>
          <w:sz w:val="24"/>
          <w:szCs w:val="24"/>
          <w:highlight w:val="none"/>
        </w:rPr>
      </w:pPr>
      <w:r>
        <w:rPr>
          <w:rFonts w:hint="eastAsia"/>
          <w:sz w:val="24"/>
          <w:szCs w:val="24"/>
          <w:highlight w:val="none"/>
          <w:lang w:val="en-US" w:eastAsia="zh-CN"/>
        </w:rPr>
        <w:t>3.5</w:t>
      </w:r>
      <w:r>
        <w:rPr>
          <w:rFonts w:hint="eastAsia"/>
          <w:sz w:val="24"/>
          <w:szCs w:val="24"/>
          <w:highlight w:val="none"/>
        </w:rPr>
        <w:t>提供具有履行合同所必需的设备和专业技术能力的承诺；</w:t>
      </w:r>
    </w:p>
    <w:p w14:paraId="66E85D95">
      <w:pPr>
        <w:numPr>
          <w:ilvl w:val="0"/>
          <w:numId w:val="0"/>
        </w:numPr>
        <w:spacing w:line="360" w:lineRule="auto"/>
        <w:ind w:firstLine="480" w:firstLineChars="200"/>
        <w:rPr>
          <w:rFonts w:hint="eastAsia"/>
          <w:sz w:val="24"/>
          <w:szCs w:val="24"/>
          <w:highlight w:val="none"/>
        </w:rPr>
      </w:pPr>
      <w:r>
        <w:rPr>
          <w:rFonts w:hint="eastAsia"/>
          <w:sz w:val="24"/>
          <w:szCs w:val="24"/>
          <w:highlight w:val="none"/>
          <w:lang w:val="en-US" w:eastAsia="zh-CN"/>
        </w:rPr>
        <w:t>3.6</w:t>
      </w:r>
      <w:r>
        <w:rPr>
          <w:rFonts w:hint="eastAsia"/>
          <w:sz w:val="24"/>
          <w:szCs w:val="24"/>
          <w:highlight w:val="none"/>
        </w:rPr>
        <w:t>提供磋商截止日前一年内已缴纳的</w:t>
      </w:r>
      <w:r>
        <w:rPr>
          <w:rFonts w:hint="eastAsia"/>
          <w:sz w:val="24"/>
          <w:szCs w:val="24"/>
          <w:highlight w:val="none"/>
          <w:lang w:eastAsia="zh-CN"/>
        </w:rPr>
        <w:t>至少任意三个月</w:t>
      </w:r>
      <w:r>
        <w:rPr>
          <w:rFonts w:hint="eastAsia"/>
          <w:sz w:val="24"/>
          <w:szCs w:val="24"/>
          <w:highlight w:val="none"/>
        </w:rPr>
        <w:t>的纳税证明或完税证明，依法免税的单位应提供相关证明材料；</w:t>
      </w:r>
    </w:p>
    <w:p w14:paraId="779E3CEF">
      <w:pPr>
        <w:numPr>
          <w:ilvl w:val="0"/>
          <w:numId w:val="0"/>
        </w:numPr>
        <w:spacing w:line="360" w:lineRule="auto"/>
        <w:ind w:firstLine="480" w:firstLineChars="200"/>
        <w:rPr>
          <w:rFonts w:hint="eastAsia"/>
          <w:sz w:val="24"/>
          <w:szCs w:val="24"/>
          <w:highlight w:val="none"/>
        </w:rPr>
      </w:pPr>
      <w:r>
        <w:rPr>
          <w:rFonts w:hint="eastAsia"/>
          <w:sz w:val="24"/>
          <w:szCs w:val="24"/>
          <w:highlight w:val="none"/>
          <w:lang w:val="en-US" w:eastAsia="zh-CN"/>
        </w:rPr>
        <w:t>3.7</w:t>
      </w:r>
      <w:r>
        <w:rPr>
          <w:rFonts w:hint="eastAsia"/>
          <w:sz w:val="24"/>
          <w:szCs w:val="24"/>
          <w:highlight w:val="none"/>
        </w:rPr>
        <w:t>提供磋商截止日前一年内已缴存的</w:t>
      </w:r>
      <w:r>
        <w:rPr>
          <w:rFonts w:hint="eastAsia"/>
          <w:sz w:val="24"/>
          <w:szCs w:val="24"/>
          <w:highlight w:val="none"/>
          <w:lang w:eastAsia="zh-CN"/>
        </w:rPr>
        <w:t>至少任意三个月</w:t>
      </w:r>
      <w:r>
        <w:rPr>
          <w:rFonts w:hint="eastAsia"/>
          <w:sz w:val="24"/>
          <w:szCs w:val="24"/>
          <w:highlight w:val="none"/>
        </w:rPr>
        <w:t>的社会保障资金缴存单据或社保机构开具的社会保险参保缴费情况证明，依法不需要缴纳社会保障资金的单位应提供相关证明材料；</w:t>
      </w:r>
    </w:p>
    <w:p w14:paraId="3F685CCB">
      <w:pPr>
        <w:numPr>
          <w:ilvl w:val="0"/>
          <w:numId w:val="0"/>
        </w:numPr>
        <w:spacing w:line="360" w:lineRule="auto"/>
        <w:ind w:firstLine="480" w:firstLineChars="200"/>
        <w:rPr>
          <w:rFonts w:hint="eastAsia" w:eastAsia="宋体"/>
          <w:sz w:val="24"/>
          <w:szCs w:val="24"/>
          <w:highlight w:val="none"/>
          <w:lang w:val="en-US" w:eastAsia="zh-CN"/>
        </w:rPr>
      </w:pPr>
      <w:r>
        <w:rPr>
          <w:rFonts w:hint="eastAsia"/>
          <w:sz w:val="24"/>
          <w:szCs w:val="24"/>
          <w:highlight w:val="none"/>
          <w:lang w:val="en-US" w:eastAsia="zh-CN"/>
        </w:rPr>
        <w:t>3.8</w:t>
      </w:r>
      <w:r>
        <w:rPr>
          <w:rFonts w:hint="eastAsia"/>
          <w:sz w:val="24"/>
          <w:szCs w:val="24"/>
          <w:highlight w:val="none"/>
        </w:rPr>
        <w:t>参加政府采购活动前3年内，在经营活动中没有重大违法记录的书面声明</w:t>
      </w:r>
      <w:r>
        <w:rPr>
          <w:rFonts w:hint="eastAsia"/>
          <w:sz w:val="24"/>
          <w:szCs w:val="24"/>
          <w:highlight w:val="none"/>
          <w:lang w:val="en-US" w:eastAsia="zh-CN"/>
        </w:rPr>
        <w:t>；</w:t>
      </w:r>
    </w:p>
    <w:p w14:paraId="788ECDF2">
      <w:pPr>
        <w:numPr>
          <w:ilvl w:val="0"/>
          <w:numId w:val="0"/>
        </w:numPr>
        <w:spacing w:line="360" w:lineRule="auto"/>
        <w:ind w:firstLine="480" w:firstLineChars="200"/>
        <w:rPr>
          <w:rFonts w:hint="eastAsia"/>
          <w:sz w:val="24"/>
          <w:szCs w:val="24"/>
          <w:highlight w:val="none"/>
          <w:lang w:val="en-US" w:eastAsia="zh-CN"/>
        </w:rPr>
      </w:pPr>
      <w:r>
        <w:rPr>
          <w:rFonts w:hint="eastAsia"/>
          <w:sz w:val="24"/>
          <w:szCs w:val="24"/>
          <w:highlight w:val="none"/>
          <w:lang w:val="en-US" w:eastAsia="zh-CN"/>
        </w:rPr>
        <w:t>3.9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255A541D">
      <w:pPr>
        <w:numPr>
          <w:ilvl w:val="0"/>
          <w:numId w:val="0"/>
        </w:numPr>
        <w:spacing w:line="360" w:lineRule="auto"/>
        <w:ind w:firstLine="480" w:firstLineChars="200"/>
        <w:rPr>
          <w:rFonts w:hint="default"/>
          <w:sz w:val="24"/>
          <w:szCs w:val="24"/>
          <w:highlight w:val="none"/>
          <w:lang w:val="en-US" w:eastAsia="zh-CN"/>
        </w:rPr>
      </w:pPr>
      <w:r>
        <w:rPr>
          <w:rFonts w:hint="eastAsia"/>
          <w:sz w:val="24"/>
          <w:szCs w:val="24"/>
          <w:highlight w:val="none"/>
          <w:lang w:val="en-US" w:eastAsia="zh-CN"/>
        </w:rPr>
        <w:t>3.10</w:t>
      </w:r>
      <w:r>
        <w:rPr>
          <w:rFonts w:hint="eastAsia" w:ascii="宋体" w:hAnsi="宋体" w:eastAsia="宋体" w:cs="宋体"/>
          <w:i w:val="0"/>
          <w:iCs w:val="0"/>
          <w:caps w:val="0"/>
          <w:color w:val="auto"/>
          <w:spacing w:val="0"/>
          <w:sz w:val="24"/>
          <w:szCs w:val="24"/>
          <w:highlight w:val="none"/>
          <w:shd w:val="clear" w:color="auto" w:fill="FFFFFF"/>
          <w:lang w:val="en-US" w:eastAsia="zh-CN"/>
        </w:rPr>
        <w:t>单位负责人为同一人或者存在直接控股、管理关系的不同供应商，不得同时参加同一合同项下的政府采购活动</w:t>
      </w:r>
      <w:r>
        <w:rPr>
          <w:rFonts w:hint="eastAsia" w:cs="宋体"/>
          <w:i w:val="0"/>
          <w:iCs w:val="0"/>
          <w:caps w:val="0"/>
          <w:color w:val="auto"/>
          <w:spacing w:val="0"/>
          <w:sz w:val="24"/>
          <w:szCs w:val="24"/>
          <w:highlight w:val="none"/>
          <w:shd w:val="clear" w:color="auto" w:fill="FFFFFF"/>
          <w:lang w:val="en-US" w:eastAsia="zh-CN"/>
        </w:rPr>
        <w:t>，提供承诺书。</w:t>
      </w:r>
    </w:p>
    <w:p w14:paraId="347B51F6">
      <w:pPr>
        <w:pStyle w:val="41"/>
        <w:shd w:val="clear" w:color="auto" w:fill="FFFFFF"/>
        <w:spacing w:before="0" w:beforeAutospacing="0" w:after="0" w:afterAutospacing="0" w:line="360" w:lineRule="auto"/>
        <w:ind w:left="0" w:leftChars="0" w:firstLine="0" w:firstLineChars="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三、</w:t>
      </w:r>
      <w:r>
        <w:rPr>
          <w:rFonts w:hint="eastAsia" w:ascii="宋体" w:hAnsi="宋体" w:eastAsia="宋体" w:cs="宋体"/>
          <w:b/>
          <w:bCs/>
          <w:color w:val="auto"/>
          <w:highlight w:val="none"/>
          <w:lang w:val="en-US" w:eastAsia="zh-CN"/>
        </w:rPr>
        <w:t>获取采购文件</w:t>
      </w:r>
    </w:p>
    <w:p w14:paraId="6C909EDD">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202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22</w:t>
      </w:r>
      <w:r>
        <w:rPr>
          <w:rFonts w:hint="eastAsia" w:ascii="宋体" w:hAnsi="宋体" w:eastAsia="宋体" w:cs="宋体"/>
          <w:color w:val="auto"/>
          <w:sz w:val="24"/>
          <w:szCs w:val="24"/>
          <w:highlight w:val="none"/>
        </w:rPr>
        <w:t>日至202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29</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，每天上午</w:t>
      </w:r>
      <w:r>
        <w:rPr>
          <w:rFonts w:hint="eastAsia"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:00:00至</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:00，下午</w:t>
      </w: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:00:00至</w:t>
      </w:r>
      <w:r>
        <w:rPr>
          <w:rFonts w:hint="eastAsia" w:cs="宋体"/>
          <w:color w:val="auto"/>
          <w:sz w:val="24"/>
          <w:szCs w:val="24"/>
          <w:highlight w:val="none"/>
          <w:lang w:val="en-US" w:eastAsia="zh-CN"/>
        </w:rPr>
        <w:t>17</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（北京时间）</w:t>
      </w:r>
    </w:p>
    <w:p w14:paraId="03DFB01E">
      <w:pPr>
        <w:pStyle w:val="17"/>
        <w:shd w:val="clear" w:color="auto" w:fill="FFFFFF"/>
        <w:spacing w:before="0" w:beforeAutospacing="0" w:after="0" w:afterAutospacing="0" w:line="360" w:lineRule="auto"/>
        <w:ind w:firstLine="480"/>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途径</w:t>
      </w:r>
      <w:r>
        <w:rPr>
          <w:rFonts w:hint="eastAsia" w:ascii="宋体" w:hAnsi="宋体" w:eastAsia="宋体" w:cs="宋体"/>
          <w:color w:val="auto"/>
          <w:sz w:val="24"/>
          <w:szCs w:val="24"/>
          <w:highlight w:val="none"/>
        </w:rPr>
        <w:t>：</w:t>
      </w:r>
      <w:r>
        <w:rPr>
          <w:rFonts w:hint="eastAsia" w:ascii="宋体" w:hAnsi="宋体" w:eastAsia="宋体" w:cs="宋体"/>
          <w:highlight w:val="none"/>
          <w:lang w:val="en-US" w:eastAsia="zh-CN"/>
        </w:rPr>
        <w:t>全国公共资源交易平台（陕西省·宝鸡市）宝鸡市公共资源交易中心下载</w:t>
      </w:r>
    </w:p>
    <w:p w14:paraId="4E26AFE4">
      <w:pPr>
        <w:pStyle w:val="17"/>
        <w:shd w:val="clear" w:color="auto" w:fill="FFFFFF"/>
        <w:spacing w:before="0" w:beforeAutospacing="0" w:after="0" w:afterAutospacing="0" w:line="360" w:lineRule="auto"/>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方式：</w:t>
      </w:r>
      <w:r>
        <w:rPr>
          <w:rFonts w:hint="eastAsia" w:ascii="宋体" w:hAnsi="宋体" w:eastAsia="宋体" w:cs="宋体"/>
          <w:color w:val="auto"/>
          <w:highlight w:val="none"/>
          <w:lang w:val="en-US" w:eastAsia="zh-CN"/>
        </w:rPr>
        <w:t>在线获取</w:t>
      </w:r>
    </w:p>
    <w:p w14:paraId="3D770F65">
      <w:pPr>
        <w:pStyle w:val="17"/>
        <w:shd w:val="clear" w:color="auto" w:fill="FFFFFF"/>
        <w:spacing w:before="0" w:beforeAutospacing="0" w:after="0" w:afterAutospacing="0" w:line="360" w:lineRule="auto"/>
        <w:ind w:firstLine="480"/>
        <w:rPr>
          <w:rFonts w:hint="default" w:ascii="宋体" w:hAnsi="宋体" w:eastAsia="宋体" w:cs="宋体"/>
          <w:b/>
          <w:color w:val="auto"/>
          <w:highlight w:val="none"/>
          <w:lang w:val="en-US" w:eastAsia="zh-CN"/>
        </w:rPr>
      </w:pPr>
      <w:r>
        <w:rPr>
          <w:rFonts w:hint="eastAsia" w:ascii="宋体" w:hAnsi="宋体" w:eastAsia="宋体" w:cs="宋体"/>
          <w:color w:val="auto"/>
          <w:highlight w:val="none"/>
        </w:rPr>
        <w:t>售价：</w:t>
      </w:r>
      <w:r>
        <w:rPr>
          <w:rFonts w:hint="eastAsia" w:cs="宋体"/>
          <w:color w:val="auto"/>
          <w:highlight w:val="none"/>
          <w:lang w:val="en-US" w:eastAsia="zh-CN"/>
        </w:rPr>
        <w:t>0元</w:t>
      </w:r>
    </w:p>
    <w:p w14:paraId="491AABAC">
      <w:pPr>
        <w:pStyle w:val="41"/>
        <w:shd w:val="clear" w:color="auto" w:fill="FFFFFF"/>
        <w:spacing w:before="0" w:beforeAutospacing="0" w:after="0" w:afterAutospacing="0" w:line="360" w:lineRule="auto"/>
        <w:ind w:left="0" w:leftChars="0"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rPr>
        <w:t>四、响应文件</w:t>
      </w:r>
      <w:r>
        <w:rPr>
          <w:rFonts w:hint="eastAsia" w:ascii="宋体" w:hAnsi="宋体" w:eastAsia="宋体" w:cs="宋体"/>
          <w:b/>
          <w:bCs/>
          <w:color w:val="auto"/>
          <w:highlight w:val="none"/>
          <w:lang w:val="en-US" w:eastAsia="zh-CN"/>
        </w:rPr>
        <w:t>提</w:t>
      </w:r>
      <w:r>
        <w:rPr>
          <w:rFonts w:hint="eastAsia" w:ascii="宋体" w:hAnsi="宋体" w:eastAsia="宋体" w:cs="宋体"/>
          <w:b/>
          <w:bCs/>
          <w:color w:val="auto"/>
          <w:highlight w:val="none"/>
        </w:rPr>
        <w:t>交</w:t>
      </w:r>
    </w:p>
    <w:p w14:paraId="45D4FADA">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截止时间：202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cs="宋体"/>
          <w:color w:val="auto"/>
          <w:sz w:val="24"/>
          <w:szCs w:val="24"/>
          <w:highlight w:val="none"/>
          <w:lang w:val="en-US" w:eastAsia="zh-CN"/>
        </w:rPr>
        <w:t>06</w:t>
      </w:r>
      <w:r>
        <w:rPr>
          <w:rFonts w:hint="eastAsia" w:ascii="宋体" w:hAnsi="宋体" w:eastAsia="宋体" w:cs="宋体"/>
          <w:color w:val="auto"/>
          <w:sz w:val="24"/>
          <w:szCs w:val="24"/>
          <w:highlight w:val="none"/>
          <w:lang w:val="en-US" w:eastAsia="zh-CN"/>
        </w:rPr>
        <w:t>月</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日</w:t>
      </w:r>
      <w:r>
        <w:rPr>
          <w:rFonts w:hint="eastAsia" w:cs="宋体"/>
          <w:color w:val="auto"/>
          <w:sz w:val="24"/>
          <w:szCs w:val="24"/>
          <w:highlight w:val="none"/>
          <w:lang w:val="en-US" w:eastAsia="zh-CN"/>
        </w:rPr>
        <w:t>09</w:t>
      </w:r>
      <w:r>
        <w:rPr>
          <w:rFonts w:hint="eastAsia" w:ascii="宋体" w:hAnsi="宋体" w:eastAsia="宋体" w:cs="宋体"/>
          <w:color w:val="auto"/>
          <w:sz w:val="24"/>
          <w:szCs w:val="24"/>
          <w:highlight w:val="none"/>
          <w:lang w:val="en-US" w:eastAsia="zh-CN"/>
        </w:rPr>
        <w:t>时00分00秒（北京时间）</w:t>
      </w:r>
    </w:p>
    <w:p w14:paraId="00387E19">
      <w:pPr>
        <w:pStyle w:val="17"/>
        <w:shd w:val="clear" w:color="auto" w:fill="FFFFFF"/>
        <w:spacing w:before="0" w:beforeAutospacing="0" w:after="0" w:afterAutospacing="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点：全国公共资源交易平台（陕西省·宝鸡市）宝鸡市公共资源交易中心线上递交</w:t>
      </w:r>
    </w:p>
    <w:p w14:paraId="70D09ED1">
      <w:pPr>
        <w:pStyle w:val="17"/>
        <w:numPr>
          <w:ilvl w:val="0"/>
          <w:numId w:val="0"/>
        </w:numPr>
        <w:shd w:val="clear" w:color="auto" w:fill="FFFFFF"/>
        <w:spacing w:before="0" w:beforeAutospacing="0" w:after="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五、开启</w:t>
      </w:r>
    </w:p>
    <w:p w14:paraId="7975278B">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截止时间</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202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cs="宋体"/>
          <w:color w:val="auto"/>
          <w:sz w:val="24"/>
          <w:szCs w:val="24"/>
          <w:highlight w:val="none"/>
          <w:lang w:val="en-US" w:eastAsia="zh-CN"/>
        </w:rPr>
        <w:t>06</w:t>
      </w:r>
      <w:r>
        <w:rPr>
          <w:rFonts w:hint="eastAsia" w:ascii="宋体" w:hAnsi="宋体" w:eastAsia="宋体" w:cs="宋体"/>
          <w:color w:val="auto"/>
          <w:sz w:val="24"/>
          <w:szCs w:val="24"/>
          <w:highlight w:val="none"/>
          <w:lang w:val="en-US" w:eastAsia="zh-CN"/>
        </w:rPr>
        <w:t>月</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日</w:t>
      </w:r>
      <w:r>
        <w:rPr>
          <w:rFonts w:hint="eastAsia" w:cs="宋体"/>
          <w:color w:val="auto"/>
          <w:sz w:val="24"/>
          <w:szCs w:val="24"/>
          <w:highlight w:val="none"/>
          <w:lang w:val="en-US" w:eastAsia="zh-CN"/>
        </w:rPr>
        <w:t>09</w:t>
      </w:r>
      <w:r>
        <w:rPr>
          <w:rFonts w:hint="eastAsia" w:ascii="宋体" w:hAnsi="宋体" w:eastAsia="宋体" w:cs="宋体"/>
          <w:color w:val="auto"/>
          <w:sz w:val="24"/>
          <w:szCs w:val="24"/>
          <w:highlight w:val="none"/>
          <w:lang w:val="en-US" w:eastAsia="zh-CN"/>
        </w:rPr>
        <w:t>时00分00秒（北京时间）</w:t>
      </w:r>
    </w:p>
    <w:p w14:paraId="7831D177">
      <w:pPr>
        <w:pStyle w:val="17"/>
        <w:numPr>
          <w:ilvl w:val="0"/>
          <w:numId w:val="0"/>
        </w:numPr>
        <w:shd w:val="clear" w:color="auto" w:fill="FFFFFF"/>
        <w:spacing w:before="0" w:beforeAutospacing="0" w:after="0" w:afterAutospacing="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点：</w:t>
      </w:r>
      <w:r>
        <w:rPr>
          <w:rFonts w:hint="eastAsia" w:ascii="宋体" w:hAnsi="宋体" w:eastAsia="宋体" w:cs="宋体"/>
          <w:i w:val="0"/>
          <w:iCs w:val="0"/>
          <w:caps w:val="0"/>
          <w:color w:val="333333"/>
          <w:spacing w:val="0"/>
          <w:sz w:val="24"/>
          <w:szCs w:val="24"/>
          <w:highlight w:val="none"/>
          <w:shd w:val="clear" w:color="auto" w:fill="FFFFFF"/>
          <w:vertAlign w:val="baseline"/>
        </w:rPr>
        <w:t>全国公共资源交易平台（陕西省·宝鸡市）宝鸡市公共资源交易中心</w:t>
      </w:r>
      <w:r>
        <w:rPr>
          <w:rFonts w:hint="eastAsia" w:ascii="宋体" w:hAnsi="宋体" w:eastAsia="宋体" w:cs="宋体"/>
          <w:i w:val="0"/>
          <w:iCs w:val="0"/>
          <w:caps w:val="0"/>
          <w:color w:val="333333"/>
          <w:spacing w:val="0"/>
          <w:sz w:val="24"/>
          <w:szCs w:val="24"/>
          <w:highlight w:val="none"/>
          <w:shd w:val="clear" w:color="auto" w:fill="FFFFFF"/>
          <w:vertAlign w:val="baseline"/>
          <w:lang w:val="en-US" w:eastAsia="zh-CN"/>
        </w:rPr>
        <w:t>不见面开标大厅</w:t>
      </w:r>
    </w:p>
    <w:p w14:paraId="5886A28D">
      <w:pPr>
        <w:pStyle w:val="41"/>
        <w:shd w:val="clear" w:color="auto" w:fill="FFFFFF"/>
        <w:spacing w:before="0" w:beforeAutospacing="0" w:after="0" w:afterAutospacing="0" w:line="360" w:lineRule="auto"/>
        <w:ind w:left="0" w:leftChars="0"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六</w:t>
      </w:r>
      <w:r>
        <w:rPr>
          <w:rFonts w:hint="eastAsia" w:ascii="宋体" w:hAnsi="宋体" w:eastAsia="宋体" w:cs="宋体"/>
          <w:b/>
          <w:bCs/>
          <w:color w:val="auto"/>
          <w:highlight w:val="none"/>
        </w:rPr>
        <w:t>、公告期限</w:t>
      </w:r>
    </w:p>
    <w:p w14:paraId="486431F9">
      <w:pPr>
        <w:pStyle w:val="17"/>
        <w:shd w:val="clear" w:color="auto" w:fill="FFFFFF"/>
        <w:spacing w:before="0" w:beforeAutospacing="0" w:after="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自本公告发布之日起3个工作日。</w:t>
      </w:r>
    </w:p>
    <w:p w14:paraId="033738FD">
      <w:pPr>
        <w:pStyle w:val="41"/>
        <w:numPr>
          <w:ilvl w:val="0"/>
          <w:numId w:val="0"/>
        </w:numPr>
        <w:shd w:val="clear" w:color="auto" w:fill="FFFFFF"/>
        <w:spacing w:before="0" w:beforeAutospacing="0" w:after="0" w:afterAutospacing="0" w:line="360" w:lineRule="auto"/>
        <w:ind w:left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七、</w:t>
      </w:r>
      <w:r>
        <w:rPr>
          <w:rFonts w:hint="eastAsia" w:ascii="宋体" w:hAnsi="宋体" w:eastAsia="宋体" w:cs="宋体"/>
          <w:b/>
          <w:bCs/>
          <w:color w:val="auto"/>
          <w:highlight w:val="none"/>
        </w:rPr>
        <w:t>其他补充事宜</w:t>
      </w:r>
    </w:p>
    <w:p w14:paraId="529F95FD">
      <w:pPr>
        <w:pStyle w:val="41"/>
        <w:numPr>
          <w:ilvl w:val="0"/>
          <w:numId w:val="0"/>
        </w:numPr>
        <w:shd w:val="clear" w:color="auto" w:fill="FFFFFF"/>
        <w:spacing w:before="0" w:beforeAutospacing="0" w:after="0" w:afterAutospacing="0" w:line="360" w:lineRule="auto"/>
        <w:ind w:leftChars="0" w:firstLine="480"/>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请投标人按照陕西省财政厅关于政府采购投标人注册登记有关事项的通知中的要求，通过陕西省政府采购网（http://www.ccgp-shaanxi.gov.cn/）注册登记加入陕西省政府采购投标人库。</w:t>
      </w:r>
    </w:p>
    <w:p w14:paraId="509C1EDF">
      <w:pPr>
        <w:pStyle w:val="41"/>
        <w:numPr>
          <w:ilvl w:val="0"/>
          <w:numId w:val="0"/>
        </w:numPr>
        <w:shd w:val="clear" w:color="auto" w:fill="FFFFFF"/>
        <w:spacing w:before="0" w:beforeAutospacing="0" w:after="0" w:afterAutospacing="0" w:line="360" w:lineRule="auto"/>
        <w:ind w:leftChars="0" w:firstLine="480"/>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投标人初次使用电子交易平台时,请先阅读【全国公共资源交易平台(陕西省·宝鸡市)】 (http://ggzy.baoji.gov.cn/)网站 〖首页〉服务指南〉下载专区〗中的《陕西省省级单位电子化政府采购项目投标指南》,并按要求完成诚信入库登记、CA认证及企业信息绑定。</w:t>
      </w:r>
    </w:p>
    <w:p w14:paraId="37517811">
      <w:pPr>
        <w:pStyle w:val="41"/>
        <w:numPr>
          <w:ilvl w:val="0"/>
          <w:numId w:val="0"/>
        </w:numPr>
        <w:shd w:val="clear" w:color="auto" w:fill="FFFFFF"/>
        <w:spacing w:before="0" w:beforeAutospacing="0" w:after="0" w:afterAutospacing="0" w:line="360" w:lineRule="auto"/>
        <w:ind w:leftChars="0" w:firstLine="480"/>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办理CA认证:电子交易平台现已接入陕西CA、深圳CA、西部CA、北京CA四家数字证书公司,各投标人在交易过程中登录系统、加密/解密投标文件、文件签章等均可使用上述四家CA公司签发的数字证书。</w:t>
      </w:r>
    </w:p>
    <w:p w14:paraId="736FF537">
      <w:pPr>
        <w:pStyle w:val="41"/>
        <w:numPr>
          <w:ilvl w:val="0"/>
          <w:numId w:val="0"/>
        </w:numPr>
        <w:shd w:val="clear" w:color="auto" w:fill="FFFFFF"/>
        <w:spacing w:before="0" w:beforeAutospacing="0" w:after="0" w:afterAutospacing="0" w:line="360" w:lineRule="auto"/>
        <w:ind w:leftChars="0" w:firstLine="480"/>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在招标文件获取时间内登录全国公共资源交易平台（陕西省·宝鸡市）（http://ggzy.baoji.gov.cn/），选择“电子交易平台—陕西政府采购交易系统—企业端”进行登录，登录后选择“交易乙方”身份进入投标人界面，选择本项目点击“我要投标”，参与投标活动。请投标人务必及时下载项目招标文件并做好备份,否则会影响投标文件编制及后续投标活动。</w:t>
      </w:r>
    </w:p>
    <w:p w14:paraId="4BE81013">
      <w:pPr>
        <w:pStyle w:val="41"/>
        <w:numPr>
          <w:ilvl w:val="0"/>
          <w:numId w:val="0"/>
        </w:numPr>
        <w:shd w:val="clear" w:color="auto" w:fill="FFFFFF"/>
        <w:spacing w:before="0" w:beforeAutospacing="0" w:after="0" w:afterAutospacing="0" w:line="360" w:lineRule="auto"/>
        <w:ind w:leftChars="0" w:firstLine="480"/>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提交投标文件截止时间前，投标人应随时留意【陕西省政府采购网</w:t>
      </w:r>
      <w:r>
        <w:rPr>
          <w:rFonts w:hint="eastAsia"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、【全国公共资源交易平台（陕西省·宝鸡市）</w:t>
      </w:r>
      <w:r>
        <w:rPr>
          <w:rFonts w:hint="eastAsia"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上可能发布的变更公告。若变更公告中明确注明本项目提供有变更文件的，投标人应登录企业端后，从【项目流程&gt;项目管理&gt;答疑文件下载</w:t>
      </w:r>
      <w:r>
        <w:rPr>
          <w:rFonts w:hint="eastAsia"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获取更新后的电子招标文件（*.SXSCF）,使用旧版电子招标文件制作的电子投标文件（*.SXSTF），系统将拒绝接收。</w:t>
      </w:r>
    </w:p>
    <w:p w14:paraId="290AA816">
      <w:pPr>
        <w:pStyle w:val="41"/>
        <w:numPr>
          <w:ilvl w:val="0"/>
          <w:numId w:val="0"/>
        </w:numPr>
        <w:shd w:val="clear" w:color="auto" w:fill="FFFFFF"/>
        <w:spacing w:before="0" w:beforeAutospacing="0" w:after="0" w:afterAutospacing="0" w:line="360" w:lineRule="auto"/>
        <w:ind w:leftChars="0" w:firstLine="480"/>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落实政府采购政策：（1）国务院办公厅关于建立政府强制采购节能产品制度的通知国办发〔2007〕51号，以财库〔2019〕9号为准；（2）财政部、工业和信息化部关于印发《政府采购促进中小企业发展管理办法》的通知(财库〔2020〕46号)；（3）财政部《关于进一步加大政府采购支持中小企业力度的通知》（财库〔2022〕19号）；（4）财政部司法部关于政府采购支持监狱企业发展有关问题的通知(财库〔2014〕68号)；（5）财政部、民政部、中国残疾人联合会关于促进残疾人就业政府采购政策的通知（财库〔2017〕141号）；（6）《关于运用政府采购政策支持乡村产业振兴的通知》（财库〔2021〕19号）；（7）《财政部农业农村部国家乡村振兴局中华全国供销合作总社关于印发&lt;关于深入开展政府采购脱贫地区农副产品工作推进乡村产业振兴的实施意见&gt;的通知》（财库〔2021〕20号）；（8）如有最新颁布的政府采购政策，按最新的文件执行。</w:t>
      </w:r>
    </w:p>
    <w:p w14:paraId="4F5F8E2C">
      <w:pPr>
        <w:pStyle w:val="41"/>
        <w:shd w:val="clear" w:color="auto" w:fill="FFFFFF"/>
        <w:spacing w:before="0" w:beforeAutospacing="0" w:after="0" w:afterAutospacing="0" w:line="360" w:lineRule="auto"/>
        <w:ind w:left="0" w:leftChars="0"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八</w:t>
      </w:r>
      <w:r>
        <w:rPr>
          <w:rFonts w:hint="eastAsia" w:ascii="宋体" w:hAnsi="宋体" w:eastAsia="宋体" w:cs="宋体"/>
          <w:b/>
          <w:bCs/>
          <w:color w:val="auto"/>
          <w:highlight w:val="none"/>
        </w:rPr>
        <w:t>、对本次采购提出询问，请按以下方式联系。</w:t>
      </w:r>
    </w:p>
    <w:p w14:paraId="68D953C8">
      <w:pPr>
        <w:pStyle w:val="17"/>
        <w:shd w:val="clear" w:color="auto" w:fill="FFFFFF"/>
        <w:spacing w:before="0" w:beforeAutospacing="0" w:after="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1、采购人信息：</w:t>
      </w:r>
    </w:p>
    <w:p w14:paraId="2F33DA0D">
      <w:pPr>
        <w:pStyle w:val="17"/>
        <w:shd w:val="clear" w:color="auto"/>
        <w:spacing w:before="0" w:beforeAutospacing="0" w:after="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名称：</w:t>
      </w:r>
      <w:r>
        <w:rPr>
          <w:rFonts w:hint="eastAsia" w:cs="宋体"/>
          <w:color w:val="auto"/>
          <w:highlight w:val="none"/>
          <w:lang w:val="en-US" w:eastAsia="zh-CN"/>
        </w:rPr>
        <w:t>宝鸡市人民医院</w:t>
      </w:r>
    </w:p>
    <w:p w14:paraId="69788765">
      <w:pPr>
        <w:pStyle w:val="17"/>
        <w:shd w:val="clear" w:color="auto"/>
        <w:spacing w:before="0" w:beforeAutospacing="0" w:after="0" w:afterAutospacing="0" w:line="360" w:lineRule="auto"/>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地址：</w:t>
      </w:r>
      <w:r>
        <w:rPr>
          <w:rFonts w:hint="eastAsia" w:cs="宋体"/>
          <w:color w:val="auto"/>
          <w:highlight w:val="none"/>
          <w:lang w:eastAsia="zh-CN"/>
        </w:rPr>
        <w:t>宝鸡市经二路新华巷24号</w:t>
      </w:r>
    </w:p>
    <w:p w14:paraId="6F8ADDAB">
      <w:pPr>
        <w:pStyle w:val="17"/>
        <w:shd w:val="clear" w:color="auto"/>
        <w:spacing w:before="0" w:beforeAutospacing="0" w:after="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联系方式</w:t>
      </w:r>
      <w:r>
        <w:rPr>
          <w:rFonts w:hint="eastAsia" w:ascii="宋体" w:hAnsi="宋体" w:eastAsia="宋体" w:cs="宋体"/>
          <w:color w:val="auto"/>
          <w:highlight w:val="none"/>
        </w:rPr>
        <w:t>：0917-3272401</w:t>
      </w:r>
    </w:p>
    <w:p w14:paraId="4F1B9A06">
      <w:pPr>
        <w:pStyle w:val="17"/>
        <w:shd w:val="clear" w:color="auto"/>
        <w:spacing w:before="0" w:beforeAutospacing="0" w:after="0" w:afterAutospacing="0" w:line="360" w:lineRule="auto"/>
        <w:ind w:firstLine="480"/>
        <w:rPr>
          <w:rFonts w:hint="default" w:ascii="宋体" w:hAnsi="宋体" w:eastAsia="宋体" w:cs="宋体"/>
          <w:color w:val="auto"/>
          <w:highlight w:val="none"/>
          <w:lang w:val="en-US" w:eastAsia="zh-CN"/>
        </w:rPr>
      </w:pPr>
      <w:r>
        <w:rPr>
          <w:rFonts w:hint="eastAsia" w:cs="宋体"/>
          <w:sz w:val="24"/>
          <w:highlight w:val="none"/>
          <w:lang w:val="en-US" w:eastAsia="zh-CN"/>
        </w:rPr>
        <w:t xml:space="preserve">  </w:t>
      </w:r>
    </w:p>
    <w:p w14:paraId="1A1EA27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6E2F7A6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cs="宋体"/>
          <w:color w:val="auto"/>
          <w:sz w:val="24"/>
          <w:szCs w:val="24"/>
          <w:highlight w:val="none"/>
          <w:lang w:eastAsia="zh-CN"/>
        </w:rPr>
        <w:t>致君项目管理有限公司</w:t>
      </w:r>
    </w:p>
    <w:p w14:paraId="6CE7D090">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cs="宋体"/>
          <w:color w:val="333333"/>
          <w:spacing w:val="-1"/>
          <w:sz w:val="24"/>
          <w:szCs w:val="24"/>
          <w:lang w:val="en-US" w:eastAsia="zh-CN"/>
        </w:rPr>
        <w:t>宝鸡市金台区行政大道5号广汇大厦A座15楼1501室</w:t>
      </w:r>
    </w:p>
    <w:p w14:paraId="50B58123">
      <w:pPr>
        <w:spacing w:line="360" w:lineRule="auto"/>
        <w:ind w:firstLine="480" w:firstLineChars="20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联系方式：</w:t>
      </w:r>
      <w:r>
        <w:rPr>
          <w:rFonts w:hint="eastAsia" w:cs="宋体"/>
          <w:color w:val="auto"/>
          <w:sz w:val="24"/>
          <w:szCs w:val="24"/>
          <w:highlight w:val="none"/>
          <w:lang w:val="en-US" w:eastAsia="zh-CN"/>
        </w:rPr>
        <w:t>0917-3232030</w:t>
      </w:r>
    </w:p>
    <w:p w14:paraId="22C4AFC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4F7275B2">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招标部</w:t>
      </w:r>
    </w:p>
    <w:p w14:paraId="63FFA3B7">
      <w:pPr>
        <w:widowControl/>
        <w:spacing w:line="360" w:lineRule="auto"/>
        <w:ind w:right="-226" w:rightChars="-94"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电话：</w:t>
      </w:r>
      <w:r>
        <w:rPr>
          <w:rFonts w:hint="eastAsia" w:cs="宋体"/>
          <w:color w:val="auto"/>
          <w:sz w:val="24"/>
          <w:szCs w:val="24"/>
          <w:highlight w:val="none"/>
          <w:lang w:val="en-US" w:eastAsia="zh-CN"/>
        </w:rPr>
        <w:t>0917-3232030</w:t>
      </w:r>
    </w:p>
    <w:p w14:paraId="5AD998AB">
      <w:pPr>
        <w:jc w:val="right"/>
        <w:rPr>
          <w:rFonts w:hint="eastAsia" w:ascii="宋体" w:hAnsi="宋体" w:eastAsia="宋体" w:cs="宋体"/>
        </w:rPr>
      </w:pPr>
      <w:r>
        <w:rPr>
          <w:rFonts w:hint="eastAsia" w:cs="宋体"/>
          <w:color w:val="auto"/>
          <w:sz w:val="24"/>
          <w:szCs w:val="24"/>
          <w:highlight w:val="none"/>
          <w:lang w:eastAsia="zh-CN"/>
        </w:rPr>
        <w:t>致君项目管理有限公司</w:t>
      </w:r>
      <w:r>
        <w:rPr>
          <w:rFonts w:hint="eastAsia" w:ascii="宋体" w:hAnsi="宋体" w:eastAsia="宋体" w:cs="宋体"/>
        </w:rPr>
        <w:br w:type="page"/>
      </w:r>
    </w:p>
    <w:p w14:paraId="47746E75">
      <w:pPr>
        <w:pStyle w:val="2"/>
        <w:bidi w:val="0"/>
        <w:rPr>
          <w:rFonts w:hint="eastAsia" w:ascii="宋体" w:hAnsi="宋体" w:eastAsia="宋体" w:cs="宋体"/>
        </w:rPr>
      </w:pPr>
      <w:r>
        <w:rPr>
          <w:rFonts w:hint="eastAsia" w:ascii="宋体" w:hAnsi="宋体" w:eastAsia="宋体" w:cs="宋体"/>
        </w:rPr>
        <w:t xml:space="preserve">第二章 </w:t>
      </w:r>
      <w:r>
        <w:rPr>
          <w:rFonts w:hint="eastAsia" w:ascii="宋体" w:hAnsi="宋体" w:eastAsia="宋体" w:cs="宋体"/>
          <w:lang w:val="en-US" w:eastAsia="zh-CN"/>
        </w:rPr>
        <w:t xml:space="preserve"> </w:t>
      </w:r>
      <w:r>
        <w:rPr>
          <w:rFonts w:hint="eastAsia" w:ascii="宋体" w:hAnsi="宋体" w:eastAsia="宋体" w:cs="宋体"/>
        </w:rPr>
        <w:t>供应商须知</w:t>
      </w:r>
      <w:bookmarkEnd w:id="3"/>
    </w:p>
    <w:p w14:paraId="5824A90B">
      <w:pPr>
        <w:pStyle w:val="3"/>
        <w:bidi w:val="0"/>
        <w:rPr>
          <w:rFonts w:hint="eastAsia" w:ascii="宋体" w:hAnsi="宋体" w:eastAsia="宋体" w:cs="宋体"/>
        </w:rPr>
      </w:pPr>
      <w:bookmarkStart w:id="4" w:name="_Toc11402"/>
      <w:bookmarkStart w:id="5" w:name="_Toc27736"/>
      <w:bookmarkStart w:id="6" w:name="_Toc28386"/>
      <w:bookmarkStart w:id="7" w:name="_Toc32214"/>
      <w:r>
        <w:rPr>
          <w:rFonts w:hint="eastAsia" w:ascii="宋体" w:hAnsi="宋体" w:eastAsia="宋体" w:cs="宋体"/>
        </w:rPr>
        <w:t>供应商须知前附表</w:t>
      </w:r>
      <w:bookmarkEnd w:id="4"/>
      <w:bookmarkEnd w:id="5"/>
      <w:bookmarkEnd w:id="6"/>
      <w:bookmarkEnd w:id="7"/>
    </w:p>
    <w:tbl>
      <w:tblPr>
        <w:tblStyle w:val="20"/>
        <w:tblW w:w="50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1984"/>
        <w:gridCol w:w="6673"/>
      </w:tblGrid>
      <w:tr w14:paraId="5F506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5" w:type="pct"/>
            <w:noWrap w:val="0"/>
            <w:vAlign w:val="center"/>
          </w:tcPr>
          <w:p w14:paraId="125A4A11">
            <w:pPr>
              <w:keepNext w:val="0"/>
              <w:keepLines w:val="0"/>
              <w:pageBreakBefore w:val="0"/>
              <w:kinsoku/>
              <w:wordWrap/>
              <w:overflowPunct/>
              <w:topLinePunct w:val="0"/>
              <w:autoSpaceDE/>
              <w:autoSpaceDN/>
              <w:bidi w:val="0"/>
              <w:adjustRightInd/>
              <w:snapToGrid/>
              <w:spacing w:beforeAutospacing="0"/>
              <w:ind w:firstLine="0" w:firstLineChars="0"/>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048" w:type="pct"/>
            <w:noWrap w:val="0"/>
            <w:vAlign w:val="center"/>
          </w:tcPr>
          <w:p w14:paraId="3A6128FD">
            <w:pPr>
              <w:keepNext w:val="0"/>
              <w:keepLines w:val="0"/>
              <w:pageBreakBefore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条款名称</w:t>
            </w:r>
          </w:p>
        </w:tc>
        <w:tc>
          <w:tcPr>
            <w:tcW w:w="3525" w:type="pct"/>
            <w:noWrap w:val="0"/>
            <w:vAlign w:val="top"/>
          </w:tcPr>
          <w:p w14:paraId="60ED7526">
            <w:pPr>
              <w:keepNext w:val="0"/>
              <w:keepLines w:val="0"/>
              <w:pageBreakBefore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说明和要求</w:t>
            </w:r>
          </w:p>
        </w:tc>
      </w:tr>
      <w:tr w14:paraId="3A860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trPr>
        <w:tc>
          <w:tcPr>
            <w:tcW w:w="425" w:type="pct"/>
            <w:noWrap w:val="0"/>
            <w:vAlign w:val="center"/>
          </w:tcPr>
          <w:p w14:paraId="6F565102">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1048" w:type="pct"/>
            <w:noWrap w:val="0"/>
            <w:vAlign w:val="center"/>
          </w:tcPr>
          <w:p w14:paraId="24208CA1">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采购人</w:t>
            </w:r>
          </w:p>
        </w:tc>
        <w:tc>
          <w:tcPr>
            <w:tcW w:w="3525" w:type="pct"/>
            <w:noWrap w:val="0"/>
            <w:vAlign w:val="top"/>
          </w:tcPr>
          <w:p w14:paraId="6174DFC1">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名称：</w:t>
            </w:r>
            <w:r>
              <w:rPr>
                <w:rFonts w:hint="eastAsia" w:cs="宋体"/>
                <w:color w:val="auto"/>
                <w:sz w:val="24"/>
                <w:highlight w:val="none"/>
                <w:lang w:val="en-US" w:eastAsia="zh-CN"/>
              </w:rPr>
              <w:t>宝鸡市人民医院</w:t>
            </w:r>
          </w:p>
          <w:p w14:paraId="17689E60">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地址：</w:t>
            </w:r>
            <w:r>
              <w:rPr>
                <w:rFonts w:hint="eastAsia" w:cs="宋体"/>
                <w:color w:val="auto"/>
                <w:highlight w:val="none"/>
                <w:lang w:eastAsia="zh-CN"/>
              </w:rPr>
              <w:t>宝鸡市经二路新华巷24号</w:t>
            </w:r>
          </w:p>
          <w:p w14:paraId="7AD107DF">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联系方式：</w:t>
            </w:r>
            <w:r>
              <w:rPr>
                <w:rFonts w:hint="eastAsia" w:cs="宋体"/>
                <w:color w:val="auto"/>
                <w:sz w:val="24"/>
                <w:highlight w:val="none"/>
                <w:lang w:val="en-US" w:eastAsia="zh-CN"/>
              </w:rPr>
              <w:t>0917-3272401</w:t>
            </w:r>
          </w:p>
        </w:tc>
      </w:tr>
      <w:tr w14:paraId="6854E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trPr>
        <w:tc>
          <w:tcPr>
            <w:tcW w:w="425" w:type="pct"/>
            <w:noWrap w:val="0"/>
            <w:vAlign w:val="center"/>
          </w:tcPr>
          <w:p w14:paraId="078D7A51">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1048" w:type="pct"/>
            <w:noWrap w:val="0"/>
            <w:vAlign w:val="center"/>
          </w:tcPr>
          <w:p w14:paraId="77748CE2">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采购代理机构</w:t>
            </w:r>
          </w:p>
        </w:tc>
        <w:tc>
          <w:tcPr>
            <w:tcW w:w="3525" w:type="pct"/>
            <w:noWrap w:val="0"/>
            <w:vAlign w:val="top"/>
          </w:tcPr>
          <w:p w14:paraId="56CB8D65">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名称：</w:t>
            </w:r>
            <w:r>
              <w:rPr>
                <w:rFonts w:hint="eastAsia" w:cs="宋体"/>
                <w:color w:val="auto"/>
                <w:sz w:val="24"/>
                <w:highlight w:val="none"/>
                <w:lang w:val="en-US" w:eastAsia="zh-CN"/>
              </w:rPr>
              <w:t>致君项目管理有限公司</w:t>
            </w:r>
          </w:p>
          <w:p w14:paraId="2910CAFC">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cs="宋体"/>
                <w:color w:val="auto"/>
                <w:sz w:val="24"/>
                <w:highlight w:val="none"/>
                <w:lang w:val="en-US" w:eastAsia="zh-CN"/>
              </w:rPr>
            </w:pPr>
            <w:r>
              <w:rPr>
                <w:rFonts w:hint="eastAsia" w:cs="宋体"/>
                <w:color w:val="auto"/>
                <w:sz w:val="24"/>
                <w:highlight w:val="none"/>
                <w:lang w:val="en-US" w:eastAsia="zh-CN"/>
              </w:rPr>
              <w:t>地址：宝鸡市金台区行政大道5号广汇大厦A座15楼1501室</w:t>
            </w:r>
          </w:p>
          <w:p w14:paraId="4393D4DF">
            <w:pPr>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联系方式：</w:t>
            </w:r>
            <w:r>
              <w:rPr>
                <w:rFonts w:hint="eastAsia" w:cs="宋体"/>
                <w:color w:val="auto"/>
                <w:sz w:val="24"/>
                <w:highlight w:val="none"/>
                <w:lang w:val="en-US" w:eastAsia="zh-CN"/>
              </w:rPr>
              <w:t>0917-3232030</w:t>
            </w:r>
          </w:p>
        </w:tc>
      </w:tr>
      <w:tr w14:paraId="1683C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25" w:type="pct"/>
            <w:noWrap w:val="0"/>
            <w:vAlign w:val="center"/>
          </w:tcPr>
          <w:p w14:paraId="493B4AB9">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1048" w:type="pct"/>
            <w:noWrap w:val="0"/>
            <w:vAlign w:val="center"/>
          </w:tcPr>
          <w:p w14:paraId="08FD5DFF">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项目名称</w:t>
            </w:r>
          </w:p>
        </w:tc>
        <w:tc>
          <w:tcPr>
            <w:tcW w:w="3525" w:type="pct"/>
            <w:noWrap w:val="0"/>
            <w:vAlign w:val="top"/>
          </w:tcPr>
          <w:p w14:paraId="693DD3A5">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lang w:eastAsia="zh-CN"/>
              </w:rPr>
            </w:pPr>
            <w:r>
              <w:rPr>
                <w:rFonts w:hint="eastAsia" w:cs="宋体"/>
                <w:color w:val="auto"/>
                <w:sz w:val="24"/>
                <w:highlight w:val="none"/>
                <w:lang w:eastAsia="zh-CN"/>
              </w:rPr>
              <w:t>大孔径CT维保服务（二次）</w:t>
            </w:r>
          </w:p>
        </w:tc>
      </w:tr>
      <w:tr w14:paraId="25E0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5" w:type="pct"/>
            <w:noWrap w:val="0"/>
            <w:vAlign w:val="center"/>
          </w:tcPr>
          <w:p w14:paraId="10DAB805">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4</w:t>
            </w:r>
          </w:p>
        </w:tc>
        <w:tc>
          <w:tcPr>
            <w:tcW w:w="1048" w:type="pct"/>
            <w:shd w:val="clear" w:color="auto" w:fill="auto"/>
            <w:noWrap w:val="0"/>
            <w:vAlign w:val="center"/>
          </w:tcPr>
          <w:p w14:paraId="620312F8">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项目编号</w:t>
            </w:r>
          </w:p>
        </w:tc>
        <w:tc>
          <w:tcPr>
            <w:tcW w:w="3525" w:type="pct"/>
            <w:shd w:val="clear" w:color="auto" w:fill="auto"/>
            <w:noWrap w:val="0"/>
            <w:vAlign w:val="top"/>
          </w:tcPr>
          <w:p w14:paraId="0DDB9548">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eastAsia="zh-CN"/>
              </w:rPr>
              <w:t>ZJBJ-ZC-2026-001.1B1</w:t>
            </w:r>
          </w:p>
        </w:tc>
      </w:tr>
      <w:tr w14:paraId="4E8E6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25" w:type="pct"/>
            <w:noWrap w:val="0"/>
            <w:vAlign w:val="center"/>
          </w:tcPr>
          <w:p w14:paraId="0AB1A709">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5</w:t>
            </w:r>
          </w:p>
        </w:tc>
        <w:tc>
          <w:tcPr>
            <w:tcW w:w="1048" w:type="pct"/>
            <w:noWrap w:val="0"/>
            <w:vAlign w:val="center"/>
          </w:tcPr>
          <w:p w14:paraId="7C2C64AB">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资金来源</w:t>
            </w:r>
          </w:p>
        </w:tc>
        <w:tc>
          <w:tcPr>
            <w:tcW w:w="3525" w:type="pct"/>
            <w:noWrap w:val="0"/>
            <w:vAlign w:val="top"/>
          </w:tcPr>
          <w:p w14:paraId="1885FB89">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财政资金</w:t>
            </w:r>
          </w:p>
        </w:tc>
      </w:tr>
      <w:tr w14:paraId="2D09B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25" w:type="pct"/>
            <w:noWrap w:val="0"/>
            <w:vAlign w:val="center"/>
          </w:tcPr>
          <w:p w14:paraId="7FE9A0FC">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6</w:t>
            </w:r>
          </w:p>
        </w:tc>
        <w:tc>
          <w:tcPr>
            <w:tcW w:w="1048" w:type="pct"/>
            <w:noWrap w:val="0"/>
            <w:vAlign w:val="center"/>
          </w:tcPr>
          <w:p w14:paraId="3768A9E8">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项目预算</w:t>
            </w:r>
          </w:p>
        </w:tc>
        <w:tc>
          <w:tcPr>
            <w:tcW w:w="3525" w:type="pct"/>
            <w:noWrap w:val="0"/>
            <w:vAlign w:val="top"/>
          </w:tcPr>
          <w:p w14:paraId="49303EC9">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380000.00</w:t>
            </w:r>
            <w:r>
              <w:rPr>
                <w:rFonts w:hint="eastAsia" w:ascii="宋体" w:hAnsi="宋体" w:eastAsia="宋体" w:cs="宋体"/>
                <w:color w:val="auto"/>
                <w:sz w:val="24"/>
                <w:szCs w:val="24"/>
                <w:highlight w:val="none"/>
                <w:lang w:eastAsia="zh-CN"/>
              </w:rPr>
              <w:t>元</w:t>
            </w:r>
          </w:p>
        </w:tc>
      </w:tr>
      <w:tr w14:paraId="02DAA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25" w:type="pct"/>
            <w:noWrap w:val="0"/>
            <w:vAlign w:val="center"/>
          </w:tcPr>
          <w:p w14:paraId="1F902C3E">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7</w:t>
            </w:r>
          </w:p>
        </w:tc>
        <w:tc>
          <w:tcPr>
            <w:tcW w:w="1048" w:type="pct"/>
            <w:noWrap w:val="0"/>
            <w:vAlign w:val="center"/>
          </w:tcPr>
          <w:p w14:paraId="1A10A365">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最高限价</w:t>
            </w:r>
          </w:p>
        </w:tc>
        <w:tc>
          <w:tcPr>
            <w:tcW w:w="3525" w:type="pct"/>
            <w:shd w:val="clear" w:color="auto" w:fill="auto"/>
            <w:noWrap w:val="0"/>
            <w:vAlign w:val="center"/>
          </w:tcPr>
          <w:p w14:paraId="7F6C4235">
            <w:pPr>
              <w:keepNext w:val="0"/>
              <w:keepLines w:val="0"/>
              <w:pageBreakBefore w:val="0"/>
              <w:kinsoku/>
              <w:wordWrap/>
              <w:overflowPunct/>
              <w:topLinePunct w:val="0"/>
              <w:autoSpaceDE/>
              <w:autoSpaceDN/>
              <w:bidi w:val="0"/>
              <w:adjustRightInd/>
              <w:snapToGrid/>
              <w:spacing w:line="440" w:lineRule="exact"/>
              <w:ind w:firstLine="0" w:firstLineChars="0"/>
              <w:jc w:val="both"/>
              <w:textAlignment w:val="auto"/>
              <w:rPr>
                <w:rFonts w:hint="default"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highlight w:val="none"/>
                <w:lang w:eastAsia="zh-CN"/>
              </w:rPr>
              <w:t>3</w:t>
            </w:r>
            <w:r>
              <w:rPr>
                <w:rFonts w:hint="eastAsia" w:asciiTheme="minorEastAsia" w:hAnsiTheme="minorEastAsia" w:eastAsiaTheme="minorEastAsia" w:cstheme="minorEastAsia"/>
                <w:highlight w:val="none"/>
                <w:lang w:val="en-US" w:eastAsia="zh-CN"/>
              </w:rPr>
              <w:t>6</w:t>
            </w:r>
            <w:r>
              <w:rPr>
                <w:rFonts w:hint="eastAsia" w:asciiTheme="minorEastAsia" w:hAnsiTheme="minorEastAsia" w:eastAsiaTheme="minorEastAsia" w:cstheme="minorEastAsia"/>
                <w:highlight w:val="none"/>
                <w:lang w:eastAsia="zh-CN"/>
              </w:rPr>
              <w:t>0000.00</w:t>
            </w:r>
            <w:r>
              <w:rPr>
                <w:rFonts w:hint="eastAsia" w:cs="宋体"/>
                <w:color w:val="auto"/>
                <w:sz w:val="24"/>
                <w:szCs w:val="24"/>
                <w:highlight w:val="none"/>
                <w:lang w:val="en-US" w:eastAsia="zh-CN"/>
              </w:rPr>
              <w:t>元</w:t>
            </w:r>
          </w:p>
        </w:tc>
      </w:tr>
      <w:tr w14:paraId="7505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25" w:type="pct"/>
            <w:noWrap w:val="0"/>
            <w:vAlign w:val="center"/>
          </w:tcPr>
          <w:p w14:paraId="6858F6C7">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8</w:t>
            </w:r>
          </w:p>
        </w:tc>
        <w:tc>
          <w:tcPr>
            <w:tcW w:w="1048" w:type="pct"/>
            <w:noWrap w:val="0"/>
            <w:vAlign w:val="center"/>
          </w:tcPr>
          <w:p w14:paraId="551FD5A7">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项目类型</w:t>
            </w:r>
          </w:p>
        </w:tc>
        <w:tc>
          <w:tcPr>
            <w:tcW w:w="3525" w:type="pct"/>
            <w:noWrap w:val="0"/>
            <w:vAlign w:val="top"/>
          </w:tcPr>
          <w:p w14:paraId="6DE17C9D">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服务</w:t>
            </w:r>
          </w:p>
        </w:tc>
      </w:tr>
      <w:tr w14:paraId="19B8C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425" w:type="pct"/>
            <w:noWrap w:val="0"/>
            <w:vAlign w:val="center"/>
          </w:tcPr>
          <w:p w14:paraId="0B031512">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9</w:t>
            </w:r>
          </w:p>
        </w:tc>
        <w:tc>
          <w:tcPr>
            <w:tcW w:w="1048" w:type="pct"/>
            <w:noWrap w:val="0"/>
            <w:vAlign w:val="center"/>
          </w:tcPr>
          <w:p w14:paraId="5368810F">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采购内容和</w:t>
            </w:r>
          </w:p>
          <w:p w14:paraId="276D6D80">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要求</w:t>
            </w:r>
          </w:p>
        </w:tc>
        <w:tc>
          <w:tcPr>
            <w:tcW w:w="3525" w:type="pct"/>
            <w:noWrap w:val="0"/>
            <w:vAlign w:val="top"/>
          </w:tcPr>
          <w:p w14:paraId="39C2132E">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详见第四章</w:t>
            </w:r>
            <w:r>
              <w:rPr>
                <w:rFonts w:hint="eastAsia" w:ascii="宋体" w:hAnsi="宋体" w:eastAsia="宋体" w:cs="宋体"/>
                <w:bCs/>
                <w:kern w:val="0"/>
                <w:szCs w:val="44"/>
                <w:highlight w:val="none"/>
                <w:lang w:val="en-US" w:eastAsia="zh-CN" w:bidi="ar-SA"/>
              </w:rPr>
              <w:t>采购内容及要求</w:t>
            </w:r>
          </w:p>
        </w:tc>
      </w:tr>
      <w:tr w14:paraId="714F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425" w:type="pct"/>
            <w:noWrap w:val="0"/>
            <w:vAlign w:val="center"/>
          </w:tcPr>
          <w:p w14:paraId="1C9C7684">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10</w:t>
            </w:r>
          </w:p>
        </w:tc>
        <w:tc>
          <w:tcPr>
            <w:tcW w:w="1048" w:type="pct"/>
            <w:noWrap w:val="0"/>
            <w:vAlign w:val="center"/>
          </w:tcPr>
          <w:p w14:paraId="62C7183B">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w:t>
            </w:r>
          </w:p>
        </w:tc>
        <w:tc>
          <w:tcPr>
            <w:tcW w:w="3525" w:type="pct"/>
            <w:noWrap w:val="0"/>
            <w:vAlign w:val="top"/>
          </w:tcPr>
          <w:p w14:paraId="5985AF3F">
            <w:pPr>
              <w:keepNext w:val="0"/>
              <w:keepLines w:val="0"/>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响应</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"http://baike.baidu.com/view/8707.htm"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磋商</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并且符合竞争性磋商文件规定资格条件和参加磋商竞争的法人或其他组织。</w:t>
            </w:r>
          </w:p>
        </w:tc>
      </w:tr>
      <w:tr w14:paraId="24997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25" w:type="pct"/>
            <w:noWrap w:val="0"/>
            <w:vAlign w:val="center"/>
          </w:tcPr>
          <w:p w14:paraId="2D71574E">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11</w:t>
            </w:r>
          </w:p>
        </w:tc>
        <w:tc>
          <w:tcPr>
            <w:tcW w:w="1048" w:type="pct"/>
            <w:noWrap w:val="0"/>
            <w:vAlign w:val="center"/>
          </w:tcPr>
          <w:p w14:paraId="6049B655">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供应商资格</w:t>
            </w:r>
          </w:p>
          <w:p w14:paraId="216EE630">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要求</w:t>
            </w:r>
          </w:p>
        </w:tc>
        <w:tc>
          <w:tcPr>
            <w:tcW w:w="3525" w:type="pct"/>
            <w:shd w:val="clear" w:color="auto" w:fill="auto"/>
            <w:noWrap w:val="0"/>
            <w:vAlign w:val="center"/>
          </w:tcPr>
          <w:p w14:paraId="59584916">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0" w:firstLineChars="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详见竞争性磋商公告申请人的资格要求。</w:t>
            </w:r>
          </w:p>
        </w:tc>
      </w:tr>
      <w:tr w14:paraId="0B8B4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425" w:type="pct"/>
            <w:noWrap w:val="0"/>
            <w:vAlign w:val="center"/>
          </w:tcPr>
          <w:p w14:paraId="008E9D45">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12</w:t>
            </w:r>
          </w:p>
        </w:tc>
        <w:tc>
          <w:tcPr>
            <w:tcW w:w="1048" w:type="pct"/>
            <w:shd w:val="clear" w:color="auto" w:fill="auto"/>
            <w:noWrap w:val="0"/>
            <w:vAlign w:val="center"/>
          </w:tcPr>
          <w:p w14:paraId="51BF5639">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服务期</w:t>
            </w:r>
          </w:p>
        </w:tc>
        <w:tc>
          <w:tcPr>
            <w:tcW w:w="3525" w:type="pct"/>
            <w:shd w:val="clear" w:color="auto" w:fill="auto"/>
            <w:noWrap w:val="0"/>
            <w:vAlign w:val="top"/>
          </w:tcPr>
          <w:p w14:paraId="37646751">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一年</w:t>
            </w:r>
          </w:p>
        </w:tc>
      </w:tr>
      <w:tr w14:paraId="7D3CB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425" w:type="pct"/>
            <w:noWrap w:val="0"/>
            <w:vAlign w:val="center"/>
          </w:tcPr>
          <w:p w14:paraId="4A7E92C1">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13</w:t>
            </w:r>
          </w:p>
        </w:tc>
        <w:tc>
          <w:tcPr>
            <w:tcW w:w="1048" w:type="pct"/>
            <w:shd w:val="clear" w:color="auto" w:fill="auto"/>
            <w:noWrap w:val="0"/>
            <w:vAlign w:val="center"/>
          </w:tcPr>
          <w:p w14:paraId="01884401">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质量</w:t>
            </w:r>
            <w:r>
              <w:rPr>
                <w:rFonts w:hint="eastAsia" w:cs="宋体"/>
                <w:color w:val="auto"/>
                <w:sz w:val="24"/>
                <w:highlight w:val="none"/>
                <w:lang w:val="en-US" w:eastAsia="zh-CN"/>
              </w:rPr>
              <w:t>标准</w:t>
            </w:r>
          </w:p>
        </w:tc>
        <w:tc>
          <w:tcPr>
            <w:tcW w:w="3525" w:type="pct"/>
            <w:shd w:val="clear" w:color="auto" w:fill="auto"/>
            <w:noWrap w:val="0"/>
            <w:vAlign w:val="top"/>
          </w:tcPr>
          <w:p w14:paraId="19115230">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符合国家及行业相关质量合格标准</w:t>
            </w:r>
          </w:p>
        </w:tc>
      </w:tr>
      <w:tr w14:paraId="4059B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trPr>
        <w:tc>
          <w:tcPr>
            <w:tcW w:w="425" w:type="pct"/>
            <w:noWrap w:val="0"/>
            <w:vAlign w:val="center"/>
          </w:tcPr>
          <w:p w14:paraId="565C744B">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14</w:t>
            </w:r>
          </w:p>
        </w:tc>
        <w:tc>
          <w:tcPr>
            <w:tcW w:w="1048" w:type="pct"/>
            <w:noWrap w:val="0"/>
            <w:vAlign w:val="center"/>
          </w:tcPr>
          <w:p w14:paraId="0E14580A">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竞争性磋商文件下载</w:t>
            </w:r>
          </w:p>
        </w:tc>
        <w:tc>
          <w:tcPr>
            <w:tcW w:w="3525" w:type="pct"/>
            <w:shd w:val="clear" w:color="auto" w:fill="auto"/>
            <w:noWrap w:val="0"/>
            <w:vAlign w:val="top"/>
          </w:tcPr>
          <w:p w14:paraId="2A455005">
            <w:pPr>
              <w:pStyle w:val="42"/>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时间：202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22</w:t>
            </w:r>
            <w:r>
              <w:rPr>
                <w:rFonts w:hint="eastAsia" w:ascii="宋体" w:hAnsi="宋体" w:eastAsia="宋体" w:cs="宋体"/>
                <w:color w:val="auto"/>
                <w:sz w:val="24"/>
                <w:szCs w:val="24"/>
                <w:highlight w:val="none"/>
              </w:rPr>
              <w:t>日至202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29</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每天上午</w:t>
            </w:r>
            <w:r>
              <w:rPr>
                <w:rFonts w:hint="eastAsia"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:00:00至</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:00，下午</w:t>
            </w: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:00:00至</w:t>
            </w:r>
            <w:r>
              <w:rPr>
                <w:rFonts w:hint="eastAsia" w:cs="宋体"/>
                <w:color w:val="auto"/>
                <w:sz w:val="24"/>
                <w:szCs w:val="24"/>
                <w:highlight w:val="none"/>
                <w:lang w:val="en-US" w:eastAsia="zh-CN"/>
              </w:rPr>
              <w:t>17</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（北京时间）</w:t>
            </w:r>
            <w:r>
              <w:rPr>
                <w:rFonts w:hint="eastAsia" w:ascii="宋体" w:hAnsi="宋体" w:eastAsia="宋体" w:cs="宋体"/>
                <w:color w:val="auto"/>
                <w:sz w:val="24"/>
                <w:szCs w:val="24"/>
                <w:highlight w:val="none"/>
              </w:rPr>
              <w:t>下载</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w:t>
            </w:r>
          </w:p>
        </w:tc>
      </w:tr>
      <w:tr w14:paraId="6A27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25" w:type="pct"/>
            <w:noWrap w:val="0"/>
            <w:vAlign w:val="center"/>
          </w:tcPr>
          <w:p w14:paraId="322C2ACC">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15</w:t>
            </w:r>
          </w:p>
        </w:tc>
        <w:tc>
          <w:tcPr>
            <w:tcW w:w="1048" w:type="pct"/>
            <w:noWrap w:val="0"/>
            <w:vAlign w:val="center"/>
          </w:tcPr>
          <w:p w14:paraId="181E4CFC">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联合体磋商</w:t>
            </w:r>
          </w:p>
        </w:tc>
        <w:tc>
          <w:tcPr>
            <w:tcW w:w="3525" w:type="pct"/>
            <w:noWrap w:val="0"/>
            <w:vAlign w:val="top"/>
          </w:tcPr>
          <w:p w14:paraId="4A5DF4F3">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不接受</w:t>
            </w:r>
          </w:p>
        </w:tc>
      </w:tr>
      <w:tr w14:paraId="38A3C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5" w:type="pct"/>
            <w:noWrap w:val="0"/>
            <w:vAlign w:val="center"/>
          </w:tcPr>
          <w:p w14:paraId="7B2692FC">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16</w:t>
            </w:r>
          </w:p>
        </w:tc>
        <w:tc>
          <w:tcPr>
            <w:tcW w:w="1048" w:type="pct"/>
            <w:noWrap w:val="0"/>
            <w:vAlign w:val="center"/>
          </w:tcPr>
          <w:p w14:paraId="7E799328">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现场勘查、标前答疑会</w:t>
            </w:r>
          </w:p>
        </w:tc>
        <w:tc>
          <w:tcPr>
            <w:tcW w:w="3525" w:type="pct"/>
            <w:noWrap w:val="0"/>
            <w:vAlign w:val="center"/>
          </w:tcPr>
          <w:p w14:paraId="363A56A0">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不组织。</w:t>
            </w:r>
          </w:p>
          <w:p w14:paraId="46F2BC7B">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供应商认为有必要可自行勘查，并承担所有费用及风险。</w:t>
            </w:r>
          </w:p>
        </w:tc>
      </w:tr>
      <w:tr w14:paraId="1724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425" w:type="pct"/>
            <w:noWrap w:val="0"/>
            <w:vAlign w:val="center"/>
          </w:tcPr>
          <w:p w14:paraId="73E47F5D">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17</w:t>
            </w:r>
          </w:p>
        </w:tc>
        <w:tc>
          <w:tcPr>
            <w:tcW w:w="1048" w:type="pct"/>
            <w:noWrap w:val="0"/>
            <w:vAlign w:val="center"/>
          </w:tcPr>
          <w:p w14:paraId="1291105C">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询问</w:t>
            </w:r>
          </w:p>
        </w:tc>
        <w:tc>
          <w:tcPr>
            <w:tcW w:w="3525" w:type="pct"/>
            <w:noWrap w:val="0"/>
            <w:vAlign w:val="top"/>
          </w:tcPr>
          <w:p w14:paraId="5F70BBA4">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供应商对磋商文件不清楚需要答疑的，可以在磋商</w:t>
            </w:r>
            <w:r>
              <w:rPr>
                <w:rFonts w:hint="eastAsia" w:ascii="宋体" w:hAnsi="宋体" w:eastAsia="宋体" w:cs="宋体"/>
                <w:color w:val="auto"/>
                <w:sz w:val="24"/>
                <w:highlight w:val="none"/>
                <w:lang w:val="en-US" w:eastAsia="zh-CN"/>
              </w:rPr>
              <w:t>文件提交</w:t>
            </w:r>
            <w:r>
              <w:rPr>
                <w:rFonts w:hint="eastAsia" w:ascii="宋体" w:hAnsi="宋体" w:eastAsia="宋体" w:cs="宋体"/>
                <w:color w:val="auto"/>
                <w:sz w:val="24"/>
                <w:highlight w:val="none"/>
              </w:rPr>
              <w:t>截止前3个工作日向代理机构提出询问，采购代理机构将在1个工作日内予以答复。</w:t>
            </w:r>
          </w:p>
        </w:tc>
      </w:tr>
      <w:tr w14:paraId="7D8DE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425" w:type="pct"/>
            <w:noWrap w:val="0"/>
            <w:vAlign w:val="center"/>
          </w:tcPr>
          <w:p w14:paraId="6D723A79">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18</w:t>
            </w:r>
          </w:p>
        </w:tc>
        <w:tc>
          <w:tcPr>
            <w:tcW w:w="1048" w:type="pct"/>
            <w:noWrap w:val="0"/>
            <w:vAlign w:val="center"/>
          </w:tcPr>
          <w:p w14:paraId="3195E820">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供应商对提出质疑的时间和方式</w:t>
            </w:r>
          </w:p>
        </w:tc>
        <w:tc>
          <w:tcPr>
            <w:tcW w:w="3525" w:type="pct"/>
            <w:noWrap w:val="0"/>
            <w:vAlign w:val="top"/>
          </w:tcPr>
          <w:p w14:paraId="3FF405E9">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认为磋商文件、磋商过程、成交结果使自己的权益受到损害的，可以在知道或应知其权益受到损害之日起7个工作日内以书面形式提出。根据委托代理协议约定，供应商提出的质疑由采购代理机构负责答复，超出委托范围的由采购人负责答复。</w:t>
            </w:r>
          </w:p>
          <w:p w14:paraId="264A51AE">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2.质疑受理：</w:t>
            </w:r>
          </w:p>
          <w:p w14:paraId="6B62B6C4">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（1）形式：书面形式。格式按照财政部标准格式。</w:t>
            </w:r>
          </w:p>
          <w:p w14:paraId="65F2DEBD">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（2）联系人：</w:t>
            </w:r>
            <w:r>
              <w:rPr>
                <w:rFonts w:hint="eastAsia" w:cs="宋体"/>
                <w:color w:val="auto"/>
                <w:sz w:val="24"/>
                <w:highlight w:val="none"/>
                <w:lang w:val="en-US" w:eastAsia="zh-CN"/>
              </w:rPr>
              <w:t>招标部</w:t>
            </w:r>
            <w:r>
              <w:rPr>
                <w:rFonts w:hint="eastAsia" w:ascii="宋体" w:hAnsi="宋体" w:eastAsia="宋体" w:cs="宋体"/>
                <w:color w:val="auto"/>
                <w:sz w:val="24"/>
                <w:highlight w:val="none"/>
                <w:lang w:val="en-US" w:eastAsia="zh-CN"/>
              </w:rPr>
              <w:t xml:space="preserve"> </w:t>
            </w:r>
            <w:r>
              <w:rPr>
                <w:rFonts w:hint="eastAsia"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联系方式：</w:t>
            </w:r>
            <w:r>
              <w:rPr>
                <w:rFonts w:hint="eastAsia" w:cs="宋体"/>
                <w:color w:val="auto"/>
                <w:sz w:val="24"/>
                <w:highlight w:val="none"/>
                <w:lang w:val="en-US" w:eastAsia="zh-CN"/>
              </w:rPr>
              <w:t>0917-3232030</w:t>
            </w:r>
          </w:p>
        </w:tc>
      </w:tr>
      <w:tr w14:paraId="27BC3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5" w:type="pct"/>
            <w:noWrap w:val="0"/>
            <w:vAlign w:val="center"/>
          </w:tcPr>
          <w:p w14:paraId="7D1D9850">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19</w:t>
            </w:r>
          </w:p>
        </w:tc>
        <w:tc>
          <w:tcPr>
            <w:tcW w:w="1048" w:type="pct"/>
            <w:noWrap w:val="0"/>
            <w:vAlign w:val="center"/>
          </w:tcPr>
          <w:p w14:paraId="59B807CB">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构成竞争性磋商文件的其他文件</w:t>
            </w:r>
          </w:p>
        </w:tc>
        <w:tc>
          <w:tcPr>
            <w:tcW w:w="3525" w:type="pct"/>
            <w:noWrap w:val="0"/>
            <w:vAlign w:val="top"/>
          </w:tcPr>
          <w:p w14:paraId="25EA6870">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竞争性磋商文件的澄清、修改书及有关补充通知为竞争性磋商文件的有效组成部分。</w:t>
            </w:r>
          </w:p>
        </w:tc>
      </w:tr>
      <w:tr w14:paraId="4B7E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425" w:type="pct"/>
            <w:noWrap w:val="0"/>
            <w:vAlign w:val="center"/>
          </w:tcPr>
          <w:p w14:paraId="677B273B">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20</w:t>
            </w:r>
          </w:p>
        </w:tc>
        <w:tc>
          <w:tcPr>
            <w:tcW w:w="1048" w:type="pct"/>
            <w:noWrap w:val="0"/>
            <w:vAlign w:val="center"/>
          </w:tcPr>
          <w:p w14:paraId="2F44114F">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响应文件提交截止时间及地点</w:t>
            </w:r>
          </w:p>
        </w:tc>
        <w:tc>
          <w:tcPr>
            <w:tcW w:w="3525" w:type="pct"/>
            <w:shd w:val="clear" w:color="auto" w:fill="auto"/>
            <w:noWrap w:val="0"/>
            <w:vAlign w:val="top"/>
          </w:tcPr>
          <w:p w14:paraId="61D025D7">
            <w:pPr>
              <w:pStyle w:val="42"/>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pacing w:val="0"/>
                <w:w w:val="100"/>
                <w:position w:val="0"/>
                <w:sz w:val="24"/>
                <w:szCs w:val="24"/>
                <w:highlight w:val="none"/>
                <w:lang w:val="en-US" w:eastAsia="zh-CN"/>
              </w:rPr>
              <w:t>电子响应文件（*.SXSTF）可于</w:t>
            </w:r>
            <w:r>
              <w:rPr>
                <w:rFonts w:hint="eastAsia" w:ascii="宋体" w:hAnsi="宋体" w:eastAsia="宋体" w:cs="宋体"/>
                <w:b w:val="0"/>
                <w:bCs w:val="0"/>
                <w:color w:val="auto"/>
                <w:spacing w:val="0"/>
                <w:w w:val="100"/>
                <w:position w:val="0"/>
                <w:sz w:val="24"/>
                <w:szCs w:val="24"/>
                <w:highlight w:val="none"/>
                <w:shd w:val="clear" w:color="auto" w:fill="auto"/>
                <w:lang w:val="en-US" w:eastAsia="zh-CN"/>
              </w:rPr>
              <w:t xml:space="preserve"> 202</w:t>
            </w:r>
            <w:r>
              <w:rPr>
                <w:rFonts w:hint="eastAsia" w:cs="宋体"/>
                <w:b w:val="0"/>
                <w:bCs w:val="0"/>
                <w:color w:val="auto"/>
                <w:spacing w:val="0"/>
                <w:w w:val="100"/>
                <w:position w:val="0"/>
                <w:sz w:val="24"/>
                <w:szCs w:val="24"/>
                <w:highlight w:val="none"/>
                <w:shd w:val="clear" w:color="auto" w:fill="auto"/>
                <w:lang w:val="en-US" w:eastAsia="zh-CN"/>
              </w:rPr>
              <w:t>6</w:t>
            </w:r>
            <w:r>
              <w:rPr>
                <w:rFonts w:hint="eastAsia" w:ascii="宋体" w:hAnsi="宋体" w:eastAsia="宋体" w:cs="宋体"/>
                <w:b w:val="0"/>
                <w:bCs w:val="0"/>
                <w:color w:val="auto"/>
                <w:spacing w:val="0"/>
                <w:w w:val="100"/>
                <w:position w:val="0"/>
                <w:sz w:val="24"/>
                <w:szCs w:val="24"/>
                <w:highlight w:val="none"/>
                <w:shd w:val="clear" w:color="auto" w:fill="auto"/>
                <w:lang w:val="en-US" w:eastAsia="zh-CN"/>
              </w:rPr>
              <w:t xml:space="preserve"> 年</w:t>
            </w:r>
            <w:r>
              <w:rPr>
                <w:rFonts w:hint="eastAsia" w:cs="宋体"/>
                <w:b w:val="0"/>
                <w:bCs w:val="0"/>
                <w:color w:val="auto"/>
                <w:spacing w:val="0"/>
                <w:w w:val="100"/>
                <w:position w:val="0"/>
                <w:sz w:val="24"/>
                <w:szCs w:val="24"/>
                <w:highlight w:val="none"/>
                <w:shd w:val="clear" w:color="auto" w:fill="auto"/>
                <w:lang w:val="en-US" w:eastAsia="zh-CN"/>
              </w:rPr>
              <w:t>06</w:t>
            </w:r>
            <w:r>
              <w:rPr>
                <w:rFonts w:hint="eastAsia" w:ascii="宋体" w:hAnsi="宋体" w:eastAsia="宋体" w:cs="宋体"/>
                <w:b w:val="0"/>
                <w:bCs w:val="0"/>
                <w:color w:val="auto"/>
                <w:spacing w:val="0"/>
                <w:w w:val="100"/>
                <w:position w:val="0"/>
                <w:sz w:val="24"/>
                <w:szCs w:val="24"/>
                <w:highlight w:val="none"/>
                <w:shd w:val="clear" w:color="auto" w:fill="auto"/>
                <w:lang w:val="en-US" w:eastAsia="zh-CN"/>
              </w:rPr>
              <w:t>月</w:t>
            </w:r>
            <w:r>
              <w:rPr>
                <w:rFonts w:hint="eastAsia" w:cs="宋体"/>
                <w:b w:val="0"/>
                <w:bCs w:val="0"/>
                <w:color w:val="auto"/>
                <w:spacing w:val="0"/>
                <w:w w:val="100"/>
                <w:position w:val="0"/>
                <w:sz w:val="24"/>
                <w:szCs w:val="24"/>
                <w:highlight w:val="none"/>
                <w:shd w:val="clear" w:color="auto" w:fill="auto"/>
                <w:lang w:val="en-US" w:eastAsia="zh-CN"/>
              </w:rPr>
              <w:t>05</w:t>
            </w:r>
            <w:r>
              <w:rPr>
                <w:rFonts w:hint="eastAsia" w:ascii="宋体" w:hAnsi="宋体" w:eastAsia="宋体" w:cs="宋体"/>
                <w:b w:val="0"/>
                <w:bCs w:val="0"/>
                <w:color w:val="auto"/>
                <w:spacing w:val="0"/>
                <w:w w:val="100"/>
                <w:position w:val="0"/>
                <w:sz w:val="24"/>
                <w:szCs w:val="24"/>
                <w:highlight w:val="none"/>
                <w:shd w:val="clear" w:color="auto" w:fill="auto"/>
                <w:lang w:val="en-US" w:eastAsia="zh-CN"/>
              </w:rPr>
              <w:t>日</w:t>
            </w:r>
            <w:r>
              <w:rPr>
                <w:rFonts w:hint="eastAsia" w:cs="宋体"/>
                <w:b w:val="0"/>
                <w:bCs w:val="0"/>
                <w:color w:val="auto"/>
                <w:spacing w:val="0"/>
                <w:w w:val="100"/>
                <w:position w:val="0"/>
                <w:sz w:val="24"/>
                <w:szCs w:val="24"/>
                <w:highlight w:val="none"/>
                <w:shd w:val="clear" w:color="auto" w:fill="auto"/>
                <w:lang w:val="en-US" w:eastAsia="zh-CN"/>
              </w:rPr>
              <w:t>09</w:t>
            </w:r>
            <w:r>
              <w:rPr>
                <w:rFonts w:hint="eastAsia" w:ascii="宋体" w:hAnsi="宋体" w:eastAsia="宋体" w:cs="宋体"/>
                <w:b w:val="0"/>
                <w:bCs w:val="0"/>
                <w:color w:val="auto"/>
                <w:spacing w:val="0"/>
                <w:w w:val="100"/>
                <w:position w:val="0"/>
                <w:sz w:val="24"/>
                <w:szCs w:val="24"/>
                <w:highlight w:val="none"/>
                <w:shd w:val="clear" w:color="auto" w:fill="auto"/>
                <w:lang w:val="en-US" w:eastAsia="zh-CN"/>
              </w:rPr>
              <w:t xml:space="preserve">:00 </w:t>
            </w:r>
            <w:r>
              <w:rPr>
                <w:rFonts w:hint="eastAsia" w:ascii="宋体" w:hAnsi="宋体" w:eastAsia="宋体" w:cs="宋体"/>
                <w:b w:val="0"/>
                <w:bCs w:val="0"/>
                <w:color w:val="auto"/>
                <w:spacing w:val="0"/>
                <w:w w:val="100"/>
                <w:position w:val="0"/>
                <w:sz w:val="24"/>
                <w:szCs w:val="24"/>
                <w:highlight w:val="none"/>
                <w:lang w:val="en-US" w:eastAsia="zh-CN"/>
              </w:rPr>
              <w:t>前任意时间段登录全国公共资源交易平台（陕西省）网站进行提交，逾期系统将拒绝接收。</w:t>
            </w:r>
          </w:p>
        </w:tc>
      </w:tr>
      <w:tr w14:paraId="0E706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5" w:type="pct"/>
            <w:noWrap w:val="0"/>
            <w:vAlign w:val="center"/>
          </w:tcPr>
          <w:p w14:paraId="0386728A">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21</w:t>
            </w:r>
          </w:p>
        </w:tc>
        <w:tc>
          <w:tcPr>
            <w:tcW w:w="1048" w:type="pct"/>
            <w:noWrap w:val="0"/>
            <w:vAlign w:val="center"/>
          </w:tcPr>
          <w:p w14:paraId="438EC05A">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outlineLvl w:val="9"/>
              <w:rPr>
                <w:rFonts w:hint="eastAsia" w:ascii="宋体" w:hAnsi="宋体" w:eastAsia="宋体" w:cs="宋体"/>
                <w:b w:val="0"/>
                <w:bCs w:val="0"/>
                <w:color w:val="auto"/>
                <w:spacing w:val="0"/>
                <w:w w:val="100"/>
                <w:position w:val="0"/>
                <w:sz w:val="24"/>
                <w:szCs w:val="24"/>
                <w:highlight w:val="none"/>
                <w:lang w:val="en-US" w:eastAsia="zh-CN"/>
              </w:rPr>
            </w:pPr>
            <w:r>
              <w:rPr>
                <w:rFonts w:hint="eastAsia" w:ascii="宋体" w:hAnsi="宋体" w:eastAsia="宋体" w:cs="宋体"/>
                <w:b w:val="0"/>
                <w:bCs w:val="0"/>
                <w:color w:val="auto"/>
                <w:spacing w:val="0"/>
                <w:w w:val="100"/>
                <w:position w:val="0"/>
                <w:sz w:val="24"/>
                <w:szCs w:val="24"/>
                <w:highlight w:val="none"/>
                <w:lang w:val="en-US" w:eastAsia="zh-CN"/>
              </w:rPr>
              <w:t>磋商时间</w:t>
            </w:r>
          </w:p>
          <w:p w14:paraId="6AAC7468">
            <w:pPr>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pacing w:val="0"/>
                <w:w w:val="100"/>
                <w:position w:val="0"/>
                <w:sz w:val="24"/>
                <w:szCs w:val="24"/>
                <w:highlight w:val="none"/>
                <w:lang w:val="en-US" w:eastAsia="zh-CN"/>
              </w:rPr>
              <w:t>和地点</w:t>
            </w:r>
          </w:p>
        </w:tc>
        <w:tc>
          <w:tcPr>
            <w:tcW w:w="3525" w:type="pct"/>
            <w:shd w:val="clear" w:color="auto" w:fill="auto"/>
            <w:noWrap w:val="0"/>
            <w:vAlign w:val="center"/>
          </w:tcPr>
          <w:p w14:paraId="1B19E9D2">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outlineLvl w:val="9"/>
              <w:rPr>
                <w:rFonts w:hint="default" w:ascii="宋体" w:hAnsi="宋体" w:eastAsia="宋体" w:cs="宋体"/>
                <w:b w:val="0"/>
                <w:bCs w:val="0"/>
                <w:color w:val="auto"/>
                <w:spacing w:val="0"/>
                <w:w w:val="100"/>
                <w:position w:val="0"/>
                <w:sz w:val="24"/>
                <w:szCs w:val="24"/>
                <w:highlight w:val="none"/>
                <w:lang w:val="en-US" w:eastAsia="zh-CN"/>
              </w:rPr>
            </w:pPr>
            <w:r>
              <w:rPr>
                <w:rFonts w:hint="eastAsia" w:ascii="宋体" w:hAnsi="宋体" w:eastAsia="宋体" w:cs="宋体"/>
                <w:b w:val="0"/>
                <w:bCs w:val="0"/>
                <w:color w:val="auto"/>
                <w:spacing w:val="0"/>
                <w:w w:val="100"/>
                <w:position w:val="0"/>
                <w:sz w:val="24"/>
                <w:szCs w:val="24"/>
                <w:highlight w:val="none"/>
                <w:lang w:val="en-US" w:eastAsia="zh-CN"/>
              </w:rPr>
              <w:t>磋商时间：</w:t>
            </w:r>
            <w:r>
              <w:rPr>
                <w:rFonts w:hint="eastAsia" w:ascii="宋体" w:hAnsi="宋体" w:eastAsia="宋体" w:cs="宋体"/>
                <w:b w:val="0"/>
                <w:bCs w:val="0"/>
                <w:color w:val="auto"/>
                <w:spacing w:val="0"/>
                <w:w w:val="100"/>
                <w:position w:val="0"/>
                <w:sz w:val="24"/>
                <w:szCs w:val="24"/>
                <w:highlight w:val="none"/>
                <w:shd w:val="clear" w:color="auto" w:fill="auto"/>
                <w:lang w:val="en-US" w:eastAsia="zh-CN"/>
              </w:rPr>
              <w:t xml:space="preserve"> 202</w:t>
            </w:r>
            <w:r>
              <w:rPr>
                <w:rFonts w:hint="eastAsia" w:cs="宋体"/>
                <w:b w:val="0"/>
                <w:bCs w:val="0"/>
                <w:color w:val="auto"/>
                <w:spacing w:val="0"/>
                <w:w w:val="100"/>
                <w:position w:val="0"/>
                <w:sz w:val="24"/>
                <w:szCs w:val="24"/>
                <w:highlight w:val="none"/>
                <w:shd w:val="clear" w:color="auto" w:fill="auto"/>
                <w:lang w:val="en-US" w:eastAsia="zh-CN"/>
              </w:rPr>
              <w:t>6</w:t>
            </w:r>
            <w:r>
              <w:rPr>
                <w:rFonts w:hint="eastAsia" w:ascii="宋体" w:hAnsi="宋体" w:eastAsia="宋体" w:cs="宋体"/>
                <w:b w:val="0"/>
                <w:bCs w:val="0"/>
                <w:color w:val="auto"/>
                <w:spacing w:val="0"/>
                <w:w w:val="100"/>
                <w:position w:val="0"/>
                <w:sz w:val="24"/>
                <w:szCs w:val="24"/>
                <w:highlight w:val="none"/>
                <w:shd w:val="clear" w:color="auto" w:fill="auto"/>
                <w:lang w:val="en-US" w:eastAsia="zh-CN"/>
              </w:rPr>
              <w:t xml:space="preserve"> 年</w:t>
            </w:r>
            <w:r>
              <w:rPr>
                <w:rFonts w:hint="eastAsia" w:cs="宋体"/>
                <w:b w:val="0"/>
                <w:bCs w:val="0"/>
                <w:color w:val="auto"/>
                <w:spacing w:val="0"/>
                <w:w w:val="100"/>
                <w:position w:val="0"/>
                <w:sz w:val="24"/>
                <w:szCs w:val="24"/>
                <w:highlight w:val="none"/>
                <w:shd w:val="clear" w:color="auto" w:fill="auto"/>
                <w:lang w:val="en-US" w:eastAsia="zh-CN"/>
              </w:rPr>
              <w:t>06</w:t>
            </w:r>
            <w:r>
              <w:rPr>
                <w:rFonts w:hint="eastAsia" w:ascii="宋体" w:hAnsi="宋体" w:eastAsia="宋体" w:cs="宋体"/>
                <w:b w:val="0"/>
                <w:bCs w:val="0"/>
                <w:color w:val="auto"/>
                <w:spacing w:val="0"/>
                <w:w w:val="100"/>
                <w:position w:val="0"/>
                <w:sz w:val="24"/>
                <w:szCs w:val="24"/>
                <w:highlight w:val="none"/>
                <w:shd w:val="clear" w:color="auto" w:fill="auto"/>
                <w:lang w:val="en-US" w:eastAsia="zh-CN"/>
              </w:rPr>
              <w:t>月</w:t>
            </w:r>
            <w:r>
              <w:rPr>
                <w:rFonts w:hint="eastAsia" w:cs="宋体"/>
                <w:b w:val="0"/>
                <w:bCs w:val="0"/>
                <w:color w:val="auto"/>
                <w:spacing w:val="0"/>
                <w:w w:val="100"/>
                <w:position w:val="0"/>
                <w:sz w:val="24"/>
                <w:szCs w:val="24"/>
                <w:highlight w:val="none"/>
                <w:shd w:val="clear" w:color="auto" w:fill="auto"/>
                <w:lang w:val="en-US" w:eastAsia="zh-CN"/>
              </w:rPr>
              <w:t>05</w:t>
            </w:r>
            <w:r>
              <w:rPr>
                <w:rFonts w:hint="eastAsia" w:ascii="宋体" w:hAnsi="宋体" w:eastAsia="宋体" w:cs="宋体"/>
                <w:b w:val="0"/>
                <w:bCs w:val="0"/>
                <w:color w:val="auto"/>
                <w:spacing w:val="0"/>
                <w:w w:val="100"/>
                <w:position w:val="0"/>
                <w:sz w:val="24"/>
                <w:szCs w:val="24"/>
                <w:highlight w:val="none"/>
                <w:shd w:val="clear" w:color="auto" w:fill="auto"/>
                <w:lang w:val="en-US" w:eastAsia="zh-CN"/>
              </w:rPr>
              <w:t>日</w:t>
            </w:r>
            <w:r>
              <w:rPr>
                <w:rFonts w:hint="eastAsia" w:cs="宋体"/>
                <w:b w:val="0"/>
                <w:bCs w:val="0"/>
                <w:color w:val="auto"/>
                <w:spacing w:val="0"/>
                <w:w w:val="100"/>
                <w:position w:val="0"/>
                <w:sz w:val="24"/>
                <w:szCs w:val="24"/>
                <w:highlight w:val="none"/>
                <w:shd w:val="clear" w:color="auto" w:fill="auto"/>
                <w:lang w:val="en-US" w:eastAsia="zh-CN"/>
              </w:rPr>
              <w:t>09</w:t>
            </w:r>
            <w:r>
              <w:rPr>
                <w:rFonts w:hint="eastAsia" w:ascii="宋体" w:hAnsi="宋体" w:eastAsia="宋体" w:cs="宋体"/>
                <w:b w:val="0"/>
                <w:bCs w:val="0"/>
                <w:color w:val="auto"/>
                <w:spacing w:val="0"/>
                <w:w w:val="100"/>
                <w:position w:val="0"/>
                <w:sz w:val="24"/>
                <w:szCs w:val="24"/>
                <w:highlight w:val="none"/>
                <w:shd w:val="clear" w:color="auto" w:fill="auto"/>
                <w:lang w:val="en-US" w:eastAsia="zh-CN"/>
              </w:rPr>
              <w:t>:00</w:t>
            </w:r>
          </w:p>
          <w:p w14:paraId="4827CB89">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outlineLvl w:val="9"/>
              <w:rPr>
                <w:rFonts w:hint="eastAsia" w:ascii="宋体" w:hAnsi="宋体" w:eastAsia="宋体" w:cs="宋体"/>
                <w:b w:val="0"/>
                <w:bCs w:val="0"/>
                <w:color w:val="auto"/>
                <w:spacing w:val="0"/>
                <w:w w:val="100"/>
                <w:position w:val="0"/>
                <w:sz w:val="24"/>
                <w:szCs w:val="24"/>
                <w:highlight w:val="none"/>
                <w:lang w:val="en-US" w:eastAsia="zh-CN"/>
              </w:rPr>
            </w:pPr>
            <w:r>
              <w:rPr>
                <w:rFonts w:hint="eastAsia" w:ascii="宋体" w:hAnsi="宋体" w:eastAsia="宋体" w:cs="宋体"/>
                <w:b w:val="0"/>
                <w:bCs w:val="0"/>
                <w:color w:val="auto"/>
                <w:spacing w:val="0"/>
                <w:w w:val="100"/>
                <w:position w:val="0"/>
                <w:sz w:val="24"/>
                <w:szCs w:val="24"/>
                <w:highlight w:val="none"/>
                <w:lang w:val="en-US" w:eastAsia="zh-CN"/>
              </w:rPr>
              <w:t>磋商地点：</w:t>
            </w:r>
            <w:r>
              <w:rPr>
                <w:rFonts w:hint="eastAsia" w:ascii="宋体" w:hAnsi="宋体" w:eastAsia="宋体" w:cs="宋体"/>
                <w:i w:val="0"/>
                <w:iCs w:val="0"/>
                <w:caps w:val="0"/>
                <w:color w:val="333333"/>
                <w:spacing w:val="0"/>
                <w:sz w:val="24"/>
                <w:szCs w:val="24"/>
                <w:highlight w:val="none"/>
                <w:shd w:val="clear" w:color="auto" w:fill="FFFFFF"/>
                <w:vertAlign w:val="baseline"/>
              </w:rPr>
              <w:t>全国公共资源交易平台（陕西省·宝鸡市）宝鸡市公共资源交易中心</w:t>
            </w:r>
            <w:r>
              <w:rPr>
                <w:rFonts w:hint="eastAsia" w:ascii="宋体" w:hAnsi="宋体" w:eastAsia="宋体" w:cs="宋体"/>
                <w:i w:val="0"/>
                <w:iCs w:val="0"/>
                <w:caps w:val="0"/>
                <w:color w:val="333333"/>
                <w:spacing w:val="0"/>
                <w:sz w:val="24"/>
                <w:szCs w:val="24"/>
                <w:highlight w:val="none"/>
                <w:shd w:val="clear" w:color="auto" w:fill="FFFFFF"/>
                <w:vertAlign w:val="baseline"/>
                <w:lang w:val="en-US" w:eastAsia="zh-CN"/>
              </w:rPr>
              <w:t>不见面开标大厅</w:t>
            </w:r>
            <w:r>
              <w:rPr>
                <w:rFonts w:hint="eastAsia" w:ascii="宋体" w:hAnsi="宋体" w:eastAsia="宋体" w:cs="宋体"/>
                <w:b w:val="0"/>
                <w:bCs w:val="0"/>
                <w:color w:val="auto"/>
                <w:spacing w:val="0"/>
                <w:w w:val="100"/>
                <w:position w:val="0"/>
                <w:sz w:val="24"/>
                <w:szCs w:val="24"/>
                <w:highlight w:val="none"/>
                <w:lang w:val="en-US" w:eastAsia="zh-CN"/>
              </w:rPr>
              <w:t>。</w:t>
            </w:r>
          </w:p>
        </w:tc>
      </w:tr>
      <w:tr w14:paraId="56F09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25" w:type="pct"/>
            <w:noWrap w:val="0"/>
            <w:vAlign w:val="center"/>
          </w:tcPr>
          <w:p w14:paraId="2520C190">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22</w:t>
            </w:r>
          </w:p>
        </w:tc>
        <w:tc>
          <w:tcPr>
            <w:tcW w:w="1048" w:type="pct"/>
            <w:noWrap w:val="0"/>
            <w:vAlign w:val="center"/>
          </w:tcPr>
          <w:p w14:paraId="374EF3F0">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磋商有效期</w:t>
            </w:r>
          </w:p>
        </w:tc>
        <w:tc>
          <w:tcPr>
            <w:tcW w:w="3525" w:type="pct"/>
            <w:noWrap w:val="0"/>
            <w:vAlign w:val="top"/>
          </w:tcPr>
          <w:p w14:paraId="19B41CB1">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自提交磋商响应文件截止之日起90个日历日。</w:t>
            </w:r>
          </w:p>
        </w:tc>
      </w:tr>
      <w:tr w14:paraId="1048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425" w:type="pct"/>
            <w:noWrap w:val="0"/>
            <w:vAlign w:val="center"/>
          </w:tcPr>
          <w:p w14:paraId="7F81132C">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23</w:t>
            </w:r>
          </w:p>
        </w:tc>
        <w:tc>
          <w:tcPr>
            <w:tcW w:w="1048" w:type="pct"/>
            <w:noWrap w:val="0"/>
            <w:vAlign w:val="center"/>
          </w:tcPr>
          <w:p w14:paraId="0DA0AEBF">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评审方法</w:t>
            </w:r>
          </w:p>
        </w:tc>
        <w:tc>
          <w:tcPr>
            <w:tcW w:w="3525" w:type="pct"/>
            <w:noWrap w:val="0"/>
            <w:vAlign w:val="top"/>
          </w:tcPr>
          <w:p w14:paraId="60996DB5">
            <w:pPr>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综合评</w:t>
            </w:r>
            <w:r>
              <w:rPr>
                <w:rFonts w:hint="eastAsia" w:ascii="宋体" w:hAnsi="宋体" w:eastAsia="宋体" w:cs="宋体"/>
                <w:color w:val="auto"/>
                <w:spacing w:val="-4"/>
                <w:sz w:val="24"/>
                <w:highlight w:val="none"/>
                <w:lang w:val="en-US" w:eastAsia="zh-CN"/>
              </w:rPr>
              <w:t>分</w:t>
            </w:r>
            <w:r>
              <w:rPr>
                <w:rFonts w:hint="eastAsia" w:ascii="宋体" w:hAnsi="宋体" w:eastAsia="宋体" w:cs="宋体"/>
                <w:color w:val="auto"/>
                <w:spacing w:val="-4"/>
                <w:sz w:val="24"/>
                <w:highlight w:val="none"/>
              </w:rPr>
              <w:t>法</w:t>
            </w:r>
          </w:p>
        </w:tc>
      </w:tr>
      <w:tr w14:paraId="6F2B7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25" w:type="pct"/>
            <w:noWrap w:val="0"/>
            <w:vAlign w:val="center"/>
          </w:tcPr>
          <w:p w14:paraId="48E78080">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24</w:t>
            </w:r>
          </w:p>
        </w:tc>
        <w:tc>
          <w:tcPr>
            <w:tcW w:w="1048" w:type="pct"/>
            <w:noWrap w:val="0"/>
            <w:vAlign w:val="center"/>
          </w:tcPr>
          <w:p w14:paraId="7C47D19C">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磋商保证金</w:t>
            </w:r>
          </w:p>
        </w:tc>
        <w:tc>
          <w:tcPr>
            <w:tcW w:w="3525" w:type="pct"/>
            <w:shd w:val="clear" w:color="auto" w:fill="auto"/>
            <w:noWrap w:val="0"/>
            <w:vAlign w:val="center"/>
          </w:tcPr>
          <w:p w14:paraId="7E6102D6">
            <w:pPr>
              <w:keepNext w:val="0"/>
              <w:keepLines w:val="0"/>
              <w:pageBreakBefore w:val="0"/>
              <w:widowControl w:val="0"/>
              <w:numPr>
                <w:ilvl w:val="0"/>
                <w:numId w:val="0"/>
              </w:numPr>
              <w:kinsoku/>
              <w:wordWrap/>
              <w:overflowPunct/>
              <w:topLinePunct w:val="0"/>
              <w:autoSpaceDE/>
              <w:autoSpaceDN/>
              <w:bidi w:val="0"/>
              <w:adjustRightInd/>
              <w:snapToGrid/>
              <w:spacing w:line="370" w:lineRule="exact"/>
              <w:ind w:firstLine="240" w:firstLineChars="100"/>
              <w:textAlignment w:val="auto"/>
              <w:outlineLvl w:val="9"/>
              <w:rPr>
                <w:rFonts w:hint="eastAsia" w:ascii="宋体" w:hAnsi="宋体" w:eastAsia="宋体" w:cs="宋体"/>
                <w:b w:val="0"/>
                <w:bCs w:val="0"/>
                <w:color w:val="auto"/>
                <w:spacing w:val="0"/>
                <w:sz w:val="24"/>
                <w:szCs w:val="24"/>
                <w:highlight w:val="none"/>
              </w:rPr>
            </w:pPr>
            <w:r>
              <w:rPr>
                <w:rFonts w:hint="eastAsia" w:cs="宋体"/>
                <w:b w:val="0"/>
                <w:bCs w:val="0"/>
                <w:color w:val="auto"/>
                <w:spacing w:val="0"/>
                <w:sz w:val="24"/>
                <w:szCs w:val="24"/>
                <w:highlight w:val="none"/>
                <w:lang w:val="en-US" w:eastAsia="zh-CN"/>
              </w:rPr>
              <w:t>1.</w:t>
            </w:r>
            <w:r>
              <w:rPr>
                <w:rFonts w:hint="eastAsia" w:ascii="宋体" w:hAnsi="宋体" w:eastAsia="宋体" w:cs="宋体"/>
                <w:b w:val="0"/>
                <w:bCs w:val="0"/>
                <w:color w:val="auto"/>
                <w:spacing w:val="0"/>
                <w:sz w:val="24"/>
                <w:szCs w:val="24"/>
                <w:highlight w:val="none"/>
                <w:lang w:val="en-US" w:eastAsia="zh-CN"/>
              </w:rPr>
              <w:t>磋商</w:t>
            </w:r>
            <w:r>
              <w:rPr>
                <w:rFonts w:hint="eastAsia" w:ascii="宋体" w:hAnsi="宋体" w:eastAsia="宋体" w:cs="宋体"/>
                <w:b w:val="0"/>
                <w:bCs w:val="0"/>
                <w:color w:val="auto"/>
                <w:spacing w:val="0"/>
                <w:sz w:val="24"/>
                <w:szCs w:val="24"/>
                <w:highlight w:val="none"/>
              </w:rPr>
              <w:t>保证金的形式：磋商保证金应为人民币，可采用下列任何一种形式支付：支票、汇票、本票、保函等非现金形式交纳或提交保证金。</w:t>
            </w:r>
          </w:p>
          <w:p w14:paraId="2FE17164">
            <w:pPr>
              <w:keepNext w:val="0"/>
              <w:keepLines w:val="0"/>
              <w:pageBreakBefore w:val="0"/>
              <w:widowControl w:val="0"/>
              <w:numPr>
                <w:ilvl w:val="0"/>
                <w:numId w:val="0"/>
              </w:numPr>
              <w:kinsoku/>
              <w:wordWrap/>
              <w:overflowPunct/>
              <w:topLinePunct w:val="0"/>
              <w:autoSpaceDE/>
              <w:autoSpaceDN/>
              <w:bidi w:val="0"/>
              <w:adjustRightInd/>
              <w:snapToGrid/>
              <w:spacing w:line="370" w:lineRule="exact"/>
              <w:ind w:leftChars="0" w:firstLine="240" w:firstLineChars="100"/>
              <w:textAlignment w:val="auto"/>
              <w:outlineLvl w:val="9"/>
              <w:rPr>
                <w:rFonts w:hint="eastAsia" w:ascii="宋体" w:hAnsi="宋体" w:eastAsia="宋体" w:cs="宋体"/>
                <w:b w:val="0"/>
                <w:bCs w:val="0"/>
                <w:color w:val="auto"/>
                <w:spacing w:val="0"/>
                <w:sz w:val="24"/>
                <w:szCs w:val="24"/>
                <w:highlight w:val="none"/>
                <w:lang w:val="en-US" w:eastAsia="zh-CN"/>
              </w:rPr>
            </w:pPr>
            <w:r>
              <w:rPr>
                <w:rFonts w:hint="eastAsia" w:cs="宋体"/>
                <w:b w:val="0"/>
                <w:bCs w:val="0"/>
                <w:color w:val="auto"/>
                <w:spacing w:val="0"/>
                <w:sz w:val="24"/>
                <w:szCs w:val="24"/>
                <w:highlight w:val="none"/>
                <w:lang w:val="en-US" w:eastAsia="zh-CN"/>
              </w:rPr>
              <w:t>2.</w:t>
            </w:r>
            <w:r>
              <w:rPr>
                <w:rFonts w:hint="eastAsia" w:ascii="宋体" w:hAnsi="宋体" w:eastAsia="宋体" w:cs="宋体"/>
                <w:b w:val="0"/>
                <w:bCs w:val="0"/>
                <w:color w:val="auto"/>
                <w:spacing w:val="0"/>
                <w:sz w:val="24"/>
                <w:szCs w:val="24"/>
                <w:highlight w:val="none"/>
                <w:lang w:val="en-US" w:eastAsia="zh-CN"/>
              </w:rPr>
              <w:t>磋商保证金的金额：</w:t>
            </w:r>
            <w:r>
              <w:rPr>
                <w:rFonts w:hint="eastAsia" w:cs="宋体"/>
                <w:b w:val="0"/>
                <w:bCs w:val="0"/>
                <w:color w:val="auto"/>
                <w:spacing w:val="0"/>
                <w:sz w:val="24"/>
                <w:szCs w:val="24"/>
                <w:highlight w:val="none"/>
                <w:lang w:val="en-US" w:eastAsia="zh-CN"/>
              </w:rPr>
              <w:t>陆仟元整</w:t>
            </w:r>
            <w:r>
              <w:rPr>
                <w:rFonts w:hint="eastAsia" w:ascii="宋体" w:hAnsi="宋体" w:eastAsia="宋体" w:cs="宋体"/>
                <w:b w:val="0"/>
                <w:bCs w:val="0"/>
                <w:color w:val="auto"/>
                <w:spacing w:val="0"/>
                <w:sz w:val="24"/>
                <w:szCs w:val="24"/>
                <w:highlight w:val="none"/>
                <w:lang w:val="en-US" w:eastAsia="zh-CN"/>
              </w:rPr>
              <w:t>（</w:t>
            </w:r>
            <w:r>
              <w:rPr>
                <w:rFonts w:hint="eastAsia" w:cs="宋体"/>
                <w:b w:val="0"/>
                <w:bCs w:val="0"/>
                <w:color w:val="auto"/>
                <w:spacing w:val="0"/>
                <w:sz w:val="24"/>
                <w:szCs w:val="24"/>
                <w:highlight w:val="none"/>
                <w:lang w:val="en-US" w:eastAsia="zh-CN"/>
              </w:rPr>
              <w:t>6</w:t>
            </w:r>
            <w:r>
              <w:rPr>
                <w:rFonts w:hint="eastAsia" w:ascii="宋体" w:hAnsi="宋体" w:eastAsia="宋体" w:cs="宋体"/>
                <w:b w:val="0"/>
                <w:bCs w:val="0"/>
                <w:color w:val="auto"/>
                <w:spacing w:val="0"/>
                <w:sz w:val="24"/>
                <w:szCs w:val="24"/>
                <w:highlight w:val="none"/>
                <w:lang w:val="en-US" w:eastAsia="zh-CN"/>
              </w:rPr>
              <w:t>000.00元）</w:t>
            </w:r>
          </w:p>
          <w:p w14:paraId="66EECC16">
            <w:pPr>
              <w:keepNext w:val="0"/>
              <w:keepLines w:val="0"/>
              <w:pageBreakBefore w:val="0"/>
              <w:widowControl w:val="0"/>
              <w:numPr>
                <w:ilvl w:val="0"/>
                <w:numId w:val="0"/>
              </w:numPr>
              <w:kinsoku/>
              <w:wordWrap/>
              <w:overflowPunct/>
              <w:topLinePunct w:val="0"/>
              <w:autoSpaceDE/>
              <w:autoSpaceDN/>
              <w:bidi w:val="0"/>
              <w:adjustRightInd/>
              <w:snapToGrid/>
              <w:spacing w:line="370" w:lineRule="exact"/>
              <w:ind w:leftChars="0" w:firstLine="240" w:firstLineChars="100"/>
              <w:textAlignment w:val="auto"/>
              <w:outlineLvl w:val="9"/>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3.保证金汇款账户：</w:t>
            </w:r>
          </w:p>
          <w:p w14:paraId="719C81BD">
            <w:pPr>
              <w:spacing w:line="360" w:lineRule="auto"/>
              <w:rPr>
                <w:rFonts w:hint="eastAsia" w:ascii="宋体" w:hAnsi="宋体" w:eastAsia="宋体" w:cs="宋体"/>
                <w:b/>
                <w:bCs/>
                <w:kern w:val="0"/>
                <w:sz w:val="22"/>
                <w:szCs w:val="22"/>
                <w:highlight w:val="none"/>
                <w:lang w:val="en-US" w:eastAsia="zh-CN"/>
              </w:rPr>
            </w:pPr>
            <w:r>
              <w:rPr>
                <w:rFonts w:hint="eastAsia" w:ascii="宋体" w:hAnsi="宋体" w:eastAsia="宋体" w:cs="宋体"/>
                <w:b/>
                <w:bCs/>
                <w:kern w:val="0"/>
                <w:sz w:val="22"/>
                <w:szCs w:val="22"/>
                <w:highlight w:val="none"/>
                <w:lang w:val="en-US" w:eastAsia="zh-CN"/>
              </w:rPr>
              <w:t>帐户名：宝鸡市公共资源交易中心保证金专户</w:t>
            </w:r>
          </w:p>
          <w:p w14:paraId="5DD33068">
            <w:pPr>
              <w:shd w:val="clear"/>
              <w:spacing w:line="360" w:lineRule="auto"/>
              <w:rPr>
                <w:rFonts w:hint="eastAsia" w:ascii="宋体" w:hAnsi="宋体" w:eastAsia="宋体" w:cs="宋体"/>
                <w:b/>
                <w:bCs/>
                <w:kern w:val="0"/>
                <w:sz w:val="22"/>
                <w:szCs w:val="22"/>
                <w:highlight w:val="none"/>
                <w:lang w:val="en-US" w:eastAsia="zh-CN"/>
              </w:rPr>
            </w:pPr>
            <w:r>
              <w:rPr>
                <w:rFonts w:hint="eastAsia" w:ascii="宋体" w:hAnsi="宋体" w:eastAsia="宋体" w:cs="宋体"/>
                <w:b/>
                <w:bCs/>
                <w:kern w:val="0"/>
                <w:sz w:val="22"/>
                <w:szCs w:val="22"/>
                <w:highlight w:val="none"/>
                <w:lang w:val="en-US" w:eastAsia="zh-CN"/>
              </w:rPr>
              <w:t>开户行名称：长安银行股份有限公司宝鸡分行营业部</w:t>
            </w:r>
          </w:p>
          <w:p w14:paraId="6D41A3F6">
            <w:pPr>
              <w:shd w:val="clear"/>
              <w:spacing w:line="360" w:lineRule="auto"/>
              <w:rPr>
                <w:rFonts w:hint="eastAsia" w:ascii="宋体" w:hAnsi="宋体" w:eastAsia="宋体" w:cs="宋体"/>
                <w:b/>
                <w:bCs/>
                <w:kern w:val="0"/>
                <w:sz w:val="22"/>
                <w:szCs w:val="22"/>
                <w:highlight w:val="none"/>
                <w:lang w:val="en-US" w:eastAsia="zh-CN"/>
              </w:rPr>
            </w:pPr>
            <w:bookmarkStart w:id="101" w:name="_GoBack"/>
            <w:r>
              <w:rPr>
                <w:rFonts w:hint="eastAsia" w:ascii="宋体" w:hAnsi="宋体" w:eastAsia="宋体" w:cs="宋体"/>
                <w:b/>
                <w:bCs/>
                <w:kern w:val="0"/>
                <w:sz w:val="22"/>
                <w:szCs w:val="22"/>
                <w:highlight w:val="none"/>
                <w:lang w:val="en-US" w:eastAsia="zh-CN"/>
              </w:rPr>
              <w:t>账 号：80602000142101980617895</w:t>
            </w:r>
          </w:p>
          <w:bookmarkEnd w:id="101"/>
          <w:p w14:paraId="7E9814A7">
            <w:pPr>
              <w:pStyle w:val="7"/>
              <w:shd w:val="clear"/>
              <w:spacing w:after="0"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备注：</w:t>
            </w:r>
          </w:p>
          <w:p w14:paraId="7840D9EF">
            <w:pPr>
              <w:pStyle w:val="7"/>
              <w:numPr>
                <w:ilvl w:val="0"/>
                <w:numId w:val="1"/>
              </w:numPr>
              <w:shd w:val="clear"/>
              <w:spacing w:after="0" w:line="360" w:lineRule="auto"/>
              <w:ind w:left="-163" w:leftChars="0" w:firstLineChars="0"/>
              <w:rPr>
                <w:rFonts w:hint="eastAsia" w:ascii="宋体" w:hAnsi="宋体" w:eastAsia="宋体" w:cs="宋体"/>
                <w:b/>
                <w:bCs/>
                <w:color w:val="auto"/>
                <w:sz w:val="22"/>
                <w:szCs w:val="22"/>
                <w:highlight w:val="none"/>
                <w:shd w:val="clear"/>
              </w:rPr>
            </w:pPr>
            <w:r>
              <w:rPr>
                <w:rFonts w:hint="eastAsia" w:ascii="宋体" w:hAnsi="宋体" w:eastAsia="宋体" w:cs="宋体"/>
                <w:b/>
                <w:bCs/>
                <w:color w:val="auto"/>
                <w:sz w:val="22"/>
                <w:szCs w:val="22"/>
                <w:highlight w:val="none"/>
              </w:rPr>
              <w:t>保证金缴纳凭证/保函必须注明</w:t>
            </w:r>
            <w:r>
              <w:rPr>
                <w:rFonts w:hint="eastAsia" w:ascii="宋体" w:hAnsi="宋体" w:eastAsia="宋体" w:cs="宋体"/>
                <w:b/>
                <w:bCs/>
                <w:color w:val="auto"/>
                <w:sz w:val="22"/>
                <w:szCs w:val="22"/>
                <w:highlight w:val="none"/>
                <w:shd w:val="clear"/>
              </w:rPr>
              <w:t>：</w:t>
            </w:r>
            <w:r>
              <w:rPr>
                <w:rFonts w:hint="eastAsia" w:ascii="宋体" w:hAnsi="宋体" w:eastAsia="宋体" w:cs="宋体"/>
                <w:b/>
                <w:bCs/>
                <w:kern w:val="0"/>
                <w:sz w:val="22"/>
                <w:szCs w:val="22"/>
                <w:highlight w:val="none"/>
                <w:lang w:val="en-US" w:eastAsia="zh-CN"/>
              </w:rPr>
              <w:t>17895</w:t>
            </w:r>
            <w:r>
              <w:rPr>
                <w:rFonts w:hint="eastAsia" w:eastAsia="宋体" w:cs="宋体"/>
                <w:b/>
                <w:bCs/>
                <w:kern w:val="0"/>
                <w:sz w:val="22"/>
                <w:szCs w:val="22"/>
                <w:highlight w:val="none"/>
                <w:shd w:val="clear"/>
                <w:lang w:val="en-US" w:eastAsia="zh-CN"/>
              </w:rPr>
              <w:t xml:space="preserve"> </w:t>
            </w:r>
            <w:r>
              <w:rPr>
                <w:rFonts w:hint="eastAsia" w:ascii="宋体" w:hAnsi="宋体" w:eastAsia="宋体" w:cs="宋体"/>
                <w:b/>
                <w:bCs/>
                <w:color w:val="auto"/>
                <w:sz w:val="22"/>
                <w:szCs w:val="22"/>
                <w:highlight w:val="none"/>
                <w:shd w:val="clear"/>
              </w:rPr>
              <w:t>。</w:t>
            </w:r>
          </w:p>
          <w:p w14:paraId="5D080ED5">
            <w:pPr>
              <w:pStyle w:val="10"/>
              <w:spacing w:line="360" w:lineRule="auto"/>
              <w:jc w:val="left"/>
              <w:rPr>
                <w:rFonts w:hint="eastAsia" w:ascii="宋体" w:hAnsi="宋体" w:eastAsia="宋体" w:cs="宋体"/>
                <w:b/>
                <w:sz w:val="22"/>
                <w:szCs w:val="22"/>
                <w:highlight w:val="none"/>
              </w:rPr>
            </w:pPr>
            <w:r>
              <w:rPr>
                <w:rFonts w:hint="eastAsia" w:ascii="宋体" w:hAnsi="宋体" w:eastAsia="宋体" w:cs="宋体"/>
                <w:b/>
                <w:sz w:val="22"/>
                <w:szCs w:val="22"/>
                <w:highlight w:val="none"/>
              </w:rPr>
              <w:t>（</w:t>
            </w:r>
            <w:r>
              <w:rPr>
                <w:rFonts w:hint="eastAsia" w:ascii="宋体" w:hAnsi="宋体" w:eastAsia="宋体" w:cs="宋体"/>
                <w:b/>
                <w:sz w:val="22"/>
                <w:szCs w:val="22"/>
                <w:highlight w:val="none"/>
                <w:lang w:val="en-US" w:eastAsia="zh-CN"/>
              </w:rPr>
              <w:t>2</w:t>
            </w:r>
            <w:r>
              <w:rPr>
                <w:rFonts w:hint="eastAsia" w:ascii="宋体" w:hAnsi="宋体" w:eastAsia="宋体" w:cs="宋体"/>
                <w:b/>
                <w:sz w:val="22"/>
                <w:szCs w:val="22"/>
                <w:highlight w:val="none"/>
              </w:rPr>
              <w:t>）保证金以</w:t>
            </w:r>
            <w:r>
              <w:rPr>
                <w:rFonts w:hint="eastAsia" w:ascii="宋体" w:hAnsi="宋体" w:eastAsia="宋体" w:cs="宋体"/>
                <w:b/>
                <w:sz w:val="22"/>
                <w:szCs w:val="22"/>
                <w:highlight w:val="none"/>
                <w:lang w:eastAsia="zh-CN"/>
              </w:rPr>
              <w:t>供应商</w:t>
            </w:r>
            <w:r>
              <w:rPr>
                <w:rFonts w:hint="eastAsia" w:ascii="宋体" w:hAnsi="宋体" w:eastAsia="宋体" w:cs="宋体"/>
                <w:b/>
                <w:sz w:val="22"/>
                <w:szCs w:val="22"/>
                <w:highlight w:val="none"/>
              </w:rPr>
              <w:t>名称汇款,如以个人汇款，视为无效。</w:t>
            </w:r>
          </w:p>
          <w:p w14:paraId="4D95A40B">
            <w:pPr>
              <w:pStyle w:val="10"/>
              <w:spacing w:line="360" w:lineRule="auto"/>
              <w:jc w:val="left"/>
              <w:rPr>
                <w:rFonts w:hint="eastAsia" w:ascii="宋体" w:hAnsi="宋体" w:eastAsia="宋体" w:cs="宋体"/>
                <w:b/>
                <w:sz w:val="22"/>
                <w:szCs w:val="22"/>
                <w:highlight w:val="none"/>
                <w:lang w:val="en-US" w:eastAsia="zh-CN"/>
              </w:rPr>
            </w:pPr>
            <w:r>
              <w:rPr>
                <w:rFonts w:hint="eastAsia" w:ascii="宋体" w:hAnsi="宋体" w:eastAsia="宋体" w:cs="宋体"/>
                <w:b/>
                <w:bCs/>
                <w:sz w:val="22"/>
                <w:szCs w:val="22"/>
                <w:highlight w:val="none"/>
              </w:rPr>
              <w:t>（</w:t>
            </w:r>
            <w:r>
              <w:rPr>
                <w:rFonts w:hint="eastAsia" w:ascii="宋体" w:hAnsi="宋体" w:eastAsia="宋体" w:cs="宋体"/>
                <w:b/>
                <w:bCs/>
                <w:sz w:val="22"/>
                <w:szCs w:val="22"/>
                <w:highlight w:val="none"/>
                <w:lang w:val="en-US" w:eastAsia="zh-CN"/>
              </w:rPr>
              <w:t>3</w:t>
            </w:r>
            <w:r>
              <w:rPr>
                <w:rFonts w:hint="eastAsia" w:ascii="宋体" w:hAnsi="宋体" w:eastAsia="宋体" w:cs="宋体"/>
                <w:b/>
                <w:bCs/>
                <w:sz w:val="22"/>
                <w:szCs w:val="22"/>
                <w:highlight w:val="none"/>
              </w:rPr>
              <w:t>）</w:t>
            </w:r>
            <w:r>
              <w:rPr>
                <w:rFonts w:hint="eastAsia" w:ascii="宋体" w:hAnsi="宋体" w:eastAsia="宋体" w:cs="宋体"/>
                <w:b/>
                <w:bCs/>
                <w:sz w:val="22"/>
                <w:szCs w:val="22"/>
                <w:highlight w:val="none"/>
                <w:lang w:eastAsia="zh-CN"/>
              </w:rPr>
              <w:t>供应商</w:t>
            </w:r>
            <w:r>
              <w:rPr>
                <w:rFonts w:hint="eastAsia" w:ascii="宋体" w:hAnsi="宋体" w:eastAsia="宋体" w:cs="宋体"/>
                <w:b/>
                <w:bCs/>
                <w:sz w:val="22"/>
                <w:szCs w:val="22"/>
                <w:highlight w:val="none"/>
              </w:rPr>
              <w:t>未交纳、未足额交纳或未按规定时间交纳</w:t>
            </w:r>
            <w:r>
              <w:rPr>
                <w:rFonts w:hint="eastAsia" w:ascii="宋体" w:hAnsi="宋体" w:eastAsia="宋体" w:cs="宋体"/>
                <w:b/>
                <w:sz w:val="22"/>
                <w:szCs w:val="22"/>
                <w:highlight w:val="none"/>
                <w:lang w:val="en-US" w:eastAsia="zh-CN"/>
              </w:rPr>
              <w:t>保证金（保函）的，将被视为自动放弃投标权利。</w:t>
            </w:r>
          </w:p>
          <w:p w14:paraId="21B34EAD">
            <w:pPr>
              <w:pStyle w:val="10"/>
              <w:spacing w:line="360" w:lineRule="auto"/>
              <w:jc w:val="left"/>
              <w:rPr>
                <w:rFonts w:hint="eastAsia" w:ascii="宋体" w:hAnsi="宋体" w:eastAsia="宋体" w:cs="宋体"/>
                <w:b/>
                <w:sz w:val="22"/>
                <w:szCs w:val="22"/>
                <w:highlight w:val="none"/>
                <w:lang w:val="en-US" w:eastAsia="zh-CN"/>
              </w:rPr>
            </w:pPr>
            <w:r>
              <w:rPr>
                <w:rFonts w:hint="eastAsia" w:ascii="宋体" w:hAnsi="宋体" w:eastAsia="宋体" w:cs="宋体"/>
                <w:b/>
                <w:sz w:val="22"/>
                <w:szCs w:val="22"/>
                <w:highlight w:val="none"/>
                <w:lang w:val="en-US" w:eastAsia="zh-CN"/>
              </w:rPr>
              <w:t>（4）如以保函形式提交保证金的，</w:t>
            </w:r>
            <w:r>
              <w:rPr>
                <w:rFonts w:hint="eastAsia" w:ascii="宋体" w:hAnsi="宋体" w:eastAsia="宋体" w:cs="宋体"/>
                <w:b/>
                <w:bCs/>
                <w:sz w:val="22"/>
                <w:szCs w:val="22"/>
                <w:highlight w:val="none"/>
              </w:rPr>
              <w:t>至少提前</w:t>
            </w:r>
            <w:r>
              <w:rPr>
                <w:rFonts w:hint="eastAsia" w:hAnsi="宋体" w:cs="宋体"/>
                <w:b/>
                <w:bCs/>
                <w:sz w:val="22"/>
                <w:szCs w:val="22"/>
                <w:highlight w:val="none"/>
                <w:lang w:val="en-US" w:eastAsia="zh-CN"/>
              </w:rPr>
              <w:t>2</w:t>
            </w:r>
            <w:r>
              <w:rPr>
                <w:rFonts w:hint="eastAsia" w:ascii="宋体" w:hAnsi="宋体" w:eastAsia="宋体" w:cs="宋体"/>
                <w:b/>
                <w:bCs/>
                <w:sz w:val="22"/>
                <w:szCs w:val="22"/>
                <w:highlight w:val="none"/>
              </w:rPr>
              <w:t>个工作日</w:t>
            </w:r>
            <w:r>
              <w:rPr>
                <w:rFonts w:hint="eastAsia" w:ascii="宋体" w:hAnsi="宋体" w:eastAsia="宋体" w:cs="宋体"/>
                <w:b/>
                <w:sz w:val="22"/>
                <w:szCs w:val="22"/>
                <w:highlight w:val="none"/>
                <w:lang w:val="en-US" w:eastAsia="zh-CN"/>
              </w:rPr>
              <w:t>将保函</w:t>
            </w:r>
            <w:r>
              <w:rPr>
                <w:rFonts w:hint="eastAsia" w:hAnsi="宋体" w:cs="宋体"/>
                <w:b/>
                <w:sz w:val="22"/>
                <w:szCs w:val="22"/>
                <w:highlight w:val="none"/>
                <w:lang w:val="en-US" w:eastAsia="zh-CN"/>
              </w:rPr>
              <w:t>原件</w:t>
            </w:r>
            <w:r>
              <w:rPr>
                <w:rFonts w:hint="eastAsia" w:ascii="宋体" w:hAnsi="宋体" w:eastAsia="宋体" w:cs="宋体"/>
                <w:b/>
                <w:sz w:val="22"/>
                <w:szCs w:val="22"/>
                <w:highlight w:val="none"/>
                <w:lang w:val="en-US" w:eastAsia="zh-CN"/>
              </w:rPr>
              <w:t>送至</w:t>
            </w:r>
            <w:r>
              <w:rPr>
                <w:rFonts w:hint="eastAsia" w:hAnsi="宋体" w:cs="宋体"/>
                <w:b/>
                <w:sz w:val="22"/>
                <w:szCs w:val="22"/>
                <w:highlight w:val="none"/>
                <w:lang w:val="en-US" w:eastAsia="zh-CN"/>
              </w:rPr>
              <w:t>代理公司查验真伪</w:t>
            </w:r>
            <w:r>
              <w:rPr>
                <w:rFonts w:hint="eastAsia" w:ascii="宋体" w:hAnsi="宋体" w:eastAsia="宋体" w:cs="宋体"/>
                <w:b/>
                <w:sz w:val="22"/>
                <w:szCs w:val="22"/>
                <w:highlight w:val="none"/>
                <w:lang w:val="en-US" w:eastAsia="zh-CN"/>
              </w:rPr>
              <w:t>。</w:t>
            </w:r>
          </w:p>
          <w:p w14:paraId="395F47C2">
            <w:pPr>
              <w:pStyle w:val="7"/>
              <w:spacing w:after="0" w:line="360" w:lineRule="auto"/>
              <w:rPr>
                <w:rFonts w:hint="eastAsia" w:ascii="宋体" w:hAnsi="宋体" w:eastAsia="宋体" w:cs="宋体"/>
                <w:b/>
                <w:bCs/>
                <w:sz w:val="22"/>
                <w:szCs w:val="22"/>
                <w:highlight w:val="none"/>
              </w:rPr>
            </w:pPr>
            <w:r>
              <w:rPr>
                <w:rFonts w:hint="eastAsia" w:ascii="宋体" w:hAnsi="宋体" w:eastAsia="宋体" w:cs="宋体"/>
                <w:b/>
                <w:sz w:val="22"/>
                <w:szCs w:val="22"/>
                <w:highlight w:val="none"/>
              </w:rPr>
              <w:t>（</w:t>
            </w:r>
            <w:r>
              <w:rPr>
                <w:rFonts w:hint="eastAsia" w:ascii="宋体" w:hAnsi="宋体" w:eastAsia="宋体" w:cs="宋体"/>
                <w:b/>
                <w:sz w:val="22"/>
                <w:szCs w:val="22"/>
                <w:highlight w:val="none"/>
                <w:lang w:val="en-US" w:eastAsia="zh-CN"/>
              </w:rPr>
              <w:t>5</w:t>
            </w:r>
            <w:r>
              <w:rPr>
                <w:rFonts w:hint="eastAsia" w:ascii="宋体" w:hAnsi="宋体" w:eastAsia="宋体" w:cs="宋体"/>
                <w:b/>
                <w:sz w:val="22"/>
                <w:szCs w:val="22"/>
                <w:highlight w:val="none"/>
              </w:rPr>
              <w:t>）保证金的交付单位和</w:t>
            </w:r>
            <w:r>
              <w:rPr>
                <w:rFonts w:hint="eastAsia" w:ascii="宋体" w:hAnsi="宋体" w:eastAsia="宋体" w:cs="宋体"/>
                <w:b/>
                <w:sz w:val="22"/>
                <w:szCs w:val="22"/>
                <w:highlight w:val="none"/>
                <w:lang w:eastAsia="zh-CN"/>
              </w:rPr>
              <w:t>供应商</w:t>
            </w:r>
            <w:r>
              <w:rPr>
                <w:rFonts w:hint="eastAsia" w:ascii="宋体" w:hAnsi="宋体" w:eastAsia="宋体" w:cs="宋体"/>
                <w:b/>
                <w:sz w:val="22"/>
                <w:szCs w:val="22"/>
                <w:highlight w:val="none"/>
              </w:rPr>
              <w:t>的名称必须一致，否则将视为投标无效。</w:t>
            </w:r>
          </w:p>
          <w:p w14:paraId="50DF2C48">
            <w:pPr>
              <w:keepNext w:val="0"/>
              <w:keepLines w:val="0"/>
              <w:pageBreakBefore w:val="0"/>
              <w:kinsoku/>
              <w:wordWrap/>
              <w:overflowPunct/>
              <w:topLinePunct w:val="0"/>
              <w:autoSpaceDE/>
              <w:autoSpaceDN/>
              <w:bidi w:val="0"/>
              <w:adjustRightInd/>
              <w:snapToGrid/>
              <w:spacing w:line="460" w:lineRule="exact"/>
              <w:ind w:firstLine="0" w:firstLineChars="0"/>
              <w:jc w:val="both"/>
              <w:textAlignment w:val="auto"/>
              <w:rPr>
                <w:rFonts w:hint="eastAsia" w:ascii="宋体" w:hAnsi="宋体" w:eastAsia="宋体" w:cs="宋体"/>
                <w:b/>
                <w:color w:val="auto"/>
                <w:sz w:val="24"/>
                <w:highlight w:val="none"/>
                <w:lang w:eastAsia="zh-CN"/>
              </w:rPr>
            </w:pPr>
            <w:r>
              <w:rPr>
                <w:rFonts w:hint="eastAsia" w:ascii="宋体" w:hAnsi="宋体" w:eastAsia="宋体" w:cs="宋体"/>
                <w:b/>
                <w:bCs/>
                <w:sz w:val="22"/>
                <w:szCs w:val="22"/>
                <w:highlight w:val="none"/>
              </w:rPr>
              <w:t>（温馨提示：由于转账当天不一定能够到账，为避免因保证金未到账或延迟到账而导致响应文件被拒绝，建议至少提前1个工作日到账</w:t>
            </w:r>
            <w:r>
              <w:rPr>
                <w:rFonts w:hint="eastAsia" w:ascii="宋体" w:hAnsi="宋体" w:eastAsia="宋体" w:cs="宋体"/>
                <w:b/>
                <w:bCs/>
                <w:sz w:val="22"/>
                <w:szCs w:val="22"/>
                <w:highlight w:val="none"/>
                <w:shd w:val="clear" w:color="auto" w:fill="auto"/>
              </w:rPr>
              <w:t>）</w:t>
            </w:r>
          </w:p>
        </w:tc>
      </w:tr>
      <w:tr w14:paraId="4C798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5" w:type="pct"/>
            <w:noWrap w:val="0"/>
            <w:vAlign w:val="center"/>
          </w:tcPr>
          <w:p w14:paraId="38A2B833">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25</w:t>
            </w:r>
          </w:p>
        </w:tc>
        <w:tc>
          <w:tcPr>
            <w:tcW w:w="1048" w:type="pct"/>
            <w:noWrap w:val="0"/>
            <w:vAlign w:val="center"/>
          </w:tcPr>
          <w:p w14:paraId="4C2F6B97">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是否允许分包</w:t>
            </w:r>
          </w:p>
        </w:tc>
        <w:tc>
          <w:tcPr>
            <w:tcW w:w="3525" w:type="pct"/>
            <w:noWrap w:val="0"/>
            <w:vAlign w:val="center"/>
          </w:tcPr>
          <w:p w14:paraId="7FBD0713">
            <w:pPr>
              <w:keepNext w:val="0"/>
              <w:keepLines w:val="0"/>
              <w:pageBreakBefore w:val="0"/>
              <w:kinsoku/>
              <w:wordWrap/>
              <w:overflowPunct/>
              <w:topLinePunct w:val="0"/>
              <w:autoSpaceDE/>
              <w:autoSpaceDN/>
              <w:bidi w:val="0"/>
              <w:adjustRightInd/>
              <w:snapToGrid/>
              <w:spacing w:line="460" w:lineRule="exact"/>
              <w:ind w:firstLine="0" w:firstLineChars="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不允许</w:t>
            </w:r>
          </w:p>
        </w:tc>
      </w:tr>
      <w:tr w14:paraId="4758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425" w:type="pct"/>
            <w:noWrap w:val="0"/>
            <w:vAlign w:val="center"/>
          </w:tcPr>
          <w:p w14:paraId="4AAE62CB">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26</w:t>
            </w:r>
          </w:p>
        </w:tc>
        <w:tc>
          <w:tcPr>
            <w:tcW w:w="1048" w:type="pct"/>
            <w:noWrap w:val="0"/>
            <w:vAlign w:val="center"/>
          </w:tcPr>
          <w:p w14:paraId="31182A6E">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备选磋商方案</w:t>
            </w:r>
          </w:p>
          <w:p w14:paraId="62DFF619">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和报价</w:t>
            </w:r>
          </w:p>
        </w:tc>
        <w:tc>
          <w:tcPr>
            <w:tcW w:w="3525" w:type="pct"/>
            <w:noWrap w:val="0"/>
            <w:vAlign w:val="center"/>
          </w:tcPr>
          <w:p w14:paraId="3CB4096A">
            <w:pPr>
              <w:keepNext w:val="0"/>
              <w:keepLines w:val="0"/>
              <w:pageBreakBefore w:val="0"/>
              <w:tabs>
                <w:tab w:val="left" w:pos="7013"/>
              </w:tabs>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不接受备选磋商方案和多个报价。</w:t>
            </w:r>
          </w:p>
        </w:tc>
      </w:tr>
      <w:tr w14:paraId="5EDBE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25" w:type="pct"/>
            <w:noWrap w:val="0"/>
            <w:vAlign w:val="center"/>
          </w:tcPr>
          <w:p w14:paraId="4178860E">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27</w:t>
            </w:r>
          </w:p>
        </w:tc>
        <w:tc>
          <w:tcPr>
            <w:tcW w:w="1048" w:type="pct"/>
            <w:noWrap w:val="0"/>
            <w:vAlign w:val="center"/>
          </w:tcPr>
          <w:p w14:paraId="20167CFB">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盖章签字</w:t>
            </w:r>
          </w:p>
        </w:tc>
        <w:tc>
          <w:tcPr>
            <w:tcW w:w="3525" w:type="pct"/>
            <w:noWrap w:val="0"/>
            <w:vAlign w:val="center"/>
          </w:tcPr>
          <w:p w14:paraId="56C11708">
            <w:pPr>
              <w:keepNext w:val="0"/>
              <w:keepLines w:val="0"/>
              <w:pageBreakBefore w:val="0"/>
              <w:tabs>
                <w:tab w:val="left" w:pos="7013"/>
              </w:tabs>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必须按照竞争性磋商文件的规定和要求在竞争性磋商响应文件中指定的页面落款处加盖公章并由法定代表人或被授权人签字（或盖章），否则将作为无效响应处理。竞争性磋商文件凡是要求法定代表人签字或盖章之处，非法人单位的负责人均参照执行。</w:t>
            </w:r>
          </w:p>
        </w:tc>
      </w:tr>
      <w:tr w14:paraId="77E5D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425" w:type="pct"/>
            <w:noWrap w:val="0"/>
            <w:vAlign w:val="center"/>
          </w:tcPr>
          <w:p w14:paraId="4CFD26D6">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28</w:t>
            </w:r>
          </w:p>
        </w:tc>
        <w:tc>
          <w:tcPr>
            <w:tcW w:w="1048" w:type="pct"/>
            <w:noWrap w:val="0"/>
            <w:vAlign w:val="center"/>
          </w:tcPr>
          <w:p w14:paraId="233A6AA3">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磋商响应文件份数</w:t>
            </w:r>
          </w:p>
        </w:tc>
        <w:tc>
          <w:tcPr>
            <w:tcW w:w="3525" w:type="pct"/>
            <w:noWrap w:val="0"/>
            <w:vAlign w:val="center"/>
          </w:tcPr>
          <w:p w14:paraId="0B76548B">
            <w:pPr>
              <w:keepNext w:val="0"/>
              <w:keepLines w:val="0"/>
              <w:pageBreakBefore w:val="0"/>
              <w:numPr>
                <w:ilvl w:val="0"/>
                <w:numId w:val="0"/>
              </w:numPr>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壹份（*.SXSTF）。</w:t>
            </w:r>
          </w:p>
        </w:tc>
      </w:tr>
      <w:tr w14:paraId="13831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25" w:type="pct"/>
            <w:noWrap w:val="0"/>
            <w:vAlign w:val="center"/>
          </w:tcPr>
          <w:p w14:paraId="2F944A3D">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29</w:t>
            </w:r>
          </w:p>
        </w:tc>
        <w:tc>
          <w:tcPr>
            <w:tcW w:w="1048" w:type="pct"/>
            <w:noWrap w:val="0"/>
            <w:vAlign w:val="center"/>
          </w:tcPr>
          <w:p w14:paraId="4CA531AD">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评标办法及标准</w:t>
            </w:r>
          </w:p>
        </w:tc>
        <w:tc>
          <w:tcPr>
            <w:tcW w:w="3525" w:type="pct"/>
            <w:noWrap w:val="0"/>
            <w:vAlign w:val="center"/>
          </w:tcPr>
          <w:p w14:paraId="551978EE">
            <w:pPr>
              <w:pStyle w:val="42"/>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详见竞争性磋商文件第三章。</w:t>
            </w:r>
          </w:p>
        </w:tc>
      </w:tr>
      <w:tr w14:paraId="40C0F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25" w:type="pct"/>
            <w:noWrap w:val="0"/>
            <w:vAlign w:val="center"/>
          </w:tcPr>
          <w:p w14:paraId="6AADE7B7">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30</w:t>
            </w:r>
          </w:p>
        </w:tc>
        <w:tc>
          <w:tcPr>
            <w:tcW w:w="1048" w:type="pct"/>
            <w:noWrap w:val="0"/>
            <w:vAlign w:val="center"/>
          </w:tcPr>
          <w:p w14:paraId="03333613">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是否专门面向中小企业</w:t>
            </w:r>
          </w:p>
        </w:tc>
        <w:tc>
          <w:tcPr>
            <w:tcW w:w="3525" w:type="pct"/>
            <w:noWrap w:val="0"/>
            <w:vAlign w:val="center"/>
          </w:tcPr>
          <w:p w14:paraId="554F7763">
            <w:pPr>
              <w:pStyle w:val="42"/>
              <w:spacing w:line="460" w:lineRule="exact"/>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本项目专门面向中小企业采购。</w:t>
            </w:r>
          </w:p>
        </w:tc>
      </w:tr>
      <w:tr w14:paraId="1265D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25" w:type="pct"/>
            <w:noWrap w:val="0"/>
            <w:vAlign w:val="center"/>
          </w:tcPr>
          <w:p w14:paraId="6FBAC9B8">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31</w:t>
            </w:r>
          </w:p>
        </w:tc>
        <w:tc>
          <w:tcPr>
            <w:tcW w:w="1048" w:type="pct"/>
            <w:noWrap w:val="0"/>
            <w:vAlign w:val="center"/>
          </w:tcPr>
          <w:p w14:paraId="036DE49B">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报价要求</w:t>
            </w:r>
          </w:p>
        </w:tc>
        <w:tc>
          <w:tcPr>
            <w:tcW w:w="3525" w:type="pct"/>
            <w:noWrap w:val="0"/>
            <w:vAlign w:val="center"/>
          </w:tcPr>
          <w:p w14:paraId="2EFD27ED">
            <w:pPr>
              <w:pStyle w:val="42"/>
              <w:keepNext w:val="0"/>
              <w:keepLines w:val="0"/>
              <w:pageBreakBefore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磋商小组认为供应商的报价明显低于其他通过符合性审查供应商的报价，有可能影响质量或者不能诚信履约的，应当要求其在评标现场合理的时间内提供书面说明，必要时提交相关证明材料；供应商不能证明其报价合理性的，磋商小组应当将其作为无效响应处理。</w:t>
            </w:r>
          </w:p>
        </w:tc>
      </w:tr>
      <w:tr w14:paraId="5A1B9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25" w:type="pct"/>
            <w:noWrap w:val="0"/>
            <w:vAlign w:val="center"/>
          </w:tcPr>
          <w:p w14:paraId="2FF365FA">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32</w:t>
            </w:r>
          </w:p>
        </w:tc>
        <w:tc>
          <w:tcPr>
            <w:tcW w:w="1048" w:type="pct"/>
            <w:noWrap w:val="0"/>
            <w:vAlign w:val="center"/>
          </w:tcPr>
          <w:p w14:paraId="01888493">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代理服务费</w:t>
            </w:r>
          </w:p>
        </w:tc>
        <w:tc>
          <w:tcPr>
            <w:tcW w:w="3525" w:type="pct"/>
            <w:noWrap w:val="0"/>
            <w:vAlign w:val="center"/>
          </w:tcPr>
          <w:p w14:paraId="326F7D44">
            <w:pPr>
              <w:pStyle w:val="42"/>
              <w:keepNext w:val="0"/>
              <w:keepLines w:val="0"/>
              <w:pageBreakBefore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参考国家发展计划委员会计价格〔2002〕1980号、发改办价格〔2003〕857号，依据发改价格〔2015〕299号文件标准下浮20%执行计取该项目的招标代理服务费</w:t>
            </w:r>
            <w:r>
              <w:rPr>
                <w:rFonts w:hint="eastAsia" w:ascii="宋体" w:hAnsi="宋体" w:eastAsia="宋体" w:cs="宋体"/>
                <w:color w:val="auto"/>
                <w:kern w:val="2"/>
                <w:sz w:val="24"/>
                <w:szCs w:val="24"/>
                <w:highlight w:val="none"/>
                <w:lang w:val="en-US" w:eastAsia="zh-CN"/>
              </w:rPr>
              <w:t>。</w:t>
            </w:r>
            <w:r>
              <w:rPr>
                <w:rFonts w:hint="eastAsia" w:ascii="宋体" w:hAnsi="宋体" w:cs="宋体"/>
                <w:sz w:val="24"/>
                <w:szCs w:val="24"/>
              </w:rPr>
              <w:t>由</w:t>
            </w:r>
            <w:r>
              <w:rPr>
                <w:rFonts w:hint="eastAsia" w:cs="宋体"/>
                <w:sz w:val="24"/>
                <w:szCs w:val="24"/>
                <w:lang w:val="en-US" w:eastAsia="zh-CN"/>
              </w:rPr>
              <w:t>成交供应商</w:t>
            </w:r>
            <w:r>
              <w:rPr>
                <w:rFonts w:hint="eastAsia" w:ascii="宋体" w:hAnsi="宋体" w:cs="宋体"/>
                <w:sz w:val="24"/>
                <w:szCs w:val="24"/>
              </w:rPr>
              <w:t>承担招标代理服务费。</w:t>
            </w:r>
          </w:p>
        </w:tc>
      </w:tr>
      <w:tr w14:paraId="367D2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25" w:type="pct"/>
            <w:noWrap w:val="0"/>
            <w:vAlign w:val="center"/>
          </w:tcPr>
          <w:p w14:paraId="3F93C0A6">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33</w:t>
            </w:r>
          </w:p>
        </w:tc>
        <w:tc>
          <w:tcPr>
            <w:tcW w:w="1048" w:type="pct"/>
            <w:noWrap w:val="0"/>
            <w:vAlign w:val="center"/>
          </w:tcPr>
          <w:p w14:paraId="566C3EBC">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评审小组的组件</w:t>
            </w:r>
          </w:p>
        </w:tc>
        <w:tc>
          <w:tcPr>
            <w:tcW w:w="3525" w:type="pct"/>
            <w:noWrap w:val="0"/>
            <w:vAlign w:val="center"/>
          </w:tcPr>
          <w:p w14:paraId="5F89D4B5">
            <w:pPr>
              <w:pStyle w:val="42"/>
              <w:keepNext w:val="0"/>
              <w:keepLines w:val="0"/>
              <w:pageBreakBefore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评审小组确定方式：评审专家共3人</w:t>
            </w:r>
            <w:r>
              <w:rPr>
                <w:rFonts w:hint="eastAsia" w:ascii="宋体" w:hAnsi="宋体" w:eastAsia="宋体" w:cs="宋体"/>
                <w:color w:val="auto"/>
                <w:kern w:val="2"/>
                <w:sz w:val="24"/>
                <w:szCs w:val="24"/>
                <w:highlight w:val="none"/>
                <w:shd w:val="clear"/>
                <w:lang w:val="en-US" w:eastAsia="zh-CN"/>
              </w:rPr>
              <w:t>，从采购专家库随机抽取2人，采购人代表1人。</w:t>
            </w:r>
          </w:p>
        </w:tc>
      </w:tr>
      <w:tr w14:paraId="1EA1D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425" w:type="pct"/>
            <w:noWrap w:val="0"/>
            <w:vAlign w:val="center"/>
          </w:tcPr>
          <w:p w14:paraId="61D96003">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34</w:t>
            </w:r>
          </w:p>
        </w:tc>
        <w:tc>
          <w:tcPr>
            <w:tcW w:w="1048" w:type="pct"/>
            <w:shd w:val="clear" w:color="auto" w:fill="auto"/>
            <w:noWrap w:val="0"/>
            <w:vAlign w:val="center"/>
          </w:tcPr>
          <w:p w14:paraId="14E11562">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采购标的所属行业</w:t>
            </w:r>
          </w:p>
        </w:tc>
        <w:tc>
          <w:tcPr>
            <w:tcW w:w="3525" w:type="pct"/>
            <w:shd w:val="clear" w:color="auto" w:fill="auto"/>
            <w:noWrap w:val="0"/>
            <w:vAlign w:val="center"/>
          </w:tcPr>
          <w:p w14:paraId="67D034AA">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sz w:val="24"/>
                <w:highlight w:val="none"/>
                <w:lang w:val="en-US" w:eastAsia="zh-CN"/>
              </w:rPr>
              <w:t>所属行业：</w:t>
            </w:r>
            <w:r>
              <w:rPr>
                <w:rFonts w:hint="eastAsia" w:cs="宋体"/>
                <w:color w:val="auto"/>
                <w:sz w:val="24"/>
                <w:highlight w:val="none"/>
                <w:lang w:val="en-US" w:eastAsia="zh-CN"/>
              </w:rPr>
              <w:t>其他未列明行业</w:t>
            </w:r>
          </w:p>
        </w:tc>
      </w:tr>
      <w:tr w14:paraId="69C8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425" w:type="pct"/>
            <w:noWrap w:val="0"/>
            <w:vAlign w:val="center"/>
          </w:tcPr>
          <w:p w14:paraId="4852DE57">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default" w:cs="宋体"/>
                <w:color w:val="auto"/>
                <w:sz w:val="24"/>
                <w:highlight w:val="none"/>
                <w:lang w:val="en-US" w:eastAsia="zh-CN"/>
              </w:rPr>
            </w:pPr>
            <w:r>
              <w:rPr>
                <w:rFonts w:hint="eastAsia" w:cs="宋体"/>
                <w:color w:val="auto"/>
                <w:sz w:val="24"/>
                <w:highlight w:val="none"/>
                <w:lang w:val="en-US" w:eastAsia="zh-CN"/>
              </w:rPr>
              <w:t>35</w:t>
            </w:r>
          </w:p>
        </w:tc>
        <w:tc>
          <w:tcPr>
            <w:tcW w:w="1048" w:type="pct"/>
            <w:shd w:val="clear" w:color="auto" w:fill="auto"/>
            <w:noWrap w:val="0"/>
            <w:vAlign w:val="center"/>
          </w:tcPr>
          <w:p w14:paraId="73860668">
            <w:pPr>
              <w:keepNext w:val="0"/>
              <w:keepLines w:val="0"/>
              <w:pageBreakBefore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其它事项</w:t>
            </w:r>
          </w:p>
        </w:tc>
        <w:tc>
          <w:tcPr>
            <w:tcW w:w="3525" w:type="pct"/>
            <w:shd w:val="clear" w:color="auto" w:fill="auto"/>
            <w:noWrap w:val="0"/>
            <w:vAlign w:val="center"/>
          </w:tcPr>
          <w:p w14:paraId="07F014B4">
            <w:pPr>
              <w:pStyle w:val="42"/>
              <w:keepNext w:val="0"/>
              <w:keepLines w:val="0"/>
              <w:pageBreakBefore w:val="0"/>
              <w:numPr>
                <w:ilvl w:val="0"/>
                <w:numId w:val="2"/>
              </w:numPr>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本次采购、磋商报价、评审和合同授予均以项目为单位，供应商必须就一个完整项目进行响应。</w:t>
            </w:r>
          </w:p>
          <w:p w14:paraId="19DEDB5C">
            <w:pPr>
              <w:pStyle w:val="42"/>
              <w:keepNext w:val="0"/>
              <w:keepLines w:val="0"/>
              <w:pageBreakBefore w:val="0"/>
              <w:numPr>
                <w:ilvl w:val="0"/>
                <w:numId w:val="2"/>
              </w:numPr>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成交供应商与采购人在成交通知书发出</w:t>
            </w:r>
            <w:r>
              <w:rPr>
                <w:rFonts w:hint="eastAsia" w:cs="宋体"/>
                <w:color w:val="auto"/>
                <w:kern w:val="2"/>
                <w:sz w:val="24"/>
                <w:szCs w:val="24"/>
                <w:highlight w:val="none"/>
                <w:lang w:val="en-US" w:eastAsia="zh-CN"/>
              </w:rPr>
              <w:t>25</w:t>
            </w:r>
            <w:r>
              <w:rPr>
                <w:rFonts w:hint="eastAsia" w:ascii="宋体" w:hAnsi="宋体" w:eastAsia="宋体" w:cs="宋体"/>
                <w:color w:val="auto"/>
                <w:kern w:val="2"/>
                <w:sz w:val="24"/>
                <w:szCs w:val="24"/>
                <w:highlight w:val="none"/>
                <w:lang w:val="en-US" w:eastAsia="zh-CN"/>
              </w:rPr>
              <w:t>日</w:t>
            </w:r>
            <w:r>
              <w:rPr>
                <w:rFonts w:hint="eastAsia" w:ascii="宋体" w:hAnsi="宋体" w:eastAsia="宋体" w:cs="宋体"/>
                <w:color w:val="auto"/>
                <w:kern w:val="2"/>
                <w:sz w:val="24"/>
                <w:szCs w:val="24"/>
                <w:highlight w:val="none"/>
              </w:rPr>
              <w:t>内签订合同，不及时签订视为自动放弃。成交人无正当理由不得放弃成交资格。因自身原因拒绝签订政府采购合同的或者未按合同约定进行履约的，成交人不得参加对该项目重新开展的</w:t>
            </w:r>
            <w:r>
              <w:rPr>
                <w:rFonts w:hint="eastAsia" w:ascii="宋体" w:hAnsi="宋体" w:eastAsia="宋体" w:cs="宋体"/>
                <w:color w:val="auto"/>
                <w:kern w:val="2"/>
                <w:sz w:val="24"/>
                <w:szCs w:val="24"/>
                <w:highlight w:val="none"/>
                <w:lang w:eastAsia="zh-CN"/>
              </w:rPr>
              <w:t>采购</w:t>
            </w:r>
            <w:r>
              <w:rPr>
                <w:rFonts w:hint="eastAsia" w:ascii="宋体" w:hAnsi="宋体" w:eastAsia="宋体" w:cs="宋体"/>
                <w:color w:val="auto"/>
                <w:kern w:val="2"/>
                <w:sz w:val="24"/>
                <w:szCs w:val="24"/>
                <w:highlight w:val="none"/>
              </w:rPr>
              <w:t>活动。</w:t>
            </w:r>
          </w:p>
          <w:p w14:paraId="464EDC93">
            <w:pPr>
              <w:pStyle w:val="42"/>
              <w:keepNext w:val="0"/>
              <w:keepLines w:val="0"/>
              <w:pageBreakBefore w:val="0"/>
              <w:numPr>
                <w:ilvl w:val="0"/>
                <w:numId w:val="2"/>
              </w:numPr>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磋商文件其他内容与前附表不一致的，以前附表为准</w:t>
            </w:r>
            <w:r>
              <w:rPr>
                <w:rFonts w:hint="eastAsia" w:ascii="宋体" w:hAnsi="宋体" w:eastAsia="宋体" w:cs="宋体"/>
                <w:color w:val="auto"/>
                <w:kern w:val="2"/>
                <w:sz w:val="24"/>
                <w:szCs w:val="24"/>
                <w:highlight w:val="none"/>
                <w:lang w:eastAsia="zh-CN"/>
              </w:rPr>
              <w:t>。</w:t>
            </w:r>
          </w:p>
          <w:p w14:paraId="5FCA3B7A">
            <w:pPr>
              <w:pStyle w:val="42"/>
              <w:keepNext w:val="0"/>
              <w:keepLines w:val="0"/>
              <w:pageBreakBefore w:val="0"/>
              <w:numPr>
                <w:ilvl w:val="0"/>
                <w:numId w:val="2"/>
              </w:numPr>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pacing w:val="0"/>
                <w:w w:val="100"/>
                <w:position w:val="0"/>
                <w:sz w:val="24"/>
                <w:szCs w:val="24"/>
                <w:highlight w:val="none"/>
                <w:lang w:val="en-US" w:eastAsia="zh-CN"/>
              </w:rPr>
              <w:t>成交供应商成交后需提供与电子版文件一致的纸质版响应文件正本一份、副本</w:t>
            </w:r>
            <w:r>
              <w:rPr>
                <w:rFonts w:hint="eastAsia" w:cs="宋体"/>
                <w:b w:val="0"/>
                <w:bCs w:val="0"/>
                <w:color w:val="auto"/>
                <w:spacing w:val="0"/>
                <w:w w:val="100"/>
                <w:position w:val="0"/>
                <w:sz w:val="24"/>
                <w:szCs w:val="24"/>
                <w:highlight w:val="none"/>
                <w:lang w:val="en-US" w:eastAsia="zh-CN"/>
              </w:rPr>
              <w:t>二</w:t>
            </w:r>
            <w:r>
              <w:rPr>
                <w:rFonts w:hint="eastAsia" w:ascii="宋体" w:hAnsi="宋体" w:eastAsia="宋体" w:cs="宋体"/>
                <w:b w:val="0"/>
                <w:bCs w:val="0"/>
                <w:color w:val="auto"/>
                <w:spacing w:val="0"/>
                <w:w w:val="100"/>
                <w:position w:val="0"/>
                <w:sz w:val="24"/>
                <w:szCs w:val="24"/>
                <w:highlight w:val="none"/>
                <w:lang w:val="en-US" w:eastAsia="zh-CN"/>
              </w:rPr>
              <w:t>份。</w:t>
            </w:r>
          </w:p>
        </w:tc>
      </w:tr>
    </w:tbl>
    <w:p w14:paraId="6B049941">
      <w:pPr>
        <w:rPr>
          <w:rFonts w:hint="eastAsia" w:ascii="宋体" w:hAnsi="宋体" w:eastAsia="宋体" w:cs="宋体"/>
          <w:color w:val="auto"/>
          <w:highlight w:val="none"/>
        </w:rPr>
      </w:pPr>
    </w:p>
    <w:p w14:paraId="35088A56">
      <w:pPr>
        <w:spacing w:line="48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br w:type="page"/>
      </w:r>
    </w:p>
    <w:p w14:paraId="4DBA4B9A">
      <w:pPr>
        <w:pStyle w:val="3"/>
        <w:bidi w:val="0"/>
        <w:rPr>
          <w:rFonts w:hint="eastAsia" w:ascii="宋体" w:hAnsi="宋体" w:eastAsia="宋体" w:cs="宋体"/>
          <w:lang w:val="en-US" w:eastAsia="zh-CN"/>
        </w:rPr>
      </w:pPr>
      <w:bookmarkStart w:id="8" w:name="_Toc7497"/>
      <w:r>
        <w:rPr>
          <w:rFonts w:hint="eastAsia" w:ascii="宋体" w:hAnsi="宋体" w:eastAsia="宋体" w:cs="宋体"/>
          <w:lang w:val="en-US" w:eastAsia="zh-CN"/>
        </w:rPr>
        <w:t>供应商须知正文</w:t>
      </w:r>
      <w:bookmarkEnd w:id="8"/>
    </w:p>
    <w:p w14:paraId="6CCADC5B">
      <w:pPr>
        <w:pStyle w:val="4"/>
        <w:bidi w:val="0"/>
        <w:rPr>
          <w:rFonts w:hint="eastAsia" w:ascii="宋体" w:hAnsi="宋体" w:eastAsia="宋体" w:cs="宋体"/>
          <w:lang w:val="en-US" w:eastAsia="zh-CN"/>
        </w:rPr>
      </w:pPr>
      <w:r>
        <w:rPr>
          <w:rFonts w:hint="eastAsia" w:ascii="宋体" w:hAnsi="宋体" w:eastAsia="宋体" w:cs="宋体"/>
          <w:lang w:val="en-US" w:eastAsia="zh-CN"/>
        </w:rPr>
        <w:t>一、总则</w:t>
      </w:r>
    </w:p>
    <w:p w14:paraId="178207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本竞争性磋商文件（以下称磋商文件）仅适用于本文所述内容的采购和磋商响应。</w:t>
      </w:r>
    </w:p>
    <w:p w14:paraId="141934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lang w:val="en-US" w:eastAsia="zh-CN"/>
        </w:rPr>
      </w:pPr>
      <w:r>
        <w:rPr>
          <w:rFonts w:hint="eastAsia" w:ascii="宋体" w:hAnsi="宋体" w:eastAsia="宋体" w:cs="宋体"/>
          <w:b/>
          <w:bCs/>
          <w:lang w:val="en-US" w:eastAsia="zh-CN"/>
        </w:rPr>
        <w:t>（一）有关定义</w:t>
      </w:r>
    </w:p>
    <w:p w14:paraId="37867A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1.采购人：见供应商须知前附表。</w:t>
      </w:r>
    </w:p>
    <w:p w14:paraId="1196E5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cs="宋体"/>
          <w:lang w:val="en-US" w:eastAsia="zh-CN"/>
        </w:rPr>
        <w:t>2</w:t>
      </w:r>
      <w:r>
        <w:rPr>
          <w:rFonts w:hint="eastAsia" w:ascii="宋体" w:hAnsi="宋体" w:eastAsia="宋体" w:cs="宋体"/>
          <w:lang w:val="en-US" w:eastAsia="zh-CN"/>
        </w:rPr>
        <w:t>.采购代理机构：见供应商须知前附表。</w:t>
      </w:r>
    </w:p>
    <w:p w14:paraId="52C282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cs="宋体"/>
          <w:lang w:val="en-US" w:eastAsia="zh-CN"/>
        </w:rPr>
        <w:t>3</w:t>
      </w:r>
      <w:r>
        <w:rPr>
          <w:rFonts w:hint="eastAsia" w:ascii="宋体" w:hAnsi="宋体" w:eastAsia="宋体" w:cs="宋体"/>
          <w:lang w:val="en-US" w:eastAsia="zh-CN"/>
        </w:rPr>
        <w:t>.供应商：指响应磋商公告并参加磋商竞争的法人企业、其他组织或自然人。</w:t>
      </w:r>
    </w:p>
    <w:p w14:paraId="25EB4A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cs="宋体"/>
          <w:lang w:val="en-US" w:eastAsia="zh-CN"/>
        </w:rPr>
        <w:t>4</w:t>
      </w:r>
      <w:r>
        <w:rPr>
          <w:rFonts w:hint="eastAsia" w:ascii="宋体" w:hAnsi="宋体" w:eastAsia="宋体" w:cs="宋体"/>
          <w:lang w:val="en-US" w:eastAsia="zh-CN"/>
        </w:rPr>
        <w:t>.服务：指采购合同约定应完成的工作内容。</w:t>
      </w:r>
    </w:p>
    <w:p w14:paraId="56B822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cs="宋体"/>
          <w:lang w:val="en-US" w:eastAsia="zh-CN"/>
        </w:rPr>
        <w:t>5</w:t>
      </w:r>
      <w:r>
        <w:rPr>
          <w:rFonts w:hint="eastAsia" w:ascii="宋体" w:hAnsi="宋体" w:eastAsia="宋体" w:cs="宋体"/>
          <w:lang w:val="en-US" w:eastAsia="zh-CN"/>
        </w:rPr>
        <w:t>.磋商响应也称投标。</w:t>
      </w:r>
    </w:p>
    <w:p w14:paraId="118CB2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cs="宋体"/>
          <w:lang w:val="en-US" w:eastAsia="zh-CN"/>
        </w:rPr>
        <w:t>6</w:t>
      </w:r>
      <w:r>
        <w:rPr>
          <w:rFonts w:hint="eastAsia" w:ascii="宋体" w:hAnsi="宋体" w:eastAsia="宋体" w:cs="宋体"/>
          <w:lang w:val="en-US" w:eastAsia="zh-CN"/>
        </w:rPr>
        <w:t>.磋商开标会指集中开启响应文件的会议和过程。</w:t>
      </w:r>
    </w:p>
    <w:p w14:paraId="15300C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lang w:val="en-US" w:eastAsia="zh-CN"/>
        </w:rPr>
      </w:pPr>
      <w:r>
        <w:rPr>
          <w:rFonts w:hint="eastAsia" w:ascii="宋体" w:hAnsi="宋体" w:eastAsia="宋体" w:cs="宋体"/>
          <w:b/>
          <w:bCs/>
          <w:lang w:val="en-US" w:eastAsia="zh-CN"/>
        </w:rPr>
        <w:t>（二）磋商费用</w:t>
      </w:r>
    </w:p>
    <w:p w14:paraId="081655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供应商应自行承担全部与准备和参加磋商有关的费用。不论磋商结果如何，采购人和采购代理机构均无义务和责任承担这些费用。</w:t>
      </w:r>
    </w:p>
    <w:p w14:paraId="503E684C">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lang w:val="en-US" w:eastAsia="zh-CN"/>
        </w:rPr>
      </w:pPr>
      <w:r>
        <w:rPr>
          <w:rFonts w:hint="eastAsia" w:ascii="宋体" w:hAnsi="宋体" w:eastAsia="宋体" w:cs="宋体"/>
          <w:b/>
          <w:bCs/>
          <w:lang w:val="en-US" w:eastAsia="zh-CN"/>
        </w:rPr>
        <w:t>（三）知识产权和保密</w:t>
      </w:r>
    </w:p>
    <w:p w14:paraId="2398FE12">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供应商应保证在本项目使用的任何产品和服务（包括部分使用）不会产生因第三方提出侵犯其专利权、商标权或其它知识产权而引起法律和经济纠纷，由此所引起的法律和经济纠纷，由供应商承担全部及关联责任。</w:t>
      </w:r>
    </w:p>
    <w:p w14:paraId="0ADFB5E7">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2.采购人享有本项目实施过程中产生的知识成果及知识产权。</w:t>
      </w:r>
    </w:p>
    <w:p w14:paraId="73FB88A4">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3.供应商如欲在项目实施过程中采用自有知识产权成果的，需在响应文件中声明，并提供相关知识产权证明文件和后续接口使用的说明。</w:t>
      </w:r>
    </w:p>
    <w:p w14:paraId="09725020">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4.参与采购活动的当事人应当对磋商文件和响应文件中的商业秘密、技术秘密和个人隐私等保密，违者将对由此产生的后果承担法律责任。</w:t>
      </w:r>
    </w:p>
    <w:p w14:paraId="22772017">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5.由采购人向供应商提供的用户需求书、图纸、样品、模型、模件和所有资料，供应商获得后，应对其保密。除非采购人同意，供应商不得向第三方透露或将其用于本次磋商响应以外的任何用途。开标后，若采购人有要求，供应商须归还采购人认为需保密的文件和资料，并销毁所有相应的备份文件及资料。</w:t>
      </w:r>
    </w:p>
    <w:p w14:paraId="021DA11B">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lang w:val="en-US" w:eastAsia="zh-CN"/>
        </w:rPr>
      </w:pPr>
      <w:r>
        <w:rPr>
          <w:rFonts w:hint="eastAsia" w:ascii="宋体" w:hAnsi="宋体" w:eastAsia="宋体" w:cs="宋体"/>
          <w:b/>
          <w:bCs/>
          <w:lang w:val="en-US" w:eastAsia="zh-CN"/>
        </w:rPr>
        <w:t>（四）语言文字</w:t>
      </w:r>
    </w:p>
    <w:p w14:paraId="5BFDAC4B">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1.磋商文件、响应文件、供应商与采购代理机构或采购人就有关磋商的所有来往函电以及磋商小组的询标、磋商和供应商的答复均应使用简体中文书写。</w:t>
      </w:r>
    </w:p>
    <w:p w14:paraId="2B9F26BC">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响应文件中使用外文技术资料或提供外文授权的，须提供逐一对应的中文译文并加盖供应商公章，中文译文应附在对应外文资料后面且以中文译文为准，未提供有效中文译文的外文资料，将被视为未提供。技术资料中的通用单位或标准国际制式单位不需翻译。对外文资料故意错误翻译的，视同提供虚假证明材料。</w:t>
      </w:r>
    </w:p>
    <w:p w14:paraId="1EFD560D">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lang w:val="en-US" w:eastAsia="zh-CN"/>
        </w:rPr>
      </w:pPr>
      <w:r>
        <w:rPr>
          <w:rFonts w:hint="eastAsia" w:ascii="宋体" w:hAnsi="宋体" w:eastAsia="宋体" w:cs="宋体"/>
          <w:b/>
          <w:bCs/>
          <w:lang w:val="en-US" w:eastAsia="zh-CN"/>
        </w:rPr>
        <w:t>（五）计量单位</w:t>
      </w:r>
    </w:p>
    <w:p w14:paraId="7D1800CC">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除磋商文件另有规定外，均使用中华人民共和国法定计量单位。</w:t>
      </w:r>
    </w:p>
    <w:p w14:paraId="3EC4E666">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lang w:val="en-US" w:eastAsia="zh-CN"/>
        </w:rPr>
      </w:pPr>
      <w:r>
        <w:rPr>
          <w:rFonts w:hint="eastAsia" w:ascii="宋体" w:hAnsi="宋体" w:eastAsia="宋体" w:cs="宋体"/>
          <w:b/>
          <w:bCs/>
          <w:lang w:val="en-US" w:eastAsia="zh-CN"/>
        </w:rPr>
        <w:t>（六）履约分包</w:t>
      </w:r>
    </w:p>
    <w:p w14:paraId="2E8FB1C5">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1.是否允许分包：见供应商须知前附表。</w:t>
      </w:r>
    </w:p>
    <w:p w14:paraId="3BE06D38">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本项目如允许分包的，成交供应商可以依法采取分包方式履行合同。合同的履约需要相关市场法定准入资格资质的，承包人必须具有法定的资格条件和相应的资质，禁止向没有取得法定资格资质的第三方分包。承包人不得再次分包。采购合同实行分包履约的，成交供应商就采购项目和分包项向采购人负责，承包人就分包项承担责任。</w:t>
      </w:r>
    </w:p>
    <w:p w14:paraId="613C55B1">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享受《国家统计局关于印发〈统计上大中小微型企业划分办法（2017）〉的通知》（国统字〔2017〕213号）等扶持政策获取政府采购合同后，不得分包给大型、中型企业，否则视同拒绝履行政府采购合同并将依法被追究法律责任。</w:t>
      </w:r>
    </w:p>
    <w:p w14:paraId="514D67A5">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3.不允许分包的，严禁采取分包方式履行合同，如分包，则视同拒绝履行政府采购合同，将被依法追究法律责任。</w:t>
      </w:r>
    </w:p>
    <w:p w14:paraId="7559B8BA">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4.本项目严禁采取转包方式履行合同。本项目所称转包，是指成交供应商将政府采购合同转让给第三人，并退出现有政府采购合同当事人双方权利业务关系，受让人（即第三人）成为政府采购合同的另一方当事人的行为。成交供应商转包的，视同拒绝履行政府采购合同，将被依法追究法律责任。</w:t>
      </w:r>
    </w:p>
    <w:p w14:paraId="13B75298">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lang w:val="en-US" w:eastAsia="zh-CN"/>
        </w:rPr>
      </w:pPr>
      <w:r>
        <w:rPr>
          <w:rFonts w:hint="eastAsia" w:ascii="宋体" w:hAnsi="宋体" w:eastAsia="宋体" w:cs="宋体"/>
          <w:b/>
          <w:bCs/>
          <w:lang w:val="en-US" w:eastAsia="zh-CN"/>
        </w:rPr>
        <w:t>（七）答疑会</w:t>
      </w:r>
    </w:p>
    <w:p w14:paraId="7639AC29">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1.是否组织集中答疑会：见供应商须知前附表。</w:t>
      </w:r>
    </w:p>
    <w:p w14:paraId="311B174B">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2.供应商对本次采购活动事项有疑问的，可以向采购人或代理机构提出询问。</w:t>
      </w:r>
    </w:p>
    <w:p w14:paraId="5219949C">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lang w:val="en-US" w:eastAsia="zh-CN"/>
        </w:rPr>
      </w:pPr>
      <w:r>
        <w:rPr>
          <w:rFonts w:hint="eastAsia" w:ascii="宋体" w:hAnsi="宋体" w:eastAsia="宋体" w:cs="宋体"/>
          <w:b/>
          <w:bCs/>
          <w:lang w:val="en-US" w:eastAsia="zh-CN"/>
        </w:rPr>
        <w:t>（八）询问</w:t>
      </w:r>
    </w:p>
    <w:p w14:paraId="4A10D19E">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对本项目采购活动事项有疑问的，可以在磋商截止时间3个工作日前以书面形式向代理机构提出询问。采购人或采购代理机构将在1个工作日内对供应商提出的询问做出答复，并书面通知其他供应商。询问内容超出采购人对采购代理机构委托范围的，供应商可以向采购人提出。</w:t>
      </w:r>
    </w:p>
    <w:p w14:paraId="653A1ED7">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lang w:val="en-US" w:eastAsia="zh-CN"/>
        </w:rPr>
      </w:pPr>
      <w:r>
        <w:rPr>
          <w:rFonts w:hint="eastAsia" w:ascii="宋体" w:hAnsi="宋体" w:eastAsia="宋体" w:cs="宋体"/>
          <w:b/>
          <w:bCs/>
          <w:lang w:val="en-US" w:eastAsia="zh-CN"/>
        </w:rPr>
        <w:t>（九）现场考察</w:t>
      </w:r>
    </w:p>
    <w:p w14:paraId="25C4F408">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1.是否集中组织现场考察：见供应商须知前附表。</w:t>
      </w:r>
    </w:p>
    <w:p w14:paraId="66A2A0E7">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供应商可以根据自身情况自行踏勘现场并承担所发生的费用。除采购人的原因外，供应商承担在现场考察中所发生的人员伤亡和财产损失。采购人介绍的有关项目的情况和资料，仅供供应商在编制响应文件时参考，采购人不对供应商据此做出的判断和决策负责。</w:t>
      </w:r>
    </w:p>
    <w:p w14:paraId="0C3A0DE9">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3.供应商应当将现场的实际情况及影响因素在磋商报价中综合考虑。一旦成交，不得再以现场条件复杂、不清楚、报价时未考虑等理由要求对报价进行调整，或延长合同履约期限。</w:t>
      </w:r>
    </w:p>
    <w:p w14:paraId="197E1F5A">
      <w:pPr>
        <w:pStyle w:val="4"/>
        <w:bidi w:val="0"/>
        <w:rPr>
          <w:rFonts w:hint="eastAsia" w:ascii="宋体" w:hAnsi="宋体" w:eastAsia="宋体" w:cs="宋体"/>
          <w:lang w:val="zh-CN" w:eastAsia="zh-CN"/>
        </w:rPr>
      </w:pPr>
      <w:r>
        <w:rPr>
          <w:rFonts w:hint="eastAsia" w:ascii="宋体" w:hAnsi="宋体" w:eastAsia="宋体" w:cs="宋体"/>
          <w:lang w:val="zh-CN" w:eastAsia="zh-CN"/>
        </w:rPr>
        <w:t>二、落实政府采购政策</w:t>
      </w:r>
    </w:p>
    <w:p w14:paraId="38AD139C">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（一）中小企业政府采购政策</w:t>
      </w:r>
    </w:p>
    <w:p w14:paraId="3F70C1A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本项目执行《政府采购促进中小企业发展管理办法》（财库〔2020〕46号）、《关于进一步加大政府采购支持中小企业力度的通知》（财库〔2022〕19号）、《陕西省财政厅关于进一步加大政府采购支持中小企业力度的通知》（陕财办采〔2022〕5号）</w:t>
      </w:r>
      <w:r>
        <w:rPr>
          <w:rFonts w:hint="eastAsia" w:ascii="宋体" w:hAnsi="宋体" w:eastAsia="宋体" w:cs="宋体"/>
          <w:b w:val="0"/>
          <w:bCs/>
          <w:color w:val="auto"/>
          <w:kern w:val="2"/>
          <w:sz w:val="24"/>
          <w:szCs w:val="24"/>
          <w:highlight w:val="none"/>
          <w:lang w:val="en-US" w:eastAsia="zh-CN" w:bidi="ar-SA"/>
        </w:rPr>
        <w:t>等文件要求</w:t>
      </w:r>
      <w:r>
        <w:rPr>
          <w:rFonts w:hint="eastAsia" w:ascii="宋体" w:hAnsi="宋体" w:eastAsia="宋体" w:cs="宋体"/>
          <w:b w:val="0"/>
          <w:bCs/>
          <w:color w:val="auto"/>
          <w:kern w:val="2"/>
          <w:sz w:val="24"/>
          <w:szCs w:val="24"/>
          <w:highlight w:val="none"/>
          <w:lang w:val="zh-CN" w:eastAsia="zh-CN" w:bidi="ar-SA"/>
        </w:rPr>
        <w:t>，对符合扶持政策的小微企业供应商的报价给予价格扣除，用扣除后的价格参与评审。</w:t>
      </w:r>
    </w:p>
    <w:p w14:paraId="578B360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本磋商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划分标准见《中小企业划型标准规定》（工信部联企业[2011]300号）。</w:t>
      </w:r>
    </w:p>
    <w:p w14:paraId="6F61FF6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3.供应商提供的货物、工程或者服务符合下列情形的，享受前款办法规定的中小企业扶持政策：</w:t>
      </w:r>
    </w:p>
    <w:p w14:paraId="3DB63E8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（1）在货物采购项目中，货物由中小企业制造，即货物由中小企业生产且使用该中小企业商号或者注册商标；</w:t>
      </w:r>
    </w:p>
    <w:p w14:paraId="60B40B3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（2）在工程采购项目中，工程由中小企业承建，即工程施工单位为中小企业；</w:t>
      </w:r>
    </w:p>
    <w:p w14:paraId="6B7AB9E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（3）在服务采购项目中，服务由中小企业承接，即提供服务的人员为中小企业依照《中华人民共和国劳动</w:t>
      </w:r>
      <w:r>
        <w:rPr>
          <w:rFonts w:hint="eastAsia" w:cs="宋体"/>
          <w:b w:val="0"/>
          <w:bCs/>
          <w:color w:val="auto"/>
          <w:kern w:val="2"/>
          <w:sz w:val="24"/>
          <w:szCs w:val="24"/>
          <w:highlight w:val="none"/>
          <w:lang w:val="zh-CN" w:eastAsia="zh-CN" w:bidi="ar-SA"/>
        </w:rPr>
        <w:t>民法典</w:t>
      </w:r>
      <w:r>
        <w:rPr>
          <w:rFonts w:hint="eastAsia" w:ascii="宋体" w:hAnsi="宋体" w:eastAsia="宋体" w:cs="宋体"/>
          <w:b w:val="0"/>
          <w:bCs/>
          <w:color w:val="auto"/>
          <w:kern w:val="2"/>
          <w:sz w:val="24"/>
          <w:szCs w:val="24"/>
          <w:highlight w:val="none"/>
          <w:lang w:val="zh-CN" w:eastAsia="zh-CN" w:bidi="ar-SA"/>
        </w:rPr>
        <w:t>》订立劳动合同的从业人员。在货物采购项目中，供应商提供的货物既有中小企业制造货物，也有大型企业制造货物的，不享受本办法规定的中小企业扶持政策。</w:t>
      </w:r>
    </w:p>
    <w:p w14:paraId="4FC5CCD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以联合体形式参加政府采购活动，联合体各方均为中小企业的，联合体视同中小企业。其中，联合体各方均为小微企业的，联合体视同小微企业。</w:t>
      </w:r>
    </w:p>
    <w:p w14:paraId="7F6DCD1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4.政府采购监督检查、投诉处理及政府采购行政处罚中对中小企业的认定，由货物制造商或者工程、服务供应商注册登记所在地的县级以上人民政府中小企业主管部门负责。</w:t>
      </w:r>
    </w:p>
    <w:p w14:paraId="34349B1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5.供应商需根据《政府采购促进中小企业发展管理办法》（财库〔2020〕46号）和《中小企业划型标准规定》（工信部联企业〔2011〕300号）对照自身情况及所提供产品的制造商、服务商的信息自行判断是否全部属于中小微企业。出具《中小企业声明函》（见响应文件格式）的供应商享受小微企业扶持政策，否则不享受。供应商出具的《中小企业声明函》在公告成交结果时公开，接受社会的监督。</w:t>
      </w:r>
    </w:p>
    <w:p w14:paraId="7426F58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6.供应商应对其出具的《中小企业声明函》真实性负责，供应商出具的《中小企业声明函》内容不实的（含供应商疏忽提供），属于提供虚假材料谋取成交。</w:t>
      </w:r>
    </w:p>
    <w:p w14:paraId="564E484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（二）监狱企业政策</w:t>
      </w:r>
    </w:p>
    <w:p w14:paraId="57F7BC7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本项目对符合《财政部司法部关于政府采购支持监狱企业发展有关问题的通知》（财库〔2014〕68号）并提供省级以上监狱管理局、戒毒管理局（含新疆生产建设兵团）出具属于监狱、戒毒企业的证明的的监狱和戒毒企业，视同小型、微型企业，监狱、戒毒企业属于小型、微型企业的，不重复享受价格优惠政策。</w:t>
      </w:r>
    </w:p>
    <w:p w14:paraId="6EB4FA4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本磋商文件所称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CE3C90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3.供应商为监狱企业且所投货物全部由监狱企业制造的，应当提供由省级以上监狱管理局、戒毒管理局出具的属于监狱企业的证明文件，未提供或出具证明文件的单位不符合要求的，不视为小型微型企业。</w:t>
      </w:r>
    </w:p>
    <w:p w14:paraId="6C50F46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（三）残疾人福利性单位政策</w:t>
      </w:r>
    </w:p>
    <w:p w14:paraId="6FE5FC9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本项目对符合财政部、民政部、中国残疾人联合会下发的《关于促进残疾人就业政府采购政策的通知》（财库〔2017〕141号）并提供本单位制造的货物、承担的工程或者服务，或者提供其他残疾人福利性单位制造的货物（不包括使用非残疾人福利性单位注册商标的货物）的供应商，视同小型、微型企业。残疾人福利性单位属于小型、微型企业的，不重复享受价格优惠政策。</w:t>
      </w:r>
    </w:p>
    <w:p w14:paraId="5D27D20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2.本磋商文件所称残疾人福利性单位指符合《三部门联合发布关于促进残疾人就业政府采购政策的通知》财库〔2017〕141号规定的对残疾人福利性单位划分标准的单位。</w:t>
      </w:r>
    </w:p>
    <w:p w14:paraId="09FDE326">
      <w:pPr>
        <w:pStyle w:val="4"/>
        <w:bidi w:val="0"/>
        <w:rPr>
          <w:rFonts w:hint="eastAsia" w:ascii="宋体" w:hAnsi="宋体" w:eastAsia="宋体" w:cs="宋体"/>
          <w:lang w:val="zh-CN" w:eastAsia="zh-CN"/>
        </w:rPr>
      </w:pPr>
      <w:r>
        <w:rPr>
          <w:rFonts w:hint="eastAsia" w:ascii="宋体" w:hAnsi="宋体" w:eastAsia="宋体" w:cs="宋体"/>
          <w:lang w:val="zh-CN" w:eastAsia="zh-CN"/>
        </w:rPr>
        <w:t>三、供应商</w:t>
      </w:r>
    </w:p>
    <w:p w14:paraId="0F7F93B2">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（一）有效供应商</w:t>
      </w:r>
    </w:p>
    <w:p w14:paraId="0CB2802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1.具备磋商公告要求的资格条件和相应的能力。</w:t>
      </w:r>
    </w:p>
    <w:p w14:paraId="15ED095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2.已在</w:t>
      </w:r>
      <w:r>
        <w:rPr>
          <w:rFonts w:hint="eastAsia" w:ascii="宋体" w:hAnsi="宋体" w:eastAsia="宋体" w:cs="宋体"/>
          <w:highlight w:val="none"/>
          <w:lang w:val="en-US" w:eastAsia="zh-CN"/>
        </w:rPr>
        <w:t>全国公共资源交易平台（陕西省·宝鸡市）宝鸡市公共资源交易中心</w:t>
      </w:r>
      <w:r>
        <w:rPr>
          <w:rFonts w:hint="eastAsia" w:ascii="宋体" w:hAnsi="宋体" w:eastAsia="宋体" w:cs="宋体"/>
          <w:b w:val="0"/>
          <w:bCs/>
          <w:color w:val="auto"/>
          <w:kern w:val="2"/>
          <w:sz w:val="24"/>
          <w:szCs w:val="24"/>
          <w:highlight w:val="none"/>
          <w:lang w:val="zh-CN" w:eastAsia="zh-CN" w:bidi="ar-SA"/>
        </w:rPr>
        <w:t>获取磋商文件并参加磋商的法人、其他组织或自然人。未</w:t>
      </w:r>
      <w:r>
        <w:rPr>
          <w:rFonts w:hint="eastAsia" w:ascii="宋体" w:hAnsi="宋体" w:eastAsia="宋体" w:cs="宋体"/>
          <w:b w:val="0"/>
          <w:bCs/>
          <w:color w:val="auto"/>
          <w:kern w:val="2"/>
          <w:sz w:val="24"/>
          <w:szCs w:val="24"/>
          <w:highlight w:val="none"/>
          <w:lang w:val="en-US" w:eastAsia="zh-CN" w:bidi="ar-SA"/>
        </w:rPr>
        <w:t>下载获取</w:t>
      </w:r>
      <w:r>
        <w:rPr>
          <w:rFonts w:hint="eastAsia" w:ascii="宋体" w:hAnsi="宋体" w:eastAsia="宋体" w:cs="宋体"/>
          <w:b w:val="0"/>
          <w:bCs/>
          <w:color w:val="auto"/>
          <w:kern w:val="2"/>
          <w:sz w:val="24"/>
          <w:szCs w:val="24"/>
          <w:highlight w:val="none"/>
          <w:lang w:val="zh-CN" w:eastAsia="zh-CN" w:bidi="ar-SA"/>
        </w:rPr>
        <w:t>磋商文件的，不得参加本项目磋商竞争。</w:t>
      </w:r>
    </w:p>
    <w:p w14:paraId="3B48B2D5">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（二）限制供应商</w:t>
      </w:r>
    </w:p>
    <w:p w14:paraId="5D195FC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1.单位负责人为同一人或者存在直接控股、管理关系的不同供应商不得参加同一合同项下的政府采购活动；</w:t>
      </w:r>
    </w:p>
    <w:p w14:paraId="3325BF9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cs="宋体"/>
          <w:b w:val="0"/>
          <w:bCs/>
          <w:color w:val="auto"/>
          <w:kern w:val="2"/>
          <w:sz w:val="24"/>
          <w:szCs w:val="24"/>
          <w:highlight w:val="none"/>
          <w:lang w:val="en-US" w:eastAsia="zh-CN" w:bidi="ar-SA"/>
        </w:rPr>
        <w:t>2</w:t>
      </w:r>
      <w:r>
        <w:rPr>
          <w:rFonts w:hint="eastAsia" w:ascii="宋体" w:hAnsi="宋体" w:eastAsia="宋体" w:cs="宋体"/>
          <w:b w:val="0"/>
          <w:bCs/>
          <w:color w:val="auto"/>
          <w:kern w:val="2"/>
          <w:sz w:val="24"/>
          <w:szCs w:val="24"/>
          <w:highlight w:val="none"/>
          <w:lang w:val="zh-CN" w:eastAsia="zh-CN" w:bidi="ar-SA"/>
        </w:rPr>
        <w:t>.供应商不得存在下列情形之一，否则其磋商响应无效：</w:t>
      </w:r>
    </w:p>
    <w:p w14:paraId="5400C13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（1）不同供应商不得在同一合同项下的采购项目中，同时委托同一个自然人、同一家庭的人员、同一单位的人员作为其代表人的；</w:t>
      </w:r>
    </w:p>
    <w:p w14:paraId="2278347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（2）与采购人、采购代理机构存在隶属关系，或者存在其他利害关系且可能影响采购公正性的；</w:t>
      </w:r>
    </w:p>
    <w:p w14:paraId="0358397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（3）与本项目其他供应商的法定代表人（或者负责人）为同一人的；</w:t>
      </w:r>
    </w:p>
    <w:p w14:paraId="3AFC44F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（4）与本项目其他供应商存在控股、管理关系的；</w:t>
      </w:r>
    </w:p>
    <w:p w14:paraId="5D394E9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（5）为本项目采购代理机构的；</w:t>
      </w:r>
    </w:p>
    <w:p w14:paraId="1BADD70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（6）为本项目供应商代理投标的是项目采购代理机构的；</w:t>
      </w:r>
    </w:p>
    <w:p w14:paraId="662EE70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（7）受到财政部门较大数额罚款的行政处罚或其他行政部门较大数额罚款的行政处罚（举行听证会）的；</w:t>
      </w:r>
    </w:p>
    <w:p w14:paraId="2DFF2A3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（8）被吊销许可证、营业执照的；</w:t>
      </w:r>
    </w:p>
    <w:p w14:paraId="6A89095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（9）被列入失信被执行人名单（包括被纳入法院、市场监督部门、税务部门、银行等认定的失信名单且在有效期内）的；</w:t>
      </w:r>
    </w:p>
    <w:p w14:paraId="5AF46E8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（10）被列入</w:t>
      </w:r>
      <w:r>
        <w:rPr>
          <w:rFonts w:hint="eastAsia" w:cs="宋体"/>
          <w:b w:val="0"/>
          <w:bCs/>
          <w:color w:val="auto"/>
          <w:kern w:val="2"/>
          <w:sz w:val="24"/>
          <w:szCs w:val="24"/>
          <w:highlight w:val="none"/>
          <w:lang w:val="zh-CN" w:eastAsia="zh-CN" w:bidi="ar-SA"/>
        </w:rPr>
        <w:t>重大税收违法失信主体</w:t>
      </w:r>
      <w:r>
        <w:rPr>
          <w:rFonts w:hint="eastAsia" w:ascii="宋体" w:hAnsi="宋体" w:eastAsia="宋体" w:cs="宋体"/>
          <w:b w:val="0"/>
          <w:bCs/>
          <w:color w:val="auto"/>
          <w:kern w:val="2"/>
          <w:sz w:val="24"/>
          <w:szCs w:val="24"/>
          <w:highlight w:val="none"/>
          <w:lang w:val="zh-CN" w:eastAsia="zh-CN" w:bidi="ar-SA"/>
        </w:rPr>
        <w:t>的；</w:t>
      </w:r>
    </w:p>
    <w:p w14:paraId="45232C1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（11）被禁止在一定期限内参加政府采购活动，或存在财政部门认定的其他重大违法记录，或在其他经营活动履约过程中未依法履约被有关行政部门处罚（处理）的；</w:t>
      </w:r>
    </w:p>
    <w:p w14:paraId="55B5605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（12）法律法规规定的其他无效情形。</w:t>
      </w:r>
    </w:p>
    <w:p w14:paraId="7A072CE9">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w:t>
      </w:r>
      <w:r>
        <w:rPr>
          <w:rFonts w:hint="eastAsia" w:ascii="宋体" w:hAnsi="宋体" w:eastAsia="宋体" w:cs="宋体"/>
          <w:b/>
          <w:bCs w:val="0"/>
          <w:color w:val="auto"/>
          <w:kern w:val="2"/>
          <w:sz w:val="24"/>
          <w:szCs w:val="24"/>
          <w:highlight w:val="none"/>
          <w:lang w:val="en-US" w:eastAsia="zh-CN" w:bidi="ar-SA"/>
        </w:rPr>
        <w:t>三</w:t>
      </w:r>
      <w:r>
        <w:rPr>
          <w:rFonts w:hint="eastAsia" w:ascii="宋体" w:hAnsi="宋体" w:eastAsia="宋体" w:cs="宋体"/>
          <w:b/>
          <w:bCs w:val="0"/>
          <w:color w:val="auto"/>
          <w:kern w:val="2"/>
          <w:sz w:val="24"/>
          <w:szCs w:val="24"/>
          <w:highlight w:val="none"/>
          <w:lang w:val="zh-CN" w:eastAsia="zh-CN" w:bidi="ar-SA"/>
        </w:rPr>
        <w:t>）不合格供应商认定</w:t>
      </w:r>
    </w:p>
    <w:p w14:paraId="24D7D3C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有下列情形之一的，属于不合格供应商，其磋商或成交资格将被取消：</w:t>
      </w:r>
    </w:p>
    <w:p w14:paraId="6DB2AAF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1.提供虚假材料谋取成交的；</w:t>
      </w:r>
    </w:p>
    <w:p w14:paraId="65C5760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2.提供假冒伪劣产品的；</w:t>
      </w:r>
    </w:p>
    <w:p w14:paraId="243F837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3.采取不正当手段诋毁、排挤其他供应商的；</w:t>
      </w:r>
    </w:p>
    <w:p w14:paraId="7E642C9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4.与采购人、采购代理机构、其他供应商恶意串通的；</w:t>
      </w:r>
    </w:p>
    <w:p w14:paraId="4355CF6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5.向采购人、采购代理机构、磋商小组成员行贿或者提供其他不正当利益的；</w:t>
      </w:r>
    </w:p>
    <w:p w14:paraId="6DCC38F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6.在磋商过程中与采购人、采购代理机构进行协商谈判的；</w:t>
      </w:r>
    </w:p>
    <w:p w14:paraId="2E364C6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7.拒绝有关部门的监督检查或者向监督检查部门提供虚假情况的；</w:t>
      </w:r>
    </w:p>
    <w:p w14:paraId="321A29F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8.法律法规规定的其他情形。</w:t>
      </w:r>
    </w:p>
    <w:p w14:paraId="3FC243A2">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w:t>
      </w:r>
      <w:r>
        <w:rPr>
          <w:rFonts w:hint="eastAsia" w:ascii="宋体" w:hAnsi="宋体" w:eastAsia="宋体" w:cs="宋体"/>
          <w:b/>
          <w:bCs w:val="0"/>
          <w:color w:val="auto"/>
          <w:kern w:val="2"/>
          <w:sz w:val="24"/>
          <w:szCs w:val="24"/>
          <w:highlight w:val="none"/>
          <w:lang w:val="en-US" w:eastAsia="zh-CN" w:bidi="ar-SA"/>
        </w:rPr>
        <w:t>四</w:t>
      </w:r>
      <w:r>
        <w:rPr>
          <w:rFonts w:hint="eastAsia" w:ascii="宋体" w:hAnsi="宋体" w:eastAsia="宋体" w:cs="宋体"/>
          <w:b/>
          <w:bCs w:val="0"/>
          <w:color w:val="auto"/>
          <w:kern w:val="2"/>
          <w:sz w:val="24"/>
          <w:szCs w:val="24"/>
          <w:highlight w:val="none"/>
          <w:lang w:val="zh-CN" w:eastAsia="zh-CN" w:bidi="ar-SA"/>
        </w:rPr>
        <w:t>）供应商信用记录的查询</w:t>
      </w:r>
    </w:p>
    <w:p w14:paraId="2AB8D7B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1.采购人</w:t>
      </w:r>
      <w:r>
        <w:rPr>
          <w:rFonts w:hint="eastAsia" w:cs="宋体"/>
          <w:b w:val="0"/>
          <w:bCs/>
          <w:color w:val="auto"/>
          <w:kern w:val="2"/>
          <w:sz w:val="24"/>
          <w:szCs w:val="24"/>
          <w:highlight w:val="none"/>
          <w:lang w:val="en-US" w:eastAsia="zh-CN" w:bidi="ar-SA"/>
        </w:rPr>
        <w:t>或采购代理机构</w:t>
      </w:r>
      <w:r>
        <w:rPr>
          <w:rFonts w:hint="eastAsia" w:ascii="宋体" w:hAnsi="宋体" w:eastAsia="宋体" w:cs="宋体"/>
          <w:b w:val="0"/>
          <w:bCs/>
          <w:color w:val="auto"/>
          <w:kern w:val="2"/>
          <w:sz w:val="24"/>
          <w:szCs w:val="24"/>
          <w:highlight w:val="none"/>
          <w:lang w:val="zh-CN" w:eastAsia="zh-CN" w:bidi="ar-SA"/>
        </w:rPr>
        <w:t>在资格审查阶段可以通过【信用中国】、【中国政府采购网】网站对供应商的信用情况进行甄别。被列入失信被执行人、</w:t>
      </w:r>
      <w:r>
        <w:rPr>
          <w:rFonts w:hint="eastAsia" w:cs="宋体"/>
          <w:b w:val="0"/>
          <w:bCs/>
          <w:color w:val="auto"/>
          <w:kern w:val="2"/>
          <w:sz w:val="24"/>
          <w:szCs w:val="24"/>
          <w:highlight w:val="none"/>
          <w:lang w:val="zh-CN" w:eastAsia="zh-CN" w:bidi="ar-SA"/>
        </w:rPr>
        <w:t>重大税收违法失信主体</w:t>
      </w:r>
      <w:r>
        <w:rPr>
          <w:rFonts w:hint="eastAsia" w:ascii="宋体" w:hAnsi="宋体" w:eastAsia="宋体" w:cs="宋体"/>
          <w:b w:val="0"/>
          <w:bCs/>
          <w:color w:val="auto"/>
          <w:kern w:val="2"/>
          <w:sz w:val="24"/>
          <w:szCs w:val="24"/>
          <w:highlight w:val="none"/>
          <w:lang w:val="zh-CN" w:eastAsia="zh-CN" w:bidi="ar-SA"/>
        </w:rPr>
        <w:t>、政府采购严重违法失信行为记录名单及其他不符合《中华人民共和国政府采购法》第二十二条规定条件的供应商，根据《关于在政府采购活动中查询及使用信用记录有关问题的通知》（财库〔2016〕125号）的第二条第（三）款规定，其磋商或成交资格将被取消。网站网址见供应商须知前附表。</w:t>
      </w:r>
    </w:p>
    <w:p w14:paraId="4159536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2.供应商在参加政府采购活动前3年内因违法经营被禁止在一定期限内参加政府采购活动，期限届满的，可以参加政府采购活动，但应提供相关证明材料。</w:t>
      </w:r>
    </w:p>
    <w:p w14:paraId="1376D7B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3.供应商信用记录查询的时间段为“磋商公告发布之日（含当日）至提交响应文件截止之日（不含当日）”。</w:t>
      </w:r>
    </w:p>
    <w:p w14:paraId="774C2B4F">
      <w:pPr>
        <w:keepNext w:val="0"/>
        <w:keepLines w:val="0"/>
        <w:pageBreakBefore w:val="0"/>
        <w:widowControl w:val="0"/>
        <w:tabs>
          <w:tab w:val="left" w:pos="5280"/>
        </w:tabs>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4.供应商应如实填报《供应商书面信用声明函》，如未如实填报，则视为提供虚假材料谋取成交的行为。</w:t>
      </w:r>
    </w:p>
    <w:p w14:paraId="791A7BE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5.两个以上的自然人、法人或者其他组织组成一个联合体，以一个供应商的身份共同参加政府采购活动的，将对所有联合体成员进行信用记录查询，联合体成员存在不良信用记录的，视同联合体存在不良信用记录。</w:t>
      </w:r>
    </w:p>
    <w:p w14:paraId="58D3606D">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（六）供应商的风险</w:t>
      </w:r>
    </w:p>
    <w:p w14:paraId="2E7B18C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供应商应认真阅读和充分理解磋商文件中所有的事项、格式条款和规范要求，任何对磋商文件的忽略或误解都不能作为响应文件存在缺陷或瑕疵的理由；供应商没有按照磋商文件要求提供全部资料，或未对磋商文件做出有效的响应进而可能导致其响应文件被拒绝是供应商的风险。</w:t>
      </w:r>
    </w:p>
    <w:p w14:paraId="5C5E1403">
      <w:pPr>
        <w:pStyle w:val="4"/>
        <w:bidi w:val="0"/>
        <w:rPr>
          <w:rFonts w:hint="eastAsia" w:ascii="宋体" w:hAnsi="宋体" w:eastAsia="宋体" w:cs="宋体"/>
          <w:lang w:val="en-US" w:eastAsia="zh-CN"/>
        </w:rPr>
      </w:pPr>
      <w:r>
        <w:rPr>
          <w:rFonts w:hint="eastAsia" w:ascii="宋体" w:hAnsi="宋体" w:eastAsia="宋体" w:cs="宋体"/>
          <w:lang w:val="en-US" w:eastAsia="zh-CN"/>
        </w:rPr>
        <w:t>四、磋商文件</w:t>
      </w:r>
    </w:p>
    <w:p w14:paraId="47952342">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lang w:val="en-US" w:eastAsia="zh-CN"/>
        </w:rPr>
      </w:pPr>
      <w:r>
        <w:rPr>
          <w:rFonts w:hint="eastAsia" w:ascii="宋体" w:hAnsi="宋体" w:eastAsia="宋体" w:cs="宋体"/>
          <w:b/>
          <w:bCs/>
          <w:lang w:val="en-US" w:eastAsia="zh-CN"/>
        </w:rPr>
        <w:t>（一）磋商文件的构成</w:t>
      </w:r>
    </w:p>
    <w:p w14:paraId="0C0DB8C1">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1.本磋商文件包括下列内容：</w:t>
      </w:r>
    </w:p>
    <w:p w14:paraId="7B7CA12E">
      <w:pPr>
        <w:pStyle w:val="16"/>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第一章 竞争性磋商公告</w:t>
      </w:r>
    </w:p>
    <w:p w14:paraId="227857F6">
      <w:pPr>
        <w:pStyle w:val="16"/>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第二章 供应商须知</w:t>
      </w:r>
    </w:p>
    <w:p w14:paraId="0F06B883">
      <w:pPr>
        <w:pStyle w:val="16"/>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第三章 磋商评审办法 </w:t>
      </w:r>
    </w:p>
    <w:p w14:paraId="62AD0C23">
      <w:pPr>
        <w:pStyle w:val="16"/>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第四章 </w:t>
      </w:r>
      <w:r>
        <w:rPr>
          <w:rFonts w:hint="eastAsia" w:cs="宋体"/>
          <w:highlight w:val="none"/>
          <w:lang w:val="en-US" w:eastAsia="zh-CN"/>
        </w:rPr>
        <w:t>采购</w:t>
      </w:r>
      <w:r>
        <w:rPr>
          <w:rFonts w:hint="eastAsia" w:ascii="宋体" w:hAnsi="宋体" w:eastAsia="宋体" w:cs="宋体"/>
          <w:highlight w:val="none"/>
          <w:lang w:val="en-US" w:eastAsia="zh-CN"/>
        </w:rPr>
        <w:t>内容及要求</w:t>
      </w:r>
    </w:p>
    <w:p w14:paraId="1A4A2BD6">
      <w:pPr>
        <w:pStyle w:val="16"/>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第五章 商务要求</w:t>
      </w:r>
    </w:p>
    <w:p w14:paraId="2A773AD5">
      <w:pPr>
        <w:pStyle w:val="16"/>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第六章 合同主要条款</w:t>
      </w:r>
    </w:p>
    <w:p w14:paraId="0208CB0D">
      <w:pPr>
        <w:pStyle w:val="16"/>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第七章 响应文件格式</w:t>
      </w:r>
    </w:p>
    <w:p w14:paraId="562254CC">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2.采购代理机构以书面形式发给供应商的关于对磋商文件的澄清、修改、补充通知等均是本磋商文件的组成部分。</w:t>
      </w:r>
    </w:p>
    <w:p w14:paraId="4C603600">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lang w:val="en-US" w:eastAsia="zh-CN"/>
        </w:rPr>
      </w:pPr>
      <w:r>
        <w:rPr>
          <w:rFonts w:hint="eastAsia" w:ascii="宋体" w:hAnsi="宋体" w:eastAsia="宋体" w:cs="宋体"/>
          <w:b/>
          <w:bCs/>
          <w:lang w:val="en-US" w:eastAsia="zh-CN"/>
        </w:rPr>
        <w:t>（二）磋商文件的澄清和修改</w:t>
      </w:r>
    </w:p>
    <w:p w14:paraId="76365C2A">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首次响应文件提交截止之日前，采购人、采购代理机构可以对已发出的磋商文件进行必要的澄清或者修改，澄清或者修改的内容作为磋商文件的组成部分。澄清或者修改的内容可能影响响应文件编制的，采购人、采购代理机构将在提交首次响应文件截止时间至少3个工作日前，以书面形式通知所有获取磋商文件的供应商；不足3个工作日的，采购人或采购代理机构将顺延提交首次响应文件截止时间。若修改内容为微小调整，则不受上述时间的限制。</w:t>
      </w:r>
    </w:p>
    <w:p w14:paraId="468116CB">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2.磋商文件、磋商文件的澄清、修改、补充等均以书面内容为准，当对同一内容的表述不一致时，以最后发出的书面文件为准。</w:t>
      </w:r>
    </w:p>
    <w:p w14:paraId="7D4F2F43">
      <w:pPr>
        <w:pStyle w:val="4"/>
        <w:bidi w:val="0"/>
        <w:rPr>
          <w:rFonts w:hint="eastAsia" w:ascii="宋体" w:hAnsi="宋体" w:eastAsia="宋体" w:cs="宋体"/>
          <w:lang w:val="en-US" w:eastAsia="zh-CN"/>
        </w:rPr>
      </w:pPr>
      <w:r>
        <w:rPr>
          <w:rFonts w:hint="eastAsia" w:ascii="宋体" w:hAnsi="宋体" w:eastAsia="宋体" w:cs="宋体"/>
          <w:lang w:val="en-US" w:eastAsia="zh-CN"/>
        </w:rPr>
        <w:t>五、磋商报价</w:t>
      </w:r>
    </w:p>
    <w:p w14:paraId="2EB0C0EE">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磋商报价是供应商响应本项目要求的全部工作内容的价格体现，包括完成采购内容所需的直接费、间接费、利润、税金、风险、代理服务费及其它相关的费用。供应商在报价时应充分考虑所有可能发生的费用，磋商文件未列明而本应属于供应商应当计取的费用均应列入报价中，报价时不论是否计取，采购人均按已计取对待。</w:t>
      </w:r>
    </w:p>
    <w:p w14:paraId="38B9E146">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1.供应商的磋商报价（含最终报价）不得超过供应商须知前附表中的采购预算，供应商须知前附表设定最高限价的也不得超过最高限价，否则为无效响应。</w:t>
      </w:r>
    </w:p>
    <w:p w14:paraId="566CF090">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2.任何有选择或可调整的报价为无效标价，按无效响应文件处理。</w:t>
      </w:r>
    </w:p>
    <w:p w14:paraId="1C1EF13F">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3.报价方式：见供应商须知前附表。</w:t>
      </w:r>
    </w:p>
    <w:p w14:paraId="7038A8A0">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4.最低报价不是成交的唯一依据。</w:t>
      </w:r>
    </w:p>
    <w:p w14:paraId="441D948B">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5.当磋商小组认为供应商的报价明显低于其他通过符合性响应性审查供应商的报价，有可能影响服务质量和不能诚信履约的，可以要求该供应商在评审现场规定的时间内提供书面说明，必要时提交相关证明材料；供应商不能证明其报价合理的，磋商小组有权将其作为无效报价处理。</w:t>
      </w:r>
    </w:p>
    <w:p w14:paraId="280949C5">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（1）本条所述“规定的时间”由磋商小组确定。</w:t>
      </w:r>
    </w:p>
    <w:p w14:paraId="6F3252EE">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供应商的书面说明应当按照国家财务会计制度的规定，逐项就供应商所提供服务的直接成本、税金及附加税、销售费用、管理费用、财务费用等成本构成事项详细陈述。供应商提供书面说明后，磋商小组将结合项目采购需求、行业实际情况、供应商财务状况以及与其他供应商的比较等因素对供应商书面说明进行审查和评价。供应商拒绝或者变相拒绝提供有效书面说明，或者书面说明不能证明其报价合理性的，磋商小组有权将其判定为无效报价。</w:t>
      </w:r>
    </w:p>
    <w:p w14:paraId="2514E814">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6.供应商的最终报价在合同执行过程中若采购方未提出服务范围或工作内容变更时固定不变，不以任何理由变更。</w:t>
      </w:r>
    </w:p>
    <w:p w14:paraId="196783CC">
      <w:pPr>
        <w:pStyle w:val="4"/>
        <w:bidi w:val="0"/>
        <w:rPr>
          <w:rFonts w:hint="eastAsia" w:ascii="宋体" w:hAnsi="宋体" w:eastAsia="宋体" w:cs="宋体"/>
          <w:lang w:val="en-US" w:eastAsia="zh-CN"/>
        </w:rPr>
      </w:pPr>
      <w:r>
        <w:rPr>
          <w:rFonts w:hint="eastAsia" w:ascii="宋体" w:hAnsi="宋体" w:eastAsia="宋体" w:cs="宋体"/>
          <w:lang w:val="en-US" w:eastAsia="zh-CN"/>
        </w:rPr>
        <w:t>六、磋商保证金</w:t>
      </w:r>
    </w:p>
    <w:p w14:paraId="75E9775B">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1.本项目磋商保证金交纳的要求：见供应商须知前附表。</w:t>
      </w:r>
    </w:p>
    <w:p w14:paraId="233DF7B7">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2.磋商保证金交纳：见供应商须知前附表。</w:t>
      </w:r>
    </w:p>
    <w:p w14:paraId="037CCEAD">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3.保证金退还：</w:t>
      </w:r>
    </w:p>
    <w:p w14:paraId="61F15F79">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（1）未成交供应商磋商保证金退还：在成交通知书发出之日起5个工作日内退还。</w:t>
      </w:r>
    </w:p>
    <w:p w14:paraId="26D7128F">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成交供应商磋商保证金退还：将在供应商与采购人签订采购合同之日起5个工作日内退还，但因供应商自身原因导致无法及时退还的除外。成交供应商办理退还保证金时需向采购代理机构提供：生效的服务合同扫描件一份。</w:t>
      </w:r>
    </w:p>
    <w:p w14:paraId="3F1BCCC8">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4.供应商有以下情形之一的，磋商保证金可以不予退还：</w:t>
      </w:r>
    </w:p>
    <w:p w14:paraId="09EA6EE5">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（1）供应商在磋商有效期内撤销或修改其响应文件的；</w:t>
      </w:r>
    </w:p>
    <w:p w14:paraId="5AAE8677">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（2）除因不可抗力或磋商文件认可的情形以外，成交供应商不与采购人签订合同的，或在签订合同时向采购人提出采购人不能接受的附加条件的；</w:t>
      </w:r>
    </w:p>
    <w:p w14:paraId="246D7B7C">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（3）由于成交供应商的原因未能按照磋商文件的规定交纳履约保证金的；</w:t>
      </w:r>
    </w:p>
    <w:p w14:paraId="3E8BD5CC">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（4）被证实在本项目磋商竞争中有围标、串标、损害采购人利益行为的；</w:t>
      </w:r>
    </w:p>
    <w:p w14:paraId="04113B08">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（5）具有欺诈、弄虚作假投标行为的；</w:t>
      </w:r>
    </w:p>
    <w:p w14:paraId="357B70EC">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（6）成交供应商将成交项目转让给他人，或者在响应文件中未说明且未经采购人同意，将成交项目分包给他人的；</w:t>
      </w:r>
    </w:p>
    <w:p w14:paraId="0D94AA99">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（7）其他政府采购有关磋商保证金不予退还规定的行为。</w:t>
      </w:r>
    </w:p>
    <w:p w14:paraId="1AF328DC">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5.项目如废标重新组织磋商的，磋商保证金将按上述时间退回供应商账户，供应商需按照新的磋商文件要求重新交纳磋商保证金。</w:t>
      </w:r>
    </w:p>
    <w:p w14:paraId="1E5A8FFF">
      <w:pPr>
        <w:pStyle w:val="4"/>
        <w:bidi w:val="0"/>
        <w:rPr>
          <w:rFonts w:hint="eastAsia" w:ascii="宋体" w:hAnsi="宋体" w:eastAsia="宋体" w:cs="宋体"/>
          <w:lang w:val="zh-CN" w:eastAsia="zh-CN"/>
        </w:rPr>
      </w:pPr>
      <w:r>
        <w:rPr>
          <w:rFonts w:hint="eastAsia" w:ascii="宋体" w:hAnsi="宋体" w:eastAsia="宋体" w:cs="宋体"/>
          <w:lang w:val="zh-CN" w:eastAsia="zh-CN"/>
        </w:rPr>
        <w:t>七、响应文件</w:t>
      </w:r>
    </w:p>
    <w:p w14:paraId="5313C23B">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（一）响应文件的组成</w:t>
      </w:r>
    </w:p>
    <w:p w14:paraId="0F189D6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en-US" w:eastAsia="zh-CN" w:bidi="ar-SA"/>
        </w:rPr>
        <w:t>详见第七章 响应文件格式。</w:t>
      </w:r>
    </w:p>
    <w:p w14:paraId="2E3B3A5D">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（二）响应文件编制说明</w:t>
      </w:r>
    </w:p>
    <w:p w14:paraId="4CA8C53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供应商应认真阅读并充分理解磋商文件中所有的全部内容，按磋商文件的要求编制响应文件，在响应文件中对磋商文件提出的要求和条件做出明确响应。属于供应商对磋商文件理解不透、误解、疏漏或对市场行情了解不清等原因，不能作为响应文件存在缺陷或瑕疵的理由，其风险由供应商自己承担。</w:t>
      </w:r>
    </w:p>
    <w:p w14:paraId="0104AAE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供应商须对其提交的响应文件的真实性、合法性承担法律责任。供应商被认定提供不真实材料的（包含属于供应商疏忽提供），无论其材料是否重要，采购人均有权拒绝并取消其磋商或成交资格，供应商还将承担相应的法律后果。</w:t>
      </w:r>
    </w:p>
    <w:p w14:paraId="7DC5A61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3.每个供应商只允许提交一个磋商方案，如果提供备选方案，则为无效响应。</w:t>
      </w:r>
    </w:p>
    <w:p w14:paraId="4F39A26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en-US" w:eastAsia="zh-CN" w:bidi="ar-SA"/>
        </w:rPr>
        <w:t>4</w:t>
      </w:r>
      <w:r>
        <w:rPr>
          <w:rFonts w:hint="eastAsia" w:ascii="宋体" w:hAnsi="宋体" w:eastAsia="宋体" w:cs="宋体"/>
          <w:b w:val="0"/>
          <w:bCs/>
          <w:color w:val="auto"/>
          <w:kern w:val="2"/>
          <w:sz w:val="24"/>
          <w:szCs w:val="24"/>
          <w:highlight w:val="none"/>
          <w:lang w:val="zh-CN" w:eastAsia="zh-CN" w:bidi="ar-SA"/>
        </w:rPr>
        <w:t>.供应商应当按磋商文件中提供的格式编写响应文件，格式中的空间不足填写时可按照格式扩展。</w:t>
      </w:r>
    </w:p>
    <w:p w14:paraId="09F2793D">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zh-CN" w:eastAsia="zh-CN" w:bidi="ar-SA"/>
        </w:rPr>
        <w:t>（三）</w:t>
      </w:r>
      <w:r>
        <w:rPr>
          <w:rFonts w:hint="eastAsia" w:ascii="宋体" w:hAnsi="宋体" w:eastAsia="宋体" w:cs="宋体"/>
          <w:b/>
          <w:bCs w:val="0"/>
          <w:color w:val="auto"/>
          <w:kern w:val="2"/>
          <w:sz w:val="24"/>
          <w:szCs w:val="24"/>
          <w:highlight w:val="none"/>
          <w:lang w:val="en-US" w:eastAsia="zh-CN" w:bidi="ar-SA"/>
        </w:rPr>
        <w:t>响应文件的制作与签署</w:t>
      </w:r>
    </w:p>
    <w:p w14:paraId="39177932">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rPr>
        <w:t>编制电子</w:t>
      </w:r>
      <w:r>
        <w:rPr>
          <w:rFonts w:hint="eastAsia" w:ascii="宋体" w:hAnsi="宋体" w:eastAsia="宋体" w:cs="宋体"/>
          <w:snapToGrid w:val="0"/>
          <w:kern w:val="2"/>
          <w:sz w:val="24"/>
          <w:szCs w:val="24"/>
          <w:lang w:eastAsia="zh-CN"/>
        </w:rPr>
        <w:t>响应文件</w:t>
      </w:r>
      <w:r>
        <w:rPr>
          <w:rFonts w:hint="eastAsia" w:ascii="宋体" w:hAnsi="宋体" w:eastAsia="宋体" w:cs="宋体"/>
          <w:snapToGrid w:val="0"/>
          <w:kern w:val="2"/>
          <w:sz w:val="24"/>
          <w:szCs w:val="24"/>
        </w:rPr>
        <w:t>时，应使用最新发布的电子</w:t>
      </w:r>
      <w:r>
        <w:rPr>
          <w:rFonts w:hint="eastAsia" w:ascii="宋体" w:hAnsi="宋体" w:eastAsia="宋体" w:cs="宋体"/>
          <w:snapToGrid w:val="0"/>
          <w:kern w:val="2"/>
          <w:sz w:val="24"/>
          <w:szCs w:val="24"/>
          <w:lang w:eastAsia="zh-CN"/>
        </w:rPr>
        <w:t>磋商</w:t>
      </w:r>
      <w:r>
        <w:rPr>
          <w:rFonts w:hint="eastAsia" w:ascii="宋体" w:hAnsi="宋体" w:eastAsia="宋体" w:cs="宋体"/>
          <w:snapToGrid w:val="0"/>
          <w:kern w:val="2"/>
          <w:sz w:val="24"/>
          <w:szCs w:val="24"/>
        </w:rPr>
        <w:t>文件及专用制作工具进行编制。并使用数字认证证书（CA）对电子</w:t>
      </w:r>
      <w:r>
        <w:rPr>
          <w:rFonts w:hint="eastAsia" w:ascii="宋体" w:hAnsi="宋体" w:eastAsia="宋体" w:cs="宋体"/>
          <w:snapToGrid w:val="0"/>
          <w:kern w:val="2"/>
          <w:sz w:val="24"/>
          <w:szCs w:val="24"/>
          <w:lang w:eastAsia="zh-CN"/>
        </w:rPr>
        <w:t>响应文件</w:t>
      </w:r>
      <w:r>
        <w:rPr>
          <w:rFonts w:hint="eastAsia" w:ascii="宋体" w:hAnsi="宋体" w:eastAsia="宋体" w:cs="宋体"/>
          <w:snapToGrid w:val="0"/>
          <w:kern w:val="2"/>
          <w:sz w:val="24"/>
          <w:szCs w:val="24"/>
        </w:rPr>
        <w:t>进行签署、加密、递交及</w:t>
      </w:r>
      <w:r>
        <w:rPr>
          <w:rFonts w:hint="eastAsia" w:ascii="宋体" w:hAnsi="宋体" w:eastAsia="宋体" w:cs="宋体"/>
          <w:snapToGrid w:val="0"/>
          <w:kern w:val="2"/>
          <w:sz w:val="24"/>
          <w:szCs w:val="24"/>
          <w:lang w:eastAsia="zh-CN"/>
        </w:rPr>
        <w:t>磋商</w:t>
      </w:r>
      <w:r>
        <w:rPr>
          <w:rFonts w:hint="eastAsia" w:ascii="宋体" w:hAnsi="宋体" w:eastAsia="宋体" w:cs="宋体"/>
          <w:snapToGrid w:val="0"/>
          <w:kern w:val="2"/>
          <w:sz w:val="24"/>
          <w:szCs w:val="24"/>
        </w:rPr>
        <w:t>时解密等相关操作。</w:t>
      </w:r>
    </w:p>
    <w:p w14:paraId="1EAC9D24">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1.</w:t>
      </w:r>
      <w:r>
        <w:rPr>
          <w:rFonts w:hint="eastAsia" w:ascii="宋体" w:hAnsi="宋体" w:eastAsia="宋体" w:cs="宋体"/>
          <w:snapToGrid w:val="0"/>
          <w:kern w:val="2"/>
          <w:sz w:val="24"/>
          <w:szCs w:val="24"/>
        </w:rPr>
        <w:t>电子</w:t>
      </w:r>
      <w:r>
        <w:rPr>
          <w:rFonts w:hint="eastAsia" w:ascii="宋体" w:hAnsi="宋体" w:eastAsia="宋体" w:cs="宋体"/>
          <w:snapToGrid w:val="0"/>
          <w:kern w:val="2"/>
          <w:sz w:val="24"/>
          <w:szCs w:val="24"/>
          <w:lang w:eastAsia="zh-CN"/>
        </w:rPr>
        <w:t>磋商文件</w:t>
      </w:r>
      <w:r>
        <w:rPr>
          <w:rFonts w:hint="eastAsia" w:ascii="宋体" w:hAnsi="宋体" w:eastAsia="宋体" w:cs="宋体"/>
          <w:snapToGrid w:val="0"/>
          <w:kern w:val="2"/>
          <w:sz w:val="24"/>
          <w:szCs w:val="24"/>
        </w:rPr>
        <w:t>下载</w:t>
      </w:r>
    </w:p>
    <w:p w14:paraId="1A347F0B">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rPr>
        <w:t>供应商登录全国公共资源交易平台（陕西省）网站[电子交易平台-企业端]后，在[我的项目]中点击“项目流程-交易文件下载”下载电子</w:t>
      </w:r>
      <w:r>
        <w:rPr>
          <w:rFonts w:hint="eastAsia" w:ascii="宋体" w:hAnsi="宋体" w:eastAsia="宋体" w:cs="宋体"/>
          <w:snapToGrid w:val="0"/>
          <w:kern w:val="2"/>
          <w:sz w:val="24"/>
          <w:szCs w:val="24"/>
          <w:lang w:eastAsia="zh-CN"/>
        </w:rPr>
        <w:t>磋商文件</w:t>
      </w:r>
      <w:r>
        <w:rPr>
          <w:rFonts w:hint="eastAsia" w:ascii="宋体" w:hAnsi="宋体" w:eastAsia="宋体" w:cs="宋体"/>
          <w:snapToGrid w:val="0"/>
          <w:kern w:val="2"/>
          <w:sz w:val="24"/>
          <w:szCs w:val="24"/>
        </w:rPr>
        <w:t>（*.SXSZF）;</w:t>
      </w:r>
    </w:p>
    <w:p w14:paraId="51CCCF61">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rPr>
        <w:t>注意：该项目如有变更文件，则应点击“项目流程&gt;答疑文件下载”下载更新后的电子</w:t>
      </w:r>
      <w:r>
        <w:rPr>
          <w:rFonts w:hint="eastAsia" w:ascii="宋体" w:hAnsi="宋体" w:eastAsia="宋体" w:cs="宋体"/>
          <w:snapToGrid w:val="0"/>
          <w:kern w:val="2"/>
          <w:sz w:val="24"/>
          <w:szCs w:val="24"/>
          <w:lang w:eastAsia="zh-CN"/>
        </w:rPr>
        <w:t>磋商文件</w:t>
      </w:r>
      <w:r>
        <w:rPr>
          <w:rFonts w:hint="eastAsia" w:ascii="宋体" w:hAnsi="宋体" w:eastAsia="宋体" w:cs="宋体"/>
          <w:snapToGrid w:val="0"/>
          <w:kern w:val="2"/>
          <w:sz w:val="24"/>
          <w:szCs w:val="24"/>
        </w:rPr>
        <w:t>（*.SXSCF），使用旧版电子</w:t>
      </w:r>
      <w:r>
        <w:rPr>
          <w:rFonts w:hint="eastAsia" w:ascii="宋体" w:hAnsi="宋体" w:eastAsia="宋体" w:cs="宋体"/>
          <w:snapToGrid w:val="0"/>
          <w:kern w:val="2"/>
          <w:sz w:val="24"/>
          <w:szCs w:val="24"/>
          <w:lang w:eastAsia="zh-CN"/>
        </w:rPr>
        <w:t>磋商文件</w:t>
      </w:r>
      <w:r>
        <w:rPr>
          <w:rFonts w:hint="eastAsia" w:ascii="宋体" w:hAnsi="宋体" w:eastAsia="宋体" w:cs="宋体"/>
          <w:snapToGrid w:val="0"/>
          <w:kern w:val="2"/>
          <w:sz w:val="24"/>
          <w:szCs w:val="24"/>
        </w:rPr>
        <w:t>制作的电子</w:t>
      </w:r>
      <w:r>
        <w:rPr>
          <w:rFonts w:hint="eastAsia" w:ascii="宋体" w:hAnsi="宋体" w:eastAsia="宋体" w:cs="宋体"/>
          <w:snapToGrid w:val="0"/>
          <w:kern w:val="2"/>
          <w:sz w:val="24"/>
          <w:szCs w:val="24"/>
          <w:lang w:eastAsia="zh-CN"/>
        </w:rPr>
        <w:t>响应文件</w:t>
      </w:r>
      <w:r>
        <w:rPr>
          <w:rFonts w:hint="eastAsia" w:ascii="宋体" w:hAnsi="宋体" w:eastAsia="宋体" w:cs="宋体"/>
          <w:snapToGrid w:val="0"/>
          <w:kern w:val="2"/>
          <w:sz w:val="24"/>
          <w:szCs w:val="24"/>
        </w:rPr>
        <w:t>，系统将拒绝接收。</w:t>
      </w:r>
    </w:p>
    <w:p w14:paraId="47DEF993">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2.</w:t>
      </w:r>
      <w:r>
        <w:rPr>
          <w:rFonts w:hint="eastAsia" w:ascii="宋体" w:hAnsi="宋体" w:eastAsia="宋体" w:cs="宋体"/>
          <w:snapToGrid w:val="0"/>
          <w:kern w:val="2"/>
          <w:sz w:val="24"/>
          <w:szCs w:val="24"/>
        </w:rPr>
        <w:t>电子</w:t>
      </w:r>
      <w:r>
        <w:rPr>
          <w:rFonts w:hint="eastAsia" w:ascii="宋体" w:hAnsi="宋体" w:eastAsia="宋体" w:cs="宋体"/>
          <w:snapToGrid w:val="0"/>
          <w:kern w:val="2"/>
          <w:sz w:val="24"/>
          <w:szCs w:val="24"/>
          <w:lang w:eastAsia="zh-CN"/>
        </w:rPr>
        <w:t>磋商文件</w:t>
      </w:r>
      <w:r>
        <w:rPr>
          <w:rFonts w:hint="eastAsia" w:ascii="宋体" w:hAnsi="宋体" w:eastAsia="宋体" w:cs="宋体"/>
          <w:snapToGrid w:val="0"/>
          <w:kern w:val="2"/>
          <w:sz w:val="24"/>
          <w:szCs w:val="24"/>
        </w:rPr>
        <w:t>需要使用专用软件打开、浏览</w:t>
      </w:r>
    </w:p>
    <w:p w14:paraId="7462B504">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rPr>
        <w:t>供应商登录全国公共资源交易平台（陕西省）网站[服务指南-下载专区]免费下载《陕西省公共资源交易平台政府采购电子标书制作工具(V8.0.0.2)》，并升级至最新版本，使用该客户端可以打开电子</w:t>
      </w:r>
      <w:r>
        <w:rPr>
          <w:rFonts w:hint="eastAsia" w:ascii="宋体" w:hAnsi="宋体" w:eastAsia="宋体" w:cs="宋体"/>
          <w:snapToGrid w:val="0"/>
          <w:kern w:val="2"/>
          <w:sz w:val="24"/>
          <w:szCs w:val="24"/>
          <w:lang w:eastAsia="zh-CN"/>
        </w:rPr>
        <w:t>磋商文件</w:t>
      </w:r>
      <w:r>
        <w:rPr>
          <w:rFonts w:hint="eastAsia" w:ascii="宋体" w:hAnsi="宋体" w:eastAsia="宋体" w:cs="宋体"/>
          <w:snapToGrid w:val="0"/>
          <w:kern w:val="2"/>
          <w:sz w:val="24"/>
          <w:szCs w:val="24"/>
        </w:rPr>
        <w:t>。软件操作手册详见全国公共资源交易平台（陕西省）网站[服务指南-下载专区]中的《陕西省公共资源交易（政府采购类）</w:t>
      </w:r>
      <w:r>
        <w:rPr>
          <w:rFonts w:hint="eastAsia" w:ascii="宋体" w:hAnsi="宋体" w:eastAsia="宋体" w:cs="宋体"/>
          <w:snapToGrid w:val="0"/>
          <w:kern w:val="2"/>
          <w:sz w:val="24"/>
          <w:szCs w:val="24"/>
          <w:lang w:eastAsia="zh-CN"/>
        </w:rPr>
        <w:t>响应文件</w:t>
      </w:r>
      <w:r>
        <w:rPr>
          <w:rFonts w:hint="eastAsia" w:ascii="宋体" w:hAnsi="宋体" w:eastAsia="宋体" w:cs="宋体"/>
          <w:snapToGrid w:val="0"/>
          <w:kern w:val="2"/>
          <w:sz w:val="24"/>
          <w:szCs w:val="24"/>
        </w:rPr>
        <w:t>制作软件操作手册》；</w:t>
      </w:r>
    </w:p>
    <w:p w14:paraId="6BF25B39">
      <w:pPr>
        <w:spacing w:line="480" w:lineRule="exact"/>
        <w:ind w:firstLine="480" w:firstLineChars="200"/>
        <w:rPr>
          <w:rFonts w:hint="eastAsia" w:ascii="宋体" w:hAnsi="宋体" w:eastAsia="宋体" w:cs="宋体"/>
          <w:snapToGrid w:val="0"/>
          <w:kern w:val="2"/>
          <w:sz w:val="24"/>
          <w:szCs w:val="24"/>
          <w:lang w:eastAsia="zh-CN"/>
        </w:rPr>
      </w:pPr>
      <w:r>
        <w:rPr>
          <w:rFonts w:hint="eastAsia" w:ascii="宋体" w:hAnsi="宋体" w:eastAsia="宋体" w:cs="宋体"/>
          <w:snapToGrid w:val="0"/>
          <w:kern w:val="2"/>
          <w:sz w:val="24"/>
          <w:szCs w:val="24"/>
          <w:lang w:val="en-US" w:eastAsia="zh-CN"/>
        </w:rPr>
        <w:t>3.</w:t>
      </w:r>
      <w:r>
        <w:rPr>
          <w:rFonts w:hint="eastAsia" w:ascii="宋体" w:hAnsi="宋体" w:eastAsia="宋体" w:cs="宋体"/>
          <w:snapToGrid w:val="0"/>
          <w:kern w:val="2"/>
          <w:sz w:val="24"/>
          <w:szCs w:val="24"/>
        </w:rPr>
        <w:t>制作电子</w:t>
      </w:r>
      <w:r>
        <w:rPr>
          <w:rFonts w:hint="eastAsia" w:ascii="宋体" w:hAnsi="宋体" w:eastAsia="宋体" w:cs="宋体"/>
          <w:snapToGrid w:val="0"/>
          <w:kern w:val="2"/>
          <w:sz w:val="24"/>
          <w:szCs w:val="24"/>
          <w:lang w:eastAsia="zh-CN"/>
        </w:rPr>
        <w:t>响应文件</w:t>
      </w:r>
    </w:p>
    <w:p w14:paraId="10EDE348">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rPr>
        <w:t>电子</w:t>
      </w:r>
      <w:r>
        <w:rPr>
          <w:rFonts w:hint="eastAsia" w:ascii="宋体" w:hAnsi="宋体" w:eastAsia="宋体" w:cs="宋体"/>
          <w:snapToGrid w:val="0"/>
          <w:kern w:val="2"/>
          <w:sz w:val="24"/>
          <w:szCs w:val="24"/>
          <w:lang w:eastAsia="zh-CN"/>
        </w:rPr>
        <w:t>响应文件</w:t>
      </w:r>
      <w:r>
        <w:rPr>
          <w:rFonts w:hint="eastAsia" w:ascii="宋体" w:hAnsi="宋体" w:eastAsia="宋体" w:cs="宋体"/>
          <w:snapToGrid w:val="0"/>
          <w:kern w:val="2"/>
          <w:sz w:val="24"/>
          <w:szCs w:val="24"/>
        </w:rPr>
        <w:t>同样需要使用上述软件进行编制。在编制过程中，如有技术性问题，请先翻阅操作手册或致电软件开发商，技术支持热线：4009280095、4009980000；</w:t>
      </w:r>
    </w:p>
    <w:p w14:paraId="7A96D1E2">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w:t>
      </w:r>
      <w:r>
        <w:rPr>
          <w:rFonts w:hint="eastAsia" w:ascii="宋体" w:hAnsi="宋体" w:eastAsia="宋体" w:cs="宋体"/>
          <w:b/>
          <w:bCs w:val="0"/>
          <w:color w:val="auto"/>
          <w:kern w:val="2"/>
          <w:sz w:val="24"/>
          <w:szCs w:val="24"/>
          <w:highlight w:val="none"/>
          <w:lang w:val="en-US" w:eastAsia="zh-CN" w:bidi="ar-SA"/>
        </w:rPr>
        <w:t>四</w:t>
      </w:r>
      <w:r>
        <w:rPr>
          <w:rFonts w:hint="eastAsia" w:ascii="宋体" w:hAnsi="宋体" w:eastAsia="宋体" w:cs="宋体"/>
          <w:b/>
          <w:bCs w:val="0"/>
          <w:color w:val="auto"/>
          <w:kern w:val="2"/>
          <w:sz w:val="24"/>
          <w:szCs w:val="24"/>
          <w:highlight w:val="none"/>
          <w:lang w:val="zh-CN" w:eastAsia="zh-CN" w:bidi="ar-SA"/>
        </w:rPr>
        <w:t>）</w:t>
      </w:r>
      <w:r>
        <w:rPr>
          <w:rFonts w:hint="eastAsia" w:cs="宋体"/>
          <w:b/>
          <w:bCs w:val="0"/>
          <w:color w:val="auto"/>
          <w:kern w:val="2"/>
          <w:sz w:val="24"/>
          <w:szCs w:val="24"/>
          <w:highlight w:val="none"/>
          <w:lang w:val="en-US" w:eastAsia="zh-CN" w:bidi="ar-SA"/>
        </w:rPr>
        <w:t>响应</w:t>
      </w:r>
      <w:r>
        <w:rPr>
          <w:rFonts w:hint="eastAsia" w:ascii="宋体" w:hAnsi="宋体" w:eastAsia="宋体" w:cs="宋体"/>
          <w:b/>
          <w:bCs w:val="0"/>
          <w:color w:val="auto"/>
          <w:kern w:val="2"/>
          <w:sz w:val="24"/>
          <w:szCs w:val="24"/>
          <w:highlight w:val="none"/>
          <w:lang w:val="zh-CN" w:eastAsia="zh-CN" w:bidi="ar-SA"/>
        </w:rPr>
        <w:t>文件的提交</w:t>
      </w:r>
    </w:p>
    <w:p w14:paraId="1391736A">
      <w:pPr>
        <w:spacing w:line="360" w:lineRule="auto"/>
        <w:ind w:firstLine="480" w:firstLineChars="200"/>
        <w:outlineLvl w:val="2"/>
        <w:rPr>
          <w:rFonts w:hint="eastAsia" w:ascii="宋体" w:hAnsi="宋体" w:eastAsia="宋体" w:cs="宋体"/>
          <w:b w:val="0"/>
          <w:bCs/>
          <w:szCs w:val="24"/>
          <w:lang w:val="en-US" w:eastAsia="zh-CN"/>
        </w:rPr>
      </w:pPr>
      <w:r>
        <w:rPr>
          <w:rFonts w:hint="eastAsia" w:ascii="宋体" w:hAnsi="宋体" w:eastAsia="宋体" w:cs="宋体"/>
          <w:b w:val="0"/>
          <w:bCs/>
          <w:szCs w:val="24"/>
          <w:lang w:val="en-US" w:eastAsia="zh-CN"/>
        </w:rPr>
        <w:t>1.响应文件的提交</w:t>
      </w:r>
    </w:p>
    <w:p w14:paraId="127F43F9">
      <w:pPr>
        <w:spacing w:line="480" w:lineRule="exact"/>
        <w:ind w:firstLine="480" w:firstLineChars="200"/>
        <w:rPr>
          <w:rFonts w:hint="eastAsia" w:ascii="宋体" w:hAnsi="宋体" w:eastAsia="宋体" w:cs="宋体"/>
          <w:snapToGrid w:val="0"/>
          <w:kern w:val="2"/>
          <w:sz w:val="24"/>
          <w:szCs w:val="24"/>
        </w:rPr>
      </w:pPr>
      <w:r>
        <w:rPr>
          <w:rFonts w:hint="eastAsia" w:cs="宋体"/>
          <w:b w:val="0"/>
          <w:bCs/>
          <w:sz w:val="24"/>
          <w:szCs w:val="24"/>
          <w:lang w:val="en-US" w:eastAsia="zh-CN"/>
        </w:rPr>
        <w:t>（1）</w:t>
      </w:r>
      <w:r>
        <w:rPr>
          <w:rFonts w:hint="eastAsia" w:ascii="宋体" w:hAnsi="宋体" w:eastAsia="宋体" w:cs="宋体"/>
          <w:b w:val="0"/>
          <w:bCs/>
          <w:sz w:val="24"/>
          <w:szCs w:val="24"/>
          <w:lang w:eastAsia="zh-CN"/>
        </w:rPr>
        <w:t>参考“</w:t>
      </w:r>
      <w:r>
        <w:rPr>
          <w:rFonts w:hint="eastAsia" w:ascii="宋体" w:hAnsi="宋体" w:eastAsia="宋体" w:cs="宋体"/>
          <w:b w:val="0"/>
          <w:bCs/>
          <w:sz w:val="24"/>
          <w:szCs w:val="24"/>
          <w:lang w:eastAsia="zh-CN"/>
        </w:rPr>
        <w:fldChar w:fldCharType="begin"/>
      </w:r>
      <w:r>
        <w:rPr>
          <w:rFonts w:hint="eastAsia" w:ascii="宋体" w:hAnsi="宋体" w:eastAsia="宋体" w:cs="宋体"/>
          <w:b w:val="0"/>
          <w:bCs/>
          <w:sz w:val="24"/>
          <w:szCs w:val="24"/>
          <w:lang w:eastAsia="zh-CN"/>
        </w:rPr>
        <w:instrText xml:space="preserve"> HYPERLINK "http://ggzy.baoji.gov.cn/fwzn/004003/20231123/d2048104-5dd1-4825-97f0-186cb8450ee5.html" \o "政府采购电子交易-不见面系统操作手册" \t "http://ggzy.baoji.gov.cn/fwzn/_blank" </w:instrText>
      </w:r>
      <w:r>
        <w:rPr>
          <w:rFonts w:hint="eastAsia" w:ascii="宋体" w:hAnsi="宋体" w:eastAsia="宋体" w:cs="宋体"/>
          <w:b w:val="0"/>
          <w:bCs/>
          <w:sz w:val="24"/>
          <w:szCs w:val="24"/>
          <w:lang w:eastAsia="zh-CN"/>
        </w:rPr>
        <w:fldChar w:fldCharType="separate"/>
      </w:r>
      <w:r>
        <w:rPr>
          <w:rFonts w:hint="eastAsia" w:ascii="宋体" w:hAnsi="宋体" w:eastAsia="宋体" w:cs="宋体"/>
          <w:b w:val="0"/>
          <w:bCs/>
          <w:sz w:val="24"/>
          <w:szCs w:val="24"/>
          <w:lang w:eastAsia="zh-CN"/>
        </w:rPr>
        <w:t>政府采购电子交易-不见面系统操作手册</w:t>
      </w:r>
      <w:r>
        <w:rPr>
          <w:rFonts w:hint="eastAsia" w:ascii="宋体" w:hAnsi="宋体" w:eastAsia="宋体" w:cs="宋体"/>
          <w:b w:val="0"/>
          <w:bCs/>
          <w:sz w:val="24"/>
          <w:szCs w:val="24"/>
          <w:lang w:eastAsia="zh-CN"/>
        </w:rPr>
        <w:fldChar w:fldCharType="end"/>
      </w:r>
      <w:r>
        <w:rPr>
          <w:rFonts w:hint="eastAsia" w:ascii="宋体" w:hAnsi="宋体" w:eastAsia="宋体" w:cs="宋体"/>
          <w:b w:val="0"/>
          <w:bCs/>
          <w:sz w:val="24"/>
          <w:szCs w:val="24"/>
          <w:lang w:val="en-US" w:eastAsia="zh-CN"/>
        </w:rPr>
        <w:t>-投标人</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电子</w:t>
      </w:r>
      <w:r>
        <w:rPr>
          <w:rFonts w:hint="eastAsia" w:ascii="宋体" w:hAnsi="宋体" w:eastAsia="宋体" w:cs="宋体"/>
          <w:b w:val="0"/>
          <w:bCs/>
          <w:sz w:val="24"/>
          <w:szCs w:val="24"/>
          <w:lang w:eastAsia="zh-CN"/>
        </w:rPr>
        <w:t>响应文件</w:t>
      </w:r>
      <w:r>
        <w:rPr>
          <w:rFonts w:hint="eastAsia" w:ascii="宋体" w:hAnsi="宋体" w:eastAsia="宋体" w:cs="宋体"/>
          <w:b w:val="0"/>
          <w:bCs/>
          <w:sz w:val="24"/>
          <w:szCs w:val="24"/>
        </w:rPr>
        <w:t>可于提交</w:t>
      </w:r>
      <w:r>
        <w:rPr>
          <w:rFonts w:hint="eastAsia" w:ascii="宋体" w:hAnsi="宋体" w:eastAsia="宋体" w:cs="宋体"/>
          <w:b w:val="0"/>
          <w:bCs/>
          <w:sz w:val="24"/>
          <w:szCs w:val="24"/>
          <w:lang w:eastAsia="zh-CN"/>
        </w:rPr>
        <w:t>响应文件</w:t>
      </w:r>
      <w:r>
        <w:rPr>
          <w:rFonts w:hint="eastAsia" w:ascii="宋体" w:hAnsi="宋体" w:eastAsia="宋体" w:cs="宋体"/>
          <w:b w:val="0"/>
          <w:bCs/>
          <w:sz w:val="24"/>
          <w:szCs w:val="24"/>
        </w:rPr>
        <w:t>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w:t>
      </w:r>
      <w:r>
        <w:rPr>
          <w:rFonts w:hint="eastAsia" w:ascii="宋体" w:hAnsi="宋体" w:eastAsia="宋体" w:cs="宋体"/>
          <w:b w:val="0"/>
          <w:bCs/>
          <w:sz w:val="24"/>
          <w:szCs w:val="24"/>
          <w:lang w:eastAsia="zh-CN"/>
        </w:rPr>
        <w:t>响应文</w:t>
      </w:r>
      <w:r>
        <w:rPr>
          <w:rFonts w:hint="eastAsia" w:ascii="宋体" w:hAnsi="宋体" w:eastAsia="宋体" w:cs="宋体"/>
          <w:snapToGrid w:val="0"/>
          <w:kern w:val="2"/>
          <w:sz w:val="24"/>
          <w:szCs w:val="24"/>
          <w:lang w:eastAsia="zh-CN"/>
        </w:rPr>
        <w:t>件</w:t>
      </w:r>
      <w:r>
        <w:rPr>
          <w:rFonts w:hint="eastAsia" w:ascii="宋体" w:hAnsi="宋体" w:eastAsia="宋体" w:cs="宋体"/>
          <w:snapToGrid w:val="0"/>
          <w:kern w:val="2"/>
          <w:sz w:val="24"/>
          <w:szCs w:val="24"/>
        </w:rPr>
        <w:t>（*.SXSTF），上传成功后，电子化平台将予以记录。</w:t>
      </w:r>
    </w:p>
    <w:p w14:paraId="2F363F4B">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（2）</w:t>
      </w:r>
      <w:r>
        <w:rPr>
          <w:rFonts w:hint="eastAsia" w:ascii="宋体" w:hAnsi="宋体" w:eastAsia="宋体" w:cs="宋体"/>
          <w:snapToGrid w:val="0"/>
          <w:kern w:val="2"/>
          <w:sz w:val="24"/>
          <w:szCs w:val="24"/>
        </w:rPr>
        <w:t>因供应商自身问题，电脑遭遇网络堵塞、病毒入侵、硬件故障或者数字证书遗失、遗忘等原因导致不能正常参与电子交易活动的，后果由投标人承担。</w:t>
      </w:r>
    </w:p>
    <w:p w14:paraId="5619EA72">
      <w:pPr>
        <w:spacing w:line="480" w:lineRule="exact"/>
        <w:ind w:firstLine="480" w:firstLineChars="200"/>
        <w:rPr>
          <w:rFonts w:hint="eastAsia" w:ascii="宋体" w:hAnsi="宋体" w:eastAsia="宋体" w:cs="宋体"/>
          <w:snapToGrid w:val="0"/>
          <w:kern w:val="2"/>
          <w:sz w:val="24"/>
          <w:szCs w:val="24"/>
          <w:lang w:val="en-US" w:eastAsia="zh-CN"/>
        </w:rPr>
      </w:pPr>
      <w:r>
        <w:rPr>
          <w:rFonts w:hint="eastAsia" w:ascii="宋体" w:hAnsi="宋体" w:eastAsia="宋体" w:cs="宋体"/>
          <w:snapToGrid w:val="0"/>
          <w:kern w:val="2"/>
          <w:sz w:val="24"/>
          <w:szCs w:val="24"/>
          <w:lang w:val="en-US" w:eastAsia="zh-CN"/>
        </w:rPr>
        <w:t>2．磋商截止日期</w:t>
      </w:r>
    </w:p>
    <w:p w14:paraId="4FF06515">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（1）</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应在不迟于磋商文件中规定的磋商截止时间将响应文件</w:t>
      </w:r>
      <w:r>
        <w:rPr>
          <w:rFonts w:hint="eastAsia" w:ascii="宋体" w:hAnsi="宋体" w:eastAsia="宋体" w:cs="宋体"/>
          <w:snapToGrid w:val="0"/>
          <w:kern w:val="2"/>
          <w:sz w:val="24"/>
          <w:szCs w:val="24"/>
          <w:lang w:val="en-US" w:eastAsia="zh-CN"/>
        </w:rPr>
        <w:t>上传至电子化平台</w:t>
      </w:r>
      <w:r>
        <w:rPr>
          <w:rFonts w:hint="eastAsia" w:ascii="宋体" w:hAnsi="宋体" w:eastAsia="宋体" w:cs="宋体"/>
          <w:snapToGrid w:val="0"/>
          <w:kern w:val="2"/>
          <w:sz w:val="24"/>
          <w:szCs w:val="24"/>
        </w:rPr>
        <w:t>。</w:t>
      </w:r>
    </w:p>
    <w:p w14:paraId="11DD3E7C">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（2）</w:t>
      </w:r>
      <w:r>
        <w:rPr>
          <w:rFonts w:hint="eastAsia" w:ascii="宋体" w:hAnsi="宋体" w:eastAsia="宋体" w:cs="宋体"/>
          <w:snapToGrid w:val="0"/>
          <w:kern w:val="2"/>
          <w:sz w:val="24"/>
          <w:szCs w:val="24"/>
        </w:rPr>
        <w:t>采购代理机构可以按本须知</w:t>
      </w:r>
      <w:r>
        <w:rPr>
          <w:rFonts w:hint="eastAsia" w:ascii="宋体" w:hAnsi="宋体" w:eastAsia="宋体" w:cs="宋体"/>
          <w:snapToGrid w:val="0"/>
          <w:kern w:val="2"/>
          <w:sz w:val="24"/>
          <w:szCs w:val="24"/>
          <w:lang w:eastAsia="zh-CN"/>
        </w:rPr>
        <w:t>相关</w:t>
      </w:r>
      <w:r>
        <w:rPr>
          <w:rFonts w:hint="eastAsia" w:ascii="宋体" w:hAnsi="宋体" w:eastAsia="宋体" w:cs="宋体"/>
          <w:snapToGrid w:val="0"/>
          <w:kern w:val="2"/>
          <w:sz w:val="24"/>
          <w:szCs w:val="24"/>
        </w:rPr>
        <w:t>规定，通知因修改磋商文件而适当延长磋商截止期。在此情况下，</w:t>
      </w:r>
      <w:r>
        <w:rPr>
          <w:rFonts w:hint="eastAsia" w:ascii="宋体" w:hAnsi="宋体" w:eastAsia="宋体" w:cs="宋体"/>
          <w:snapToGrid w:val="0"/>
          <w:kern w:val="2"/>
          <w:sz w:val="24"/>
          <w:szCs w:val="24"/>
          <w:lang w:eastAsia="zh-CN"/>
        </w:rPr>
        <w:t>采购单位</w:t>
      </w:r>
      <w:r>
        <w:rPr>
          <w:rFonts w:hint="eastAsia" w:ascii="宋体" w:hAnsi="宋体" w:eastAsia="宋体" w:cs="宋体"/>
          <w:snapToGrid w:val="0"/>
          <w:kern w:val="2"/>
          <w:sz w:val="24"/>
          <w:szCs w:val="24"/>
        </w:rPr>
        <w:t>和</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受磋商截止期制约的所有权利和义务均应延长至新的截止期。</w:t>
      </w:r>
    </w:p>
    <w:p w14:paraId="29923094">
      <w:pPr>
        <w:spacing w:line="480" w:lineRule="exact"/>
        <w:ind w:firstLine="480" w:firstLineChars="200"/>
        <w:rPr>
          <w:rFonts w:hint="eastAsia" w:ascii="宋体" w:hAnsi="宋体" w:eastAsia="宋体" w:cs="宋体"/>
          <w:snapToGrid w:val="0"/>
          <w:kern w:val="2"/>
          <w:sz w:val="24"/>
          <w:szCs w:val="24"/>
          <w:lang w:val="en-US" w:eastAsia="zh-CN"/>
        </w:rPr>
      </w:pPr>
      <w:r>
        <w:rPr>
          <w:rFonts w:hint="eastAsia" w:ascii="宋体" w:hAnsi="宋体" w:eastAsia="宋体" w:cs="宋体"/>
          <w:snapToGrid w:val="0"/>
          <w:kern w:val="2"/>
          <w:sz w:val="24"/>
          <w:szCs w:val="24"/>
          <w:lang w:val="en-US" w:eastAsia="zh-CN"/>
        </w:rPr>
        <w:t>3．迟交的磋商响应文件</w:t>
      </w:r>
    </w:p>
    <w:p w14:paraId="353D51BD">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（1）</w:t>
      </w:r>
      <w:r>
        <w:rPr>
          <w:rFonts w:hint="eastAsia" w:ascii="宋体" w:hAnsi="宋体" w:eastAsia="宋体" w:cs="宋体"/>
          <w:snapToGrid w:val="0"/>
          <w:kern w:val="2"/>
          <w:sz w:val="24"/>
          <w:szCs w:val="24"/>
        </w:rPr>
        <w:t>采购人、采购代理机构及磋商小组将拒绝接收磋商截止期后</w:t>
      </w:r>
      <w:r>
        <w:rPr>
          <w:rFonts w:hint="eastAsia" w:ascii="宋体" w:hAnsi="宋体" w:eastAsia="宋体" w:cs="宋体"/>
          <w:snapToGrid w:val="0"/>
          <w:kern w:val="2"/>
          <w:sz w:val="24"/>
          <w:szCs w:val="24"/>
          <w:lang w:val="en-US" w:eastAsia="zh-CN"/>
        </w:rPr>
        <w:t>任何方式递交</w:t>
      </w:r>
      <w:r>
        <w:rPr>
          <w:rFonts w:hint="eastAsia" w:ascii="宋体" w:hAnsi="宋体" w:eastAsia="宋体" w:cs="宋体"/>
          <w:snapToGrid w:val="0"/>
          <w:kern w:val="2"/>
          <w:sz w:val="24"/>
          <w:szCs w:val="24"/>
        </w:rPr>
        <w:t>的任何磋商响应文件。</w:t>
      </w:r>
    </w:p>
    <w:p w14:paraId="2EF0003A">
      <w:pPr>
        <w:spacing w:line="480" w:lineRule="exact"/>
        <w:ind w:firstLine="480" w:firstLineChars="200"/>
        <w:rPr>
          <w:rFonts w:hint="eastAsia" w:ascii="宋体" w:hAnsi="宋体" w:eastAsia="宋体" w:cs="宋体"/>
          <w:snapToGrid w:val="0"/>
          <w:kern w:val="2"/>
          <w:sz w:val="24"/>
          <w:szCs w:val="24"/>
          <w:lang w:val="en-US" w:eastAsia="zh-CN"/>
        </w:rPr>
      </w:pPr>
      <w:r>
        <w:rPr>
          <w:rFonts w:hint="eastAsia" w:ascii="宋体" w:hAnsi="宋体" w:eastAsia="宋体" w:cs="宋体"/>
          <w:snapToGrid w:val="0"/>
          <w:kern w:val="2"/>
          <w:sz w:val="24"/>
          <w:szCs w:val="24"/>
          <w:lang w:val="en-US" w:eastAsia="zh-CN"/>
        </w:rPr>
        <w:t>4.磋商响应文件的修改和撤回</w:t>
      </w:r>
    </w:p>
    <w:p w14:paraId="3BC8F5BC">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（1）</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在递交磋商响应文件后，磋商截止时间前，可以修改或撤回其磋商响应文件。但</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必须在规定的磋商截止期之前将修改或撤回的书面通知递交到采购代理机构。</w:t>
      </w:r>
    </w:p>
    <w:p w14:paraId="364DC366">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（2）</w:t>
      </w:r>
      <w:r>
        <w:rPr>
          <w:rFonts w:hint="eastAsia" w:ascii="宋体" w:hAnsi="宋体" w:eastAsia="宋体" w:cs="宋体"/>
          <w:snapToGrid w:val="0"/>
          <w:kern w:val="2"/>
          <w:sz w:val="24"/>
          <w:szCs w:val="24"/>
        </w:rPr>
        <w:t>在磋商截止日期之后，</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不得对其磋商响应文件做任何修改。</w:t>
      </w:r>
    </w:p>
    <w:p w14:paraId="3EBB22AC">
      <w:pPr>
        <w:spacing w:line="480" w:lineRule="exact"/>
        <w:ind w:firstLine="480" w:firstLineChars="200"/>
        <w:rPr>
          <w:rFonts w:hint="eastAsia" w:ascii="宋体" w:hAnsi="宋体" w:eastAsia="宋体" w:cs="宋体"/>
          <w:snapToGrid w:val="0"/>
          <w:kern w:val="2"/>
          <w:sz w:val="24"/>
          <w:szCs w:val="24"/>
          <w:lang w:val="en-US" w:eastAsia="zh-CN"/>
        </w:rPr>
      </w:pPr>
      <w:r>
        <w:rPr>
          <w:rFonts w:hint="eastAsia" w:ascii="宋体" w:hAnsi="宋体" w:eastAsia="宋体" w:cs="宋体"/>
          <w:snapToGrid w:val="0"/>
          <w:kern w:val="2"/>
          <w:sz w:val="24"/>
          <w:szCs w:val="24"/>
          <w:lang w:val="en-US" w:eastAsia="zh-CN"/>
        </w:rPr>
        <w:t>（3）</w:t>
      </w:r>
      <w:r>
        <w:rPr>
          <w:rFonts w:hint="eastAsia" w:ascii="宋体" w:hAnsi="宋体" w:eastAsia="宋体" w:cs="宋体"/>
          <w:snapToGrid w:val="0"/>
          <w:kern w:val="2"/>
          <w:sz w:val="24"/>
          <w:szCs w:val="24"/>
        </w:rPr>
        <w:t>从磋商截止期始至磋商文件确定的磋商响应文件有效期期满这段时间内，</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不得撤回其磋商响应文件，否则其磋商保证金将不予退还。</w:t>
      </w:r>
    </w:p>
    <w:p w14:paraId="1AAA42CC">
      <w:pPr>
        <w:pStyle w:val="4"/>
        <w:bidi w:val="0"/>
        <w:rPr>
          <w:rFonts w:hint="eastAsia" w:ascii="宋体" w:hAnsi="宋体" w:eastAsia="宋体" w:cs="宋体"/>
          <w:lang w:val="zh-CN" w:eastAsia="zh-CN"/>
        </w:rPr>
      </w:pPr>
      <w:r>
        <w:rPr>
          <w:rFonts w:hint="eastAsia" w:ascii="宋体" w:hAnsi="宋体" w:eastAsia="宋体" w:cs="宋体"/>
          <w:lang w:val="zh-CN" w:eastAsia="zh-CN"/>
        </w:rPr>
        <w:t>八、磋商响应</w:t>
      </w:r>
    </w:p>
    <w:p w14:paraId="0C9AB68B">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（一）磋商响应内容</w:t>
      </w:r>
    </w:p>
    <w:p w14:paraId="3DD9183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供应商须以</w:t>
      </w:r>
      <w:r>
        <w:rPr>
          <w:rFonts w:hint="eastAsia" w:cs="宋体"/>
          <w:b w:val="0"/>
          <w:bCs/>
          <w:color w:val="auto"/>
          <w:kern w:val="2"/>
          <w:sz w:val="24"/>
          <w:szCs w:val="24"/>
          <w:highlight w:val="none"/>
          <w:lang w:val="en-US" w:eastAsia="zh-CN" w:bidi="ar-SA"/>
        </w:rPr>
        <w:t>项目</w:t>
      </w:r>
      <w:r>
        <w:rPr>
          <w:rFonts w:hint="eastAsia" w:ascii="宋体" w:hAnsi="宋体" w:eastAsia="宋体" w:cs="宋体"/>
          <w:b w:val="0"/>
          <w:bCs/>
          <w:color w:val="auto"/>
          <w:kern w:val="2"/>
          <w:sz w:val="24"/>
          <w:szCs w:val="24"/>
          <w:highlight w:val="none"/>
          <w:lang w:val="zh-CN" w:eastAsia="zh-CN" w:bidi="ar-SA"/>
        </w:rPr>
        <w:t>为单位响应，不得将其子目再行分解或只响应其中的一部分内容，否则响应无效。在对磋商文件的全部内容及要求做出实质性响应的基础上，供应商可以提出比磋商文件更有利于采购人的承诺。</w:t>
      </w:r>
    </w:p>
    <w:p w14:paraId="74E26EC4">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（二）磋商有效期</w:t>
      </w:r>
    </w:p>
    <w:p w14:paraId="1C98B0E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1.磋商有效期：见供应商须知前附表。</w:t>
      </w:r>
    </w:p>
    <w:p w14:paraId="017DF68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特殊情况需延长磋商有效期的，采购人可于磋商有效期届满之前要求供应商同意延长有效期，采购人的要求与供应商的答复均应为书面形式。供应商拒绝延长的，其磋商在原磋商有效期届满后将不再有效且有权收回其磋商保证金；供应商同意延长的，相应延长其磋商保证金的有效期，但不允许修改或撤回磋商响应文件。</w:t>
      </w:r>
    </w:p>
    <w:p w14:paraId="4014465C">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（三）</w:t>
      </w:r>
      <w:r>
        <w:rPr>
          <w:rFonts w:hint="eastAsia" w:ascii="宋体" w:hAnsi="宋体" w:eastAsia="宋体" w:cs="宋体"/>
          <w:b/>
          <w:sz w:val="24"/>
          <w:szCs w:val="24"/>
          <w:lang w:val="en-US" w:eastAsia="zh-CN"/>
        </w:rPr>
        <w:t>磋商响应文件开启和评审</w:t>
      </w:r>
    </w:p>
    <w:p w14:paraId="5A977073">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1.</w:t>
      </w:r>
      <w:r>
        <w:rPr>
          <w:rFonts w:hint="eastAsia" w:ascii="宋体" w:hAnsi="宋体" w:eastAsia="宋体" w:cs="宋体"/>
          <w:snapToGrid w:val="0"/>
          <w:kern w:val="2"/>
          <w:sz w:val="24"/>
          <w:szCs w:val="24"/>
        </w:rPr>
        <w:t>采购代理机构组织磋商</w:t>
      </w:r>
      <w:r>
        <w:rPr>
          <w:rFonts w:hint="eastAsia" w:ascii="宋体" w:hAnsi="宋体" w:eastAsia="宋体" w:cs="宋体"/>
          <w:snapToGrid w:val="0"/>
          <w:kern w:val="2"/>
          <w:sz w:val="24"/>
          <w:szCs w:val="24"/>
          <w:lang w:eastAsia="zh-CN"/>
        </w:rPr>
        <w:t>：开标纪律</w:t>
      </w:r>
      <w:r>
        <w:rPr>
          <w:rFonts w:hint="eastAsia" w:ascii="宋体" w:hAnsi="宋体" w:eastAsia="宋体" w:cs="宋体"/>
          <w:snapToGrid w:val="0"/>
          <w:kern w:val="2"/>
          <w:sz w:val="24"/>
          <w:szCs w:val="24"/>
        </w:rPr>
        <w:t>、</w:t>
      </w:r>
      <w:r>
        <w:rPr>
          <w:rFonts w:hint="eastAsia" w:ascii="宋体" w:hAnsi="宋体" w:eastAsia="宋体" w:cs="宋体"/>
          <w:snapToGrid w:val="0"/>
          <w:kern w:val="2"/>
          <w:sz w:val="24"/>
          <w:szCs w:val="24"/>
          <w:lang w:eastAsia="zh-CN"/>
        </w:rPr>
        <w:t>公布投标人名单、响应文件解密、批量导入、唱标、异议回复、开标结束。进入到</w:t>
      </w:r>
      <w:r>
        <w:rPr>
          <w:rFonts w:hint="eastAsia" w:ascii="宋体" w:hAnsi="宋体" w:eastAsia="宋体" w:cs="宋体"/>
          <w:snapToGrid w:val="0"/>
          <w:kern w:val="2"/>
          <w:sz w:val="24"/>
          <w:szCs w:val="24"/>
        </w:rPr>
        <w:t>评审工作，磋商整个过程接受监督部门的监督。</w:t>
      </w:r>
    </w:p>
    <w:p w14:paraId="650F1B18">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2.</w:t>
      </w:r>
      <w:r>
        <w:rPr>
          <w:rFonts w:hint="eastAsia" w:ascii="宋体" w:hAnsi="宋体" w:eastAsia="宋体" w:cs="宋体"/>
          <w:snapToGrid w:val="0"/>
          <w:kern w:val="2"/>
          <w:sz w:val="24"/>
          <w:szCs w:val="24"/>
        </w:rPr>
        <w:t>采购代理机构在规定的时间和地点组织磋商，</w:t>
      </w:r>
      <w:r>
        <w:rPr>
          <w:rFonts w:hint="eastAsia" w:ascii="宋体" w:hAnsi="宋体" w:eastAsia="宋体" w:cs="宋体"/>
          <w:snapToGrid w:val="0"/>
          <w:kern w:val="2"/>
          <w:sz w:val="24"/>
          <w:szCs w:val="24"/>
          <w:lang w:eastAsia="zh-CN"/>
        </w:rPr>
        <w:t>磋商</w:t>
      </w:r>
      <w:r>
        <w:rPr>
          <w:rFonts w:hint="eastAsia" w:ascii="宋体" w:hAnsi="宋体" w:eastAsia="宋体" w:cs="宋体"/>
          <w:snapToGrid w:val="0"/>
          <w:kern w:val="2"/>
          <w:sz w:val="24"/>
          <w:szCs w:val="24"/>
        </w:rPr>
        <w:t>时，供应商须</w:t>
      </w:r>
      <w:r>
        <w:rPr>
          <w:rFonts w:hint="eastAsia" w:ascii="宋体" w:hAnsi="宋体" w:eastAsia="宋体" w:cs="宋体"/>
          <w:snapToGrid w:val="0"/>
          <w:kern w:val="2"/>
          <w:sz w:val="24"/>
          <w:szCs w:val="24"/>
          <w:lang w:eastAsia="zh-CN"/>
        </w:rPr>
        <w:t>提前进入不见面开标大厅、等待开标并签到、查看供应商名单、标书解密、批量导入、唱标、等待二次报价（不可退出系统，后果自行承担）</w:t>
      </w:r>
      <w:r>
        <w:rPr>
          <w:rFonts w:hint="eastAsia" w:ascii="宋体" w:hAnsi="宋体" w:eastAsia="宋体" w:cs="宋体"/>
          <w:snapToGrid w:val="0"/>
          <w:kern w:val="2"/>
          <w:sz w:val="24"/>
          <w:szCs w:val="24"/>
        </w:rPr>
        <w:t>。</w:t>
      </w:r>
    </w:p>
    <w:p w14:paraId="7F2D67A9">
      <w:pPr>
        <w:spacing w:line="480" w:lineRule="exact"/>
        <w:ind w:firstLine="480" w:firstLineChars="200"/>
        <w:rPr>
          <w:rFonts w:hint="eastAsia" w:ascii="宋体" w:hAnsi="宋体" w:eastAsia="宋体" w:cs="宋体"/>
          <w:snapToGrid w:val="0"/>
          <w:kern w:val="2"/>
          <w:sz w:val="24"/>
          <w:szCs w:val="24"/>
          <w:lang w:val="en-US" w:eastAsia="zh-CN"/>
        </w:rPr>
      </w:pPr>
      <w:r>
        <w:rPr>
          <w:rFonts w:hint="eastAsia" w:ascii="宋体" w:hAnsi="宋体" w:eastAsia="宋体" w:cs="宋体"/>
          <w:snapToGrid w:val="0"/>
          <w:kern w:val="2"/>
          <w:sz w:val="24"/>
          <w:szCs w:val="24"/>
          <w:lang w:val="en-US" w:eastAsia="zh-CN"/>
        </w:rPr>
        <w:t>3.文字异议：</w:t>
      </w:r>
      <w:r>
        <w:rPr>
          <w:rFonts w:hint="eastAsia" w:ascii="宋体" w:hAnsi="宋体" w:eastAsia="宋体" w:cs="宋体"/>
          <w:color w:val="auto"/>
          <w:spacing w:val="0"/>
          <w:w w:val="100"/>
          <w:position w:val="0"/>
          <w:sz w:val="24"/>
          <w:szCs w:val="24"/>
          <w:lang w:eastAsia="zh-CN"/>
        </w:rPr>
        <w:t>供应商磋商</w:t>
      </w:r>
      <w:r>
        <w:rPr>
          <w:rFonts w:hint="eastAsia" w:ascii="宋体" w:hAnsi="宋体" w:eastAsia="宋体" w:cs="宋体"/>
          <w:snapToGrid w:val="0"/>
          <w:kern w:val="2"/>
          <w:sz w:val="24"/>
          <w:szCs w:val="24"/>
          <w:lang w:val="en-US" w:eastAsia="zh-CN"/>
        </w:rPr>
        <w:t>开始之后到磋商结束之前，可以通过文字提问给主持人提问。</w:t>
      </w:r>
    </w:p>
    <w:p w14:paraId="649878DF">
      <w:pPr>
        <w:spacing w:line="480" w:lineRule="exact"/>
        <w:ind w:firstLine="480" w:firstLineChars="200"/>
        <w:rPr>
          <w:rFonts w:hint="eastAsia" w:ascii="宋体" w:hAnsi="宋体" w:eastAsia="宋体" w:cs="宋体"/>
          <w:snapToGrid w:val="0"/>
          <w:kern w:val="2"/>
          <w:sz w:val="24"/>
          <w:szCs w:val="24"/>
          <w:lang w:val="en-US" w:eastAsia="zh-CN"/>
        </w:rPr>
      </w:pPr>
      <w:r>
        <w:rPr>
          <w:rFonts w:hint="eastAsia" w:ascii="宋体" w:hAnsi="宋体" w:eastAsia="宋体" w:cs="宋体"/>
          <w:snapToGrid w:val="0"/>
          <w:kern w:val="2"/>
          <w:sz w:val="24"/>
          <w:szCs w:val="24"/>
          <w:lang w:val="en-US" w:eastAsia="zh-CN"/>
        </w:rPr>
        <w:t>4.不见面询标：</w:t>
      </w:r>
      <w:r>
        <w:rPr>
          <w:rFonts w:hint="eastAsia" w:ascii="宋体" w:hAnsi="宋体" w:eastAsia="宋体" w:cs="宋体"/>
          <w:color w:val="auto"/>
          <w:spacing w:val="0"/>
          <w:w w:val="100"/>
          <w:position w:val="0"/>
          <w:sz w:val="24"/>
          <w:szCs w:val="24"/>
          <w:lang w:eastAsia="zh-CN"/>
        </w:rPr>
        <w:t>供应商</w:t>
      </w:r>
      <w:r>
        <w:rPr>
          <w:rFonts w:hint="eastAsia" w:ascii="宋体" w:hAnsi="宋体" w:eastAsia="宋体" w:cs="宋体"/>
          <w:snapToGrid w:val="0"/>
          <w:kern w:val="2"/>
          <w:sz w:val="24"/>
          <w:szCs w:val="24"/>
          <w:lang w:val="en-US" w:eastAsia="zh-CN"/>
        </w:rPr>
        <w:t>在收到评委的质询处理后进入询标。</w:t>
      </w:r>
    </w:p>
    <w:p w14:paraId="54A31D18">
      <w:pPr>
        <w:spacing w:line="480" w:lineRule="exact"/>
        <w:ind w:firstLine="480" w:firstLineChars="200"/>
        <w:rPr>
          <w:rFonts w:hint="eastAsia" w:ascii="宋体" w:hAnsi="宋体" w:eastAsia="宋体" w:cs="宋体"/>
          <w:snapToGrid w:val="0"/>
          <w:kern w:val="2"/>
          <w:sz w:val="24"/>
          <w:szCs w:val="24"/>
          <w:lang w:val="en-US" w:eastAsia="zh-CN"/>
        </w:rPr>
      </w:pPr>
      <w:r>
        <w:rPr>
          <w:rFonts w:hint="eastAsia" w:ascii="宋体" w:hAnsi="宋体" w:eastAsia="宋体" w:cs="宋体"/>
          <w:snapToGrid w:val="0"/>
          <w:kern w:val="2"/>
          <w:sz w:val="24"/>
          <w:szCs w:val="24"/>
          <w:lang w:val="en-US" w:eastAsia="zh-CN"/>
        </w:rPr>
        <w:t>5.多轮报价：</w:t>
      </w:r>
      <w:r>
        <w:rPr>
          <w:rFonts w:hint="eastAsia" w:ascii="宋体" w:hAnsi="宋体" w:eastAsia="宋体" w:cs="宋体"/>
          <w:color w:val="auto"/>
          <w:spacing w:val="0"/>
          <w:w w:val="100"/>
          <w:position w:val="0"/>
          <w:sz w:val="24"/>
          <w:szCs w:val="24"/>
          <w:lang w:eastAsia="zh-CN"/>
        </w:rPr>
        <w:t>供应商</w:t>
      </w:r>
      <w:r>
        <w:rPr>
          <w:rFonts w:hint="eastAsia" w:ascii="宋体" w:hAnsi="宋体" w:eastAsia="宋体" w:cs="宋体"/>
          <w:snapToGrid w:val="0"/>
          <w:kern w:val="2"/>
          <w:sz w:val="24"/>
          <w:szCs w:val="24"/>
          <w:lang w:val="en-US" w:eastAsia="zh-CN"/>
        </w:rPr>
        <w:t>在收到评审小组发起的多轮报价后进入报价页面进行二次报价，输入报价后签章提交。</w:t>
      </w:r>
    </w:p>
    <w:p w14:paraId="73CA5692">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6.</w:t>
      </w:r>
      <w:r>
        <w:rPr>
          <w:rFonts w:hint="eastAsia" w:ascii="宋体" w:hAnsi="宋体" w:eastAsia="宋体" w:cs="宋体"/>
          <w:snapToGrid w:val="0"/>
          <w:kern w:val="2"/>
          <w:sz w:val="24"/>
          <w:szCs w:val="24"/>
        </w:rPr>
        <w:t>采购代理机构将在开标会议现场做开标记录。</w:t>
      </w:r>
    </w:p>
    <w:p w14:paraId="340B3172">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7.</w:t>
      </w:r>
      <w:r>
        <w:rPr>
          <w:rFonts w:hint="eastAsia" w:ascii="宋体" w:hAnsi="宋体" w:eastAsia="宋体" w:cs="宋体"/>
          <w:snapToGrid w:val="0"/>
          <w:kern w:val="2"/>
          <w:sz w:val="24"/>
          <w:szCs w:val="24"/>
        </w:rPr>
        <w:t>在</w:t>
      </w:r>
      <w:r>
        <w:rPr>
          <w:rFonts w:hint="eastAsia" w:ascii="宋体" w:hAnsi="宋体" w:eastAsia="宋体" w:cs="宋体"/>
          <w:snapToGrid w:val="0"/>
          <w:kern w:val="2"/>
          <w:sz w:val="24"/>
          <w:szCs w:val="24"/>
          <w:lang w:eastAsia="zh-CN"/>
        </w:rPr>
        <w:t>磋商</w:t>
      </w:r>
      <w:r>
        <w:rPr>
          <w:rFonts w:hint="eastAsia" w:ascii="宋体" w:hAnsi="宋体" w:eastAsia="宋体" w:cs="宋体"/>
          <w:snapToGrid w:val="0"/>
          <w:kern w:val="2"/>
          <w:sz w:val="24"/>
          <w:szCs w:val="24"/>
        </w:rPr>
        <w:t>环节出现下列情况之一的，其电子</w:t>
      </w:r>
      <w:r>
        <w:rPr>
          <w:rFonts w:hint="eastAsia" w:ascii="宋体" w:hAnsi="宋体" w:eastAsia="宋体" w:cs="宋体"/>
          <w:snapToGrid w:val="0"/>
          <w:kern w:val="2"/>
          <w:sz w:val="24"/>
          <w:szCs w:val="24"/>
          <w:lang w:eastAsia="zh-CN"/>
        </w:rPr>
        <w:t>响应文件</w:t>
      </w:r>
      <w:r>
        <w:rPr>
          <w:rFonts w:hint="eastAsia" w:ascii="宋体" w:hAnsi="宋体" w:eastAsia="宋体" w:cs="宋体"/>
          <w:snapToGrid w:val="0"/>
          <w:kern w:val="2"/>
          <w:sz w:val="24"/>
          <w:szCs w:val="24"/>
        </w:rPr>
        <w:t>视为无效文件：</w:t>
      </w:r>
    </w:p>
    <w:p w14:paraId="6525CF62">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rPr>
        <w:t>（1）供应商拒绝对电子</w:t>
      </w:r>
      <w:r>
        <w:rPr>
          <w:rFonts w:hint="eastAsia" w:ascii="宋体" w:hAnsi="宋体" w:eastAsia="宋体" w:cs="宋体"/>
          <w:snapToGrid w:val="0"/>
          <w:kern w:val="2"/>
          <w:sz w:val="24"/>
          <w:szCs w:val="24"/>
          <w:lang w:eastAsia="zh-CN"/>
        </w:rPr>
        <w:t>响应文件</w:t>
      </w:r>
      <w:r>
        <w:rPr>
          <w:rFonts w:hint="eastAsia" w:ascii="宋体" w:hAnsi="宋体" w:eastAsia="宋体" w:cs="宋体"/>
          <w:snapToGrid w:val="0"/>
          <w:kern w:val="2"/>
          <w:sz w:val="24"/>
          <w:szCs w:val="24"/>
        </w:rPr>
        <w:t>进行解密的；</w:t>
      </w:r>
    </w:p>
    <w:p w14:paraId="17AA04AD">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rPr>
        <w:t>（2）因供应商自身原因导致在规定时间内无法解密</w:t>
      </w:r>
      <w:r>
        <w:rPr>
          <w:rFonts w:hint="eastAsia" w:ascii="宋体" w:hAnsi="宋体" w:eastAsia="宋体" w:cs="宋体"/>
          <w:snapToGrid w:val="0"/>
          <w:kern w:val="2"/>
          <w:sz w:val="24"/>
          <w:szCs w:val="24"/>
          <w:lang w:eastAsia="zh-CN"/>
        </w:rPr>
        <w:t>响应文件</w:t>
      </w:r>
      <w:r>
        <w:rPr>
          <w:rFonts w:hint="eastAsia" w:ascii="宋体" w:hAnsi="宋体" w:eastAsia="宋体" w:cs="宋体"/>
          <w:snapToGrid w:val="0"/>
          <w:kern w:val="2"/>
          <w:sz w:val="24"/>
          <w:szCs w:val="24"/>
        </w:rPr>
        <w:t>的；</w:t>
      </w:r>
    </w:p>
    <w:p w14:paraId="1C1819B8">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rPr>
        <w:t>（3）上传的电子</w:t>
      </w:r>
      <w:r>
        <w:rPr>
          <w:rFonts w:hint="eastAsia" w:ascii="宋体" w:hAnsi="宋体" w:eastAsia="宋体" w:cs="宋体"/>
          <w:snapToGrid w:val="0"/>
          <w:kern w:val="2"/>
          <w:sz w:val="24"/>
          <w:szCs w:val="24"/>
          <w:lang w:eastAsia="zh-CN"/>
        </w:rPr>
        <w:t>响应文件</w:t>
      </w:r>
      <w:r>
        <w:rPr>
          <w:rFonts w:hint="eastAsia" w:ascii="宋体" w:hAnsi="宋体" w:eastAsia="宋体" w:cs="宋体"/>
          <w:snapToGrid w:val="0"/>
          <w:kern w:val="2"/>
          <w:sz w:val="24"/>
          <w:szCs w:val="24"/>
        </w:rPr>
        <w:t>无法打开的；</w:t>
      </w:r>
    </w:p>
    <w:p w14:paraId="7A3AF257">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rPr>
        <w:t>（4）政府采购法律法规规定的其他无效情形。</w:t>
      </w:r>
    </w:p>
    <w:p w14:paraId="713E9116">
      <w:pPr>
        <w:spacing w:line="480" w:lineRule="exact"/>
        <w:ind w:firstLine="480" w:firstLineChars="200"/>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8.</w:t>
      </w:r>
      <w:r>
        <w:rPr>
          <w:rFonts w:hint="eastAsia" w:ascii="宋体" w:hAnsi="宋体" w:eastAsia="宋体" w:cs="宋体"/>
          <w:snapToGrid w:val="0"/>
          <w:kern w:val="2"/>
          <w:sz w:val="24"/>
          <w:szCs w:val="24"/>
        </w:rPr>
        <w:t>特殊情形下的应急处置</w:t>
      </w:r>
    </w:p>
    <w:p w14:paraId="39A7A983">
      <w:pPr>
        <w:spacing w:line="480" w:lineRule="exact"/>
        <w:ind w:firstLine="480" w:firstLineChars="200"/>
        <w:rPr>
          <w:rFonts w:hint="eastAsia" w:ascii="宋体" w:hAnsi="宋体" w:eastAsia="宋体" w:cs="宋体"/>
          <w:snapToGrid w:val="0"/>
          <w:kern w:val="2"/>
          <w:sz w:val="24"/>
          <w:szCs w:val="24"/>
          <w:lang w:val="zh-CN" w:eastAsia="zh-CN"/>
        </w:rPr>
      </w:pPr>
      <w:r>
        <w:rPr>
          <w:rFonts w:hint="eastAsia" w:ascii="宋体" w:hAnsi="宋体" w:eastAsia="宋体" w:cs="宋体"/>
          <w:snapToGrid w:val="0"/>
          <w:kern w:val="2"/>
          <w:sz w:val="24"/>
          <w:szCs w:val="24"/>
        </w:rPr>
        <w:t>在</w:t>
      </w:r>
      <w:r>
        <w:rPr>
          <w:rFonts w:hint="eastAsia" w:ascii="宋体" w:hAnsi="宋体" w:eastAsia="宋体" w:cs="宋体"/>
          <w:snapToGrid w:val="0"/>
          <w:kern w:val="2"/>
          <w:sz w:val="24"/>
          <w:szCs w:val="24"/>
          <w:lang w:eastAsia="zh-CN"/>
        </w:rPr>
        <w:t>磋商</w:t>
      </w:r>
      <w:r>
        <w:rPr>
          <w:rFonts w:hint="eastAsia" w:ascii="宋体" w:hAnsi="宋体" w:eastAsia="宋体" w:cs="宋体"/>
          <w:snapToGrid w:val="0"/>
          <w:kern w:val="2"/>
          <w:sz w:val="24"/>
          <w:szCs w:val="24"/>
        </w:rPr>
        <w:t>、评审过程中，如因停电、断网、电子化系统故障等特殊原因导致电子化开、评</w:t>
      </w:r>
      <w:r>
        <w:rPr>
          <w:rFonts w:hint="eastAsia" w:ascii="宋体" w:hAnsi="宋体" w:eastAsia="宋体" w:cs="宋体"/>
          <w:snapToGrid w:val="0"/>
          <w:kern w:val="2"/>
          <w:sz w:val="24"/>
          <w:szCs w:val="24"/>
          <w:lang w:eastAsia="zh-CN"/>
        </w:rPr>
        <w:t>审</w:t>
      </w:r>
      <w:r>
        <w:rPr>
          <w:rFonts w:hint="eastAsia" w:ascii="宋体" w:hAnsi="宋体" w:eastAsia="宋体" w:cs="宋体"/>
          <w:snapToGrid w:val="0"/>
          <w:kern w:val="2"/>
          <w:sz w:val="24"/>
          <w:szCs w:val="24"/>
        </w:rPr>
        <w:t>无法正常进行时，代理机构应及时与公共资源交易中心工作人员联系</w:t>
      </w:r>
      <w:r>
        <w:rPr>
          <w:rFonts w:hint="eastAsia" w:ascii="宋体" w:hAnsi="宋体" w:eastAsia="宋体" w:cs="宋体"/>
          <w:snapToGrid w:val="0"/>
          <w:kern w:val="2"/>
          <w:sz w:val="24"/>
          <w:szCs w:val="24"/>
          <w:lang w:eastAsia="zh-CN"/>
        </w:rPr>
        <w:t>，</w:t>
      </w:r>
      <w:r>
        <w:rPr>
          <w:rFonts w:hint="eastAsia" w:ascii="宋体" w:hAnsi="宋体" w:eastAsia="宋体" w:cs="宋体"/>
          <w:snapToGrid w:val="0"/>
          <w:kern w:val="2"/>
          <w:sz w:val="24"/>
          <w:szCs w:val="24"/>
        </w:rPr>
        <w:t>故障在2小时内可修复的，可延续电子</w:t>
      </w:r>
      <w:r>
        <w:rPr>
          <w:rFonts w:hint="eastAsia" w:ascii="宋体" w:hAnsi="宋体" w:eastAsia="宋体" w:cs="宋体"/>
          <w:snapToGrid w:val="0"/>
          <w:kern w:val="2"/>
          <w:sz w:val="24"/>
          <w:szCs w:val="24"/>
          <w:lang w:eastAsia="zh-CN"/>
        </w:rPr>
        <w:t>磋商</w:t>
      </w:r>
      <w:r>
        <w:rPr>
          <w:rFonts w:hint="eastAsia" w:ascii="宋体" w:hAnsi="宋体" w:eastAsia="宋体" w:cs="宋体"/>
          <w:snapToGrid w:val="0"/>
          <w:kern w:val="2"/>
          <w:sz w:val="24"/>
          <w:szCs w:val="24"/>
        </w:rPr>
        <w:t>评</w:t>
      </w:r>
      <w:r>
        <w:rPr>
          <w:rFonts w:hint="eastAsia" w:ascii="宋体" w:hAnsi="宋体" w:eastAsia="宋体" w:cs="宋体"/>
          <w:snapToGrid w:val="0"/>
          <w:kern w:val="2"/>
          <w:sz w:val="24"/>
          <w:szCs w:val="24"/>
          <w:lang w:eastAsia="zh-CN"/>
        </w:rPr>
        <w:t>审</w:t>
      </w:r>
      <w:r>
        <w:rPr>
          <w:rFonts w:hint="eastAsia" w:ascii="宋体" w:hAnsi="宋体" w:eastAsia="宋体" w:cs="宋体"/>
          <w:snapToGrid w:val="0"/>
          <w:kern w:val="2"/>
          <w:sz w:val="24"/>
          <w:szCs w:val="24"/>
        </w:rPr>
        <w:t>流程</w:t>
      </w:r>
      <w:r>
        <w:rPr>
          <w:rFonts w:hint="eastAsia" w:ascii="宋体" w:hAnsi="宋体" w:eastAsia="宋体" w:cs="宋体"/>
          <w:snapToGrid w:val="0"/>
          <w:kern w:val="2"/>
          <w:sz w:val="24"/>
          <w:szCs w:val="24"/>
          <w:lang w:eastAsia="zh-CN"/>
        </w:rPr>
        <w:t>；2小时内无法修复的，由</w:t>
      </w:r>
      <w:r>
        <w:rPr>
          <w:rFonts w:hint="eastAsia" w:ascii="宋体" w:hAnsi="宋体" w:eastAsia="宋体" w:cs="宋体"/>
          <w:snapToGrid w:val="0"/>
          <w:kern w:val="2"/>
          <w:sz w:val="24"/>
          <w:szCs w:val="24"/>
          <w:lang w:val="en-US" w:eastAsia="zh-CN"/>
        </w:rPr>
        <w:t>采购人根据</w:t>
      </w:r>
      <w:r>
        <w:rPr>
          <w:rFonts w:hint="eastAsia" w:ascii="宋体" w:hAnsi="宋体" w:eastAsia="宋体" w:cs="宋体"/>
          <w:snapToGrid w:val="0"/>
          <w:kern w:val="2"/>
          <w:sz w:val="24"/>
          <w:szCs w:val="24"/>
          <w:lang w:eastAsia="zh-CN"/>
        </w:rPr>
        <w:t>《</w:t>
      </w:r>
      <w:r>
        <w:rPr>
          <w:rFonts w:hint="eastAsia" w:ascii="宋体" w:hAnsi="宋体" w:eastAsia="宋体" w:cs="宋体"/>
          <w:snapToGrid w:val="0"/>
          <w:kern w:val="2"/>
          <w:sz w:val="24"/>
          <w:szCs w:val="24"/>
          <w:lang w:val="en-US" w:eastAsia="zh-CN"/>
        </w:rPr>
        <w:t>宝鸡</w:t>
      </w:r>
      <w:r>
        <w:rPr>
          <w:rFonts w:hint="eastAsia" w:ascii="宋体" w:hAnsi="宋体" w:eastAsia="宋体" w:cs="宋体"/>
          <w:snapToGrid w:val="0"/>
          <w:kern w:val="2"/>
          <w:sz w:val="24"/>
          <w:szCs w:val="24"/>
          <w:lang w:eastAsia="zh-CN"/>
        </w:rPr>
        <w:t>市公共资源交易平台电子化交易应急处置管理办法（试行）》</w:t>
      </w:r>
      <w:r>
        <w:rPr>
          <w:rFonts w:hint="eastAsia" w:ascii="宋体" w:hAnsi="宋体" w:eastAsia="宋体" w:cs="宋体"/>
          <w:snapToGrid w:val="0"/>
          <w:kern w:val="2"/>
          <w:sz w:val="24"/>
          <w:szCs w:val="24"/>
          <w:lang w:val="en-US" w:eastAsia="zh-CN"/>
        </w:rPr>
        <w:t>的通知选择处理方法。</w:t>
      </w:r>
    </w:p>
    <w:p w14:paraId="7396FEB4">
      <w:pPr>
        <w:pStyle w:val="4"/>
        <w:bidi w:val="0"/>
        <w:rPr>
          <w:rFonts w:hint="eastAsia" w:ascii="宋体" w:hAnsi="宋体" w:eastAsia="宋体" w:cs="宋体"/>
          <w:lang w:val="zh-CN" w:eastAsia="zh-CN"/>
        </w:rPr>
      </w:pPr>
      <w:r>
        <w:rPr>
          <w:rFonts w:hint="eastAsia" w:ascii="宋体" w:hAnsi="宋体" w:eastAsia="宋体" w:cs="宋体"/>
          <w:lang w:val="zh-CN" w:eastAsia="zh-CN"/>
        </w:rPr>
        <w:t>九、磋商与评审</w:t>
      </w:r>
    </w:p>
    <w:p w14:paraId="66EEA76E">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（一）磋商开标会</w:t>
      </w:r>
    </w:p>
    <w:p w14:paraId="220D7D2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1.供应商不足3家，不予开标。</w:t>
      </w:r>
    </w:p>
    <w:p w14:paraId="40B80DA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2.采购代理机构将在磋商文件规定的时间和地点召开磋商开标会。供应商应派代表参加，财政部门可以视情况到现场监督。</w:t>
      </w:r>
    </w:p>
    <w:p w14:paraId="511151A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zh-CN" w:eastAsia="zh-CN" w:bidi="ar-SA"/>
        </w:rPr>
        <w:t>3.</w:t>
      </w:r>
      <w:r>
        <w:rPr>
          <w:rFonts w:hint="eastAsia" w:ascii="宋体" w:hAnsi="宋体" w:eastAsia="宋体" w:cs="宋体"/>
          <w:b w:val="0"/>
          <w:bCs/>
          <w:color w:val="auto"/>
          <w:kern w:val="2"/>
          <w:sz w:val="24"/>
          <w:szCs w:val="24"/>
          <w:highlight w:val="none"/>
          <w:lang w:val="en-US" w:eastAsia="zh-CN" w:bidi="ar-SA"/>
        </w:rPr>
        <w:t>评审程序</w:t>
      </w:r>
    </w:p>
    <w:p w14:paraId="57C8560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按照竞争性磋商响应文件初审、澄清有关问题、二次报价、比较与评审、推荐成交候选人名单的工作程序进行评审。在上一步评审中被认定为无效磋商者，不进入下一步的评审。</w:t>
      </w:r>
    </w:p>
    <w:p w14:paraId="6E464AA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4.供应商代表对文件开启过程和记录如有异议，以及认为采购人或采购代理机构相关工作人员有需要回避的情形的，可以现场提出询问或者以书面形式提出回避要求，采购人、采购代理机构将对供应商代表提出的询问予以现场答复，对回避要求成立的予以及时处理，未提出的视为无异议。</w:t>
      </w:r>
    </w:p>
    <w:p w14:paraId="6FDCDF4E">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（二）资格审查</w:t>
      </w:r>
    </w:p>
    <w:p w14:paraId="09AB90B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见磋商文件第三章。</w:t>
      </w:r>
    </w:p>
    <w:p w14:paraId="51A3D7DE">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（三）磋商评审</w:t>
      </w:r>
    </w:p>
    <w:p w14:paraId="29066AD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见磋商文件第三章。</w:t>
      </w:r>
    </w:p>
    <w:p w14:paraId="37E2C8BE">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（四）推荐成交候选人</w:t>
      </w:r>
    </w:p>
    <w:p w14:paraId="0B247BA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见磋商文件第三章。</w:t>
      </w:r>
    </w:p>
    <w:p w14:paraId="45816ED6">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（五）评审过程的保密</w:t>
      </w:r>
    </w:p>
    <w:p w14:paraId="0EFAEC3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磋商小组及工作人员不得泄露评审文件、评审情况和评审中获悉的国家秘密、商业秘密。供应商不得向磋商小组和工作人员索问、索要评审过程的情况和资料。代理机构不解释未成交的原因。</w:t>
      </w:r>
    </w:p>
    <w:p w14:paraId="49D20DFD">
      <w:pPr>
        <w:pStyle w:val="4"/>
        <w:bidi w:val="0"/>
        <w:rPr>
          <w:rFonts w:hint="eastAsia" w:ascii="宋体" w:hAnsi="宋体" w:eastAsia="宋体" w:cs="宋体"/>
          <w:lang w:val="zh-CN" w:eastAsia="zh-CN"/>
        </w:rPr>
      </w:pPr>
      <w:r>
        <w:rPr>
          <w:rFonts w:hint="eastAsia" w:ascii="宋体" w:hAnsi="宋体" w:eastAsia="宋体" w:cs="宋体"/>
          <w:lang w:val="zh-CN" w:eastAsia="zh-CN"/>
        </w:rPr>
        <w:t>十、成交</w:t>
      </w:r>
    </w:p>
    <w:p w14:paraId="5CCBEDA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1.采购代理机构在评审结束后</w:t>
      </w:r>
      <w:r>
        <w:rPr>
          <w:rFonts w:hint="eastAsia" w:cs="宋体"/>
          <w:b w:val="0"/>
          <w:bCs/>
          <w:color w:val="auto"/>
          <w:kern w:val="2"/>
          <w:sz w:val="24"/>
          <w:szCs w:val="24"/>
          <w:highlight w:val="none"/>
          <w:lang w:val="en-US" w:eastAsia="zh-CN" w:bidi="ar-SA"/>
        </w:rPr>
        <w:t>2</w:t>
      </w:r>
      <w:r>
        <w:rPr>
          <w:rFonts w:hint="eastAsia" w:ascii="宋体" w:hAnsi="宋体" w:eastAsia="宋体" w:cs="宋体"/>
          <w:b w:val="0"/>
          <w:bCs/>
          <w:color w:val="auto"/>
          <w:kern w:val="2"/>
          <w:sz w:val="24"/>
          <w:szCs w:val="24"/>
          <w:highlight w:val="none"/>
          <w:lang w:val="zh-CN" w:eastAsia="zh-CN" w:bidi="ar-SA"/>
        </w:rPr>
        <w:t>个工作日内将评审报告送至采购人。</w:t>
      </w:r>
    </w:p>
    <w:p w14:paraId="73253F2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2.采购人在收到评审报告后</w:t>
      </w:r>
      <w:r>
        <w:rPr>
          <w:rFonts w:hint="eastAsia" w:cs="宋体"/>
          <w:b w:val="0"/>
          <w:bCs/>
          <w:color w:val="auto"/>
          <w:kern w:val="2"/>
          <w:sz w:val="24"/>
          <w:szCs w:val="24"/>
          <w:highlight w:val="none"/>
          <w:lang w:val="en-US" w:eastAsia="zh-CN" w:bidi="ar-SA"/>
        </w:rPr>
        <w:t>5</w:t>
      </w:r>
      <w:r>
        <w:rPr>
          <w:rFonts w:hint="eastAsia" w:ascii="宋体" w:hAnsi="宋体" w:eastAsia="宋体" w:cs="宋体"/>
          <w:b w:val="0"/>
          <w:bCs/>
          <w:color w:val="auto"/>
          <w:kern w:val="2"/>
          <w:sz w:val="24"/>
          <w:szCs w:val="24"/>
          <w:highlight w:val="none"/>
          <w:lang w:val="zh-CN" w:eastAsia="zh-CN" w:bidi="ar-SA"/>
        </w:rPr>
        <w:t>个工作日内，按照评审报告中推荐的成交候选人顺序确定成交供应商，同时函复采购代理机构。采购人逾期未确定成交供应商且不提出异议的，视为确定评审报告提出的排序第一的供应商为成交供应商。</w:t>
      </w:r>
    </w:p>
    <w:p w14:paraId="1614327D">
      <w:pPr>
        <w:pStyle w:val="4"/>
        <w:bidi w:val="0"/>
        <w:rPr>
          <w:rFonts w:hint="eastAsia" w:ascii="宋体" w:hAnsi="宋体" w:eastAsia="宋体" w:cs="宋体"/>
          <w:lang w:val="zh-CN" w:eastAsia="zh-CN"/>
        </w:rPr>
      </w:pPr>
      <w:r>
        <w:rPr>
          <w:rFonts w:hint="eastAsia" w:ascii="宋体" w:hAnsi="宋体" w:eastAsia="宋体" w:cs="宋体"/>
          <w:lang w:val="zh-CN" w:eastAsia="zh-CN"/>
        </w:rPr>
        <w:t>十一、成交通知书</w:t>
      </w:r>
    </w:p>
    <w:p w14:paraId="2A7E995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1.采购代理机构收到采购人成交复函后</w:t>
      </w:r>
      <w:r>
        <w:rPr>
          <w:rFonts w:hint="eastAsia" w:ascii="宋体" w:hAnsi="宋体" w:eastAsia="宋体" w:cs="宋体"/>
          <w:b w:val="0"/>
          <w:bCs/>
          <w:color w:val="auto"/>
          <w:kern w:val="2"/>
          <w:sz w:val="24"/>
          <w:szCs w:val="24"/>
          <w:highlight w:val="none"/>
          <w:lang w:val="en-US" w:eastAsia="zh-CN" w:bidi="ar-SA"/>
        </w:rPr>
        <w:t>1</w:t>
      </w:r>
      <w:r>
        <w:rPr>
          <w:rFonts w:hint="eastAsia" w:ascii="宋体" w:hAnsi="宋体" w:eastAsia="宋体" w:cs="宋体"/>
          <w:b w:val="0"/>
          <w:bCs/>
          <w:color w:val="auto"/>
          <w:kern w:val="2"/>
          <w:sz w:val="24"/>
          <w:szCs w:val="24"/>
          <w:highlight w:val="none"/>
          <w:lang w:val="zh-CN" w:eastAsia="zh-CN" w:bidi="ar-SA"/>
        </w:rPr>
        <w:t>个工作日内在陕西省政府采购网发布公告，公告期1个工作日，同时以书面形式发出成交通知书。</w:t>
      </w:r>
    </w:p>
    <w:p w14:paraId="49A020A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2.成交通知书为签订政府采购合同的依据之一，也是合同的有效组成部分。</w:t>
      </w:r>
    </w:p>
    <w:p w14:paraId="64292D8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3.成交通知书对采购人和成交供应商均具有法律效力。成交通知书发出后，采购人无正当理由改变成交结果，或者成交供应商无正当理由放弃成交的，将承担相应的法律责任。</w:t>
      </w:r>
    </w:p>
    <w:p w14:paraId="0126DB9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4.成交供应商的响应文件本应作为无效磋商处理或者有政府采购法律法规规定的成交无效情形的，采购代理机构在取得有权主体的认定以后，将宣布发出的成交通知书无效，并收回发出的成交通知书（成交供应商也应当缴回），采购人依法重新确定成交供应商或者重新开展采购活动。</w:t>
      </w:r>
    </w:p>
    <w:p w14:paraId="19C9388A">
      <w:pPr>
        <w:pStyle w:val="4"/>
        <w:bidi w:val="0"/>
        <w:rPr>
          <w:rFonts w:hint="eastAsia" w:ascii="宋体" w:hAnsi="宋体" w:eastAsia="宋体" w:cs="宋体"/>
          <w:lang w:val="zh-CN" w:eastAsia="zh-CN"/>
        </w:rPr>
      </w:pPr>
      <w:r>
        <w:rPr>
          <w:rFonts w:hint="eastAsia" w:ascii="宋体" w:hAnsi="宋体" w:eastAsia="宋体" w:cs="宋体"/>
          <w:lang w:val="zh-CN" w:eastAsia="zh-CN"/>
        </w:rPr>
        <w:t>十二、废标</w:t>
      </w:r>
    </w:p>
    <w:p w14:paraId="4C6F5CC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详见磋商文件第三章。</w:t>
      </w:r>
    </w:p>
    <w:p w14:paraId="3A9A69A3">
      <w:pPr>
        <w:pStyle w:val="4"/>
        <w:bidi w:val="0"/>
        <w:rPr>
          <w:rFonts w:hint="eastAsia" w:ascii="宋体" w:hAnsi="宋体" w:eastAsia="宋体" w:cs="宋体"/>
          <w:lang w:val="zh-CN" w:eastAsia="zh-CN"/>
        </w:rPr>
      </w:pPr>
      <w:r>
        <w:rPr>
          <w:rFonts w:hint="eastAsia" w:ascii="宋体" w:hAnsi="宋体" w:eastAsia="宋体" w:cs="宋体"/>
          <w:lang w:val="zh-CN" w:eastAsia="zh-CN"/>
        </w:rPr>
        <w:t>十三、履约保证金</w:t>
      </w:r>
    </w:p>
    <w:p w14:paraId="5AE068D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default" w:ascii="宋体" w:hAnsi="宋体" w:eastAsia="宋体" w:cs="宋体"/>
          <w:b w:val="0"/>
          <w:bCs/>
          <w:color w:val="auto"/>
          <w:kern w:val="2"/>
          <w:sz w:val="24"/>
          <w:szCs w:val="24"/>
          <w:highlight w:val="none"/>
          <w:lang w:val="en-US" w:eastAsia="zh-CN" w:bidi="ar-SA"/>
        </w:rPr>
      </w:pPr>
      <w:r>
        <w:rPr>
          <w:rFonts w:hint="eastAsia" w:cs="宋体"/>
          <w:b w:val="0"/>
          <w:bCs/>
          <w:color w:val="auto"/>
          <w:kern w:val="2"/>
          <w:sz w:val="24"/>
          <w:szCs w:val="24"/>
          <w:highlight w:val="none"/>
          <w:lang w:val="en-US" w:eastAsia="zh-CN" w:bidi="ar-SA"/>
        </w:rPr>
        <w:t>本项目无</w:t>
      </w:r>
    </w:p>
    <w:p w14:paraId="116D9AB5">
      <w:pPr>
        <w:pStyle w:val="4"/>
        <w:bidi w:val="0"/>
        <w:rPr>
          <w:rFonts w:hint="eastAsia" w:ascii="宋体" w:hAnsi="宋体" w:eastAsia="宋体" w:cs="宋体"/>
          <w:lang w:val="zh-CN" w:eastAsia="zh-CN"/>
        </w:rPr>
      </w:pPr>
      <w:r>
        <w:rPr>
          <w:rFonts w:hint="eastAsia" w:ascii="宋体" w:hAnsi="宋体" w:eastAsia="宋体" w:cs="宋体"/>
          <w:lang w:val="zh-CN" w:eastAsia="zh-CN"/>
        </w:rPr>
        <w:t>十四、签订合同和验收</w:t>
      </w:r>
    </w:p>
    <w:p w14:paraId="05EFA61A">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（一）签订合同</w:t>
      </w:r>
    </w:p>
    <w:p w14:paraId="22D7B37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1.采购人和成交供应商应当自成交通知书发出之日起</w:t>
      </w:r>
      <w:r>
        <w:rPr>
          <w:rFonts w:hint="eastAsia" w:cs="宋体"/>
          <w:b w:val="0"/>
          <w:bCs/>
          <w:color w:val="auto"/>
          <w:kern w:val="2"/>
          <w:sz w:val="24"/>
          <w:szCs w:val="24"/>
          <w:highlight w:val="none"/>
          <w:lang w:val="en-US" w:eastAsia="zh-CN" w:bidi="ar-SA"/>
        </w:rPr>
        <w:t>25</w:t>
      </w:r>
      <w:r>
        <w:rPr>
          <w:rFonts w:hint="eastAsia" w:ascii="宋体" w:hAnsi="宋体" w:eastAsia="宋体" w:cs="宋体"/>
          <w:b w:val="0"/>
          <w:bCs/>
          <w:color w:val="auto"/>
          <w:kern w:val="2"/>
          <w:sz w:val="24"/>
          <w:szCs w:val="24"/>
          <w:highlight w:val="none"/>
          <w:lang w:val="zh-CN" w:eastAsia="zh-CN" w:bidi="ar-SA"/>
        </w:rPr>
        <w:t>天内签订合同。采购人在签订合同之日起2个工作日内，在陕西省政府采购网公告合同，但合同中涉及国家秘密、商业秘密的内容除外。</w:t>
      </w:r>
    </w:p>
    <w:p w14:paraId="4D8FF6B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2.成交通知书、磋商文件、响应文件、最终响应函、修改文件（如有）等，均为合同的组成部分，与合同具有同等法律效力。</w:t>
      </w:r>
    </w:p>
    <w:p w14:paraId="29DFED6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3.因成交供应商的原因不与采购人签订合同或不履行合同的，采购人将上报监管机构，同时磋商保证金不予退还，给采购人造成损失的还应当予以赔偿，并承担相应的法律责任。</w:t>
      </w:r>
    </w:p>
    <w:p w14:paraId="328EC8E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4.成交供应商因不可抗力提出不能履行合同的，采购人可依照排序依次顺延成交候选人作为新的成交供应商，也可重新组织磋商。因自身原因拒绝签订政府采购合同的成交供应商不得参加该项目重新开展的招标活动。</w:t>
      </w:r>
    </w:p>
    <w:p w14:paraId="7701C9F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5.采购人有证据证明供应商在以往履行采购合同时，发生过重大实质性违约且未及时采取合理补救措施的，可以拒绝其参加采购活动。</w:t>
      </w:r>
    </w:p>
    <w:p w14:paraId="2CB9C0C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6.合同追加</w:t>
      </w:r>
    </w:p>
    <w:p w14:paraId="6B04BE9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政府采购合同履行中，采购人需追加与合同标的相同的货物、工程或者服务的，在不改变合同其他条款的前提下，可以与成交供应商协商签订补充合同，但所有补充合同的采购金额不得超过原合同金额的百分之十。追加合同应获得财政预算审批部门的批准。</w:t>
      </w:r>
    </w:p>
    <w:p w14:paraId="47E86DC6">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bottom"/>
        <w:rPr>
          <w:rFonts w:hint="eastAsia" w:ascii="宋体" w:hAnsi="宋体" w:eastAsia="宋体" w:cs="宋体"/>
          <w:b/>
          <w:bCs w:val="0"/>
          <w:color w:val="auto"/>
          <w:kern w:val="2"/>
          <w:sz w:val="24"/>
          <w:szCs w:val="24"/>
          <w:highlight w:val="none"/>
          <w:lang w:val="zh-CN" w:eastAsia="zh-CN" w:bidi="ar-SA"/>
        </w:rPr>
      </w:pPr>
      <w:r>
        <w:rPr>
          <w:rFonts w:hint="eastAsia" w:ascii="宋体" w:hAnsi="宋体" w:eastAsia="宋体" w:cs="宋体"/>
          <w:b/>
          <w:bCs w:val="0"/>
          <w:color w:val="auto"/>
          <w:kern w:val="2"/>
          <w:sz w:val="24"/>
          <w:szCs w:val="24"/>
          <w:highlight w:val="none"/>
          <w:lang w:val="zh-CN" w:eastAsia="zh-CN" w:bidi="ar-SA"/>
        </w:rPr>
        <w:t>（二）验收</w:t>
      </w:r>
    </w:p>
    <w:p w14:paraId="6D43873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1.采购人将按照《财政部关于进一步加强政府采购需求和履约验收管理的指导意见》(财库〔2016〕205号)的要求进行验收。</w:t>
      </w:r>
    </w:p>
    <w:p w14:paraId="47C4F38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验收由采购人组织，采购人根据国家或行业现行规范、标准以及磋商文件、响应文件进行验收。验收结果不合格的，将不予支付采购资金，还可能报本项目同级财政部门按照政府采购相关法律法规给予行政处罚或者以失信行为记入诚信档案。</w:t>
      </w:r>
    </w:p>
    <w:p w14:paraId="7A4CC02A">
      <w:pPr>
        <w:pStyle w:val="4"/>
        <w:bidi w:val="0"/>
        <w:rPr>
          <w:rFonts w:hint="eastAsia" w:ascii="宋体" w:hAnsi="宋体" w:eastAsia="宋体" w:cs="宋体"/>
          <w:lang w:val="zh-CN" w:eastAsia="zh-CN"/>
        </w:rPr>
      </w:pPr>
      <w:r>
        <w:rPr>
          <w:rFonts w:hint="eastAsia" w:ascii="宋体" w:hAnsi="宋体" w:eastAsia="宋体" w:cs="宋体"/>
          <w:lang w:val="zh-CN" w:eastAsia="zh-CN"/>
        </w:rPr>
        <w:t>十五、质疑与投诉</w:t>
      </w:r>
    </w:p>
    <w:p w14:paraId="6451340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（一）供应商认为采购文件、采购过程、成交或成交结果使自己的权益受到损害的，可以在知道或应知其权益受到损害之日起7个工作日内以书面形式提出。</w:t>
      </w:r>
    </w:p>
    <w:p w14:paraId="51AEF59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（二）在法定质疑期内，针对同一采购程序环节的质疑应当一次性提出。采购人、采购代理机构将在收到书面质疑后7个工作日内做出答复，并以以书面形式通知质疑人和其他有关供应商。</w:t>
      </w:r>
    </w:p>
    <w:p w14:paraId="286BC4C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供应商提出质疑应当提交质疑函和必要的证明材料，并按财政部《质疑函范本》给定的格式进行填写。</w:t>
      </w:r>
    </w:p>
    <w:p w14:paraId="4CF33E1C">
      <w:pPr>
        <w:numPr>
          <w:ilvl w:val="0"/>
          <w:numId w:val="3"/>
        </w:numPr>
        <w:spacing w:line="480" w:lineRule="exact"/>
        <w:ind w:firstLine="480" w:firstLineChars="200"/>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供应商为自然人的，应当由本人签字；供应商为法人或者其他组织的，应当由法定代表人、主要负责人，或者其授权代表签字或者盖章，并加盖公章，公章不得以合同章或其他印章代替。供应商委托代理人提出质疑的，应当同时提交供应商签署的授权委托书。</w:t>
      </w:r>
    </w:p>
    <w:p w14:paraId="798A7C1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w:t>
      </w:r>
      <w:r>
        <w:rPr>
          <w:rFonts w:hint="eastAsia" w:ascii="宋体" w:hAnsi="宋体" w:eastAsia="宋体" w:cs="宋体"/>
          <w:b w:val="0"/>
          <w:bCs/>
          <w:color w:val="auto"/>
          <w:kern w:val="2"/>
          <w:sz w:val="24"/>
          <w:szCs w:val="24"/>
          <w:highlight w:val="none"/>
          <w:lang w:val="en-US" w:eastAsia="zh-CN" w:bidi="ar-SA"/>
        </w:rPr>
        <w:t>四</w:t>
      </w:r>
      <w:r>
        <w:rPr>
          <w:rFonts w:hint="eastAsia" w:ascii="宋体" w:hAnsi="宋体" w:eastAsia="宋体" w:cs="宋体"/>
          <w:b w:val="0"/>
          <w:bCs/>
          <w:color w:val="auto"/>
          <w:kern w:val="2"/>
          <w:sz w:val="24"/>
          <w:szCs w:val="24"/>
          <w:highlight w:val="none"/>
          <w:lang w:val="zh-CN" w:eastAsia="zh-CN" w:bidi="ar-SA"/>
        </w:rPr>
        <w:t>）符合要求的质疑，采购代理机构将予以受理并答复，具体联系方式如：</w:t>
      </w:r>
    </w:p>
    <w:p w14:paraId="2D5CB1D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接收方式：书面形式</w:t>
      </w:r>
    </w:p>
    <w:p w14:paraId="00B3757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联系部门：招标部</w:t>
      </w:r>
    </w:p>
    <w:p w14:paraId="32430B6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default"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zh-CN" w:eastAsia="zh-CN" w:bidi="ar-SA"/>
        </w:rPr>
        <w:t>联系电话：</w:t>
      </w:r>
      <w:r>
        <w:rPr>
          <w:rFonts w:hint="eastAsia" w:cs="宋体"/>
          <w:color w:val="auto"/>
          <w:sz w:val="24"/>
          <w:szCs w:val="24"/>
          <w:highlight w:val="none"/>
          <w:lang w:val="en-US" w:eastAsia="zh-CN"/>
        </w:rPr>
        <w:t>0917-3232030</w:t>
      </w:r>
    </w:p>
    <w:p w14:paraId="154D72F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通讯地址：</w:t>
      </w:r>
      <w:r>
        <w:rPr>
          <w:rFonts w:hint="eastAsia" w:cs="宋体"/>
          <w:color w:val="auto"/>
          <w:sz w:val="24"/>
          <w:highlight w:val="none"/>
          <w:lang w:val="en-US" w:eastAsia="zh-CN"/>
        </w:rPr>
        <w:t>宝鸡市金台区行政大道5号广汇大厦A座15楼1501室</w:t>
      </w:r>
    </w:p>
    <w:p w14:paraId="4C5DE7B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w:t>
      </w:r>
      <w:r>
        <w:rPr>
          <w:rFonts w:hint="eastAsia" w:ascii="宋体" w:hAnsi="宋体" w:eastAsia="宋体" w:cs="宋体"/>
          <w:b w:val="0"/>
          <w:bCs/>
          <w:color w:val="auto"/>
          <w:kern w:val="2"/>
          <w:sz w:val="24"/>
          <w:szCs w:val="24"/>
          <w:highlight w:val="none"/>
          <w:lang w:val="en-US" w:eastAsia="zh-CN" w:bidi="ar-SA"/>
        </w:rPr>
        <w:t>五</w:t>
      </w:r>
      <w:r>
        <w:rPr>
          <w:rFonts w:hint="eastAsia" w:ascii="宋体" w:hAnsi="宋体" w:eastAsia="宋体" w:cs="宋体"/>
          <w:b w:val="0"/>
          <w:bCs/>
          <w:color w:val="auto"/>
          <w:kern w:val="2"/>
          <w:sz w:val="24"/>
          <w:szCs w:val="24"/>
          <w:highlight w:val="none"/>
          <w:lang w:val="zh-CN" w:eastAsia="zh-CN" w:bidi="ar-SA"/>
        </w:rPr>
        <w:t>）有下列情形之一的，属于无效质疑，采购代理机构和采购人可不予受理：</w:t>
      </w:r>
    </w:p>
    <w:p w14:paraId="233E5C1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1.对采购文件提出质疑的质疑人不是依法获取采购文件的潜在供应商；对采购过程、成交或成交结果提出质疑的质疑人不是参与本次政府采购项目的供应商；</w:t>
      </w:r>
    </w:p>
    <w:p w14:paraId="265D2FA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2.超过法定期限或未以书面形式提出的；</w:t>
      </w:r>
    </w:p>
    <w:p w14:paraId="238AB11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3.缺乏必要的证明材料，或捏造事实、提供虚假材料，或以非法手段取得证明材料的；</w:t>
      </w:r>
    </w:p>
    <w:p w14:paraId="1EFF79B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4.质疑函没有合法有效的签字、盖章或授权的；</w:t>
      </w:r>
    </w:p>
    <w:p w14:paraId="4E6E241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5.针对同一采购程序环节又提出其他质疑事项的，或质疑答复后就同一事项再次提出质疑的；</w:t>
      </w:r>
    </w:p>
    <w:p w14:paraId="63E20D35">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6.不符合法律、法规、规章和政府采购监管机构规定的其他条件的。</w:t>
      </w:r>
    </w:p>
    <w:p w14:paraId="32D87ED9">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w:t>
      </w:r>
      <w:r>
        <w:rPr>
          <w:rFonts w:hint="eastAsia" w:ascii="宋体" w:hAnsi="宋体" w:eastAsia="宋体" w:cs="宋体"/>
          <w:b w:val="0"/>
          <w:bCs/>
          <w:color w:val="auto"/>
          <w:kern w:val="2"/>
          <w:sz w:val="24"/>
          <w:szCs w:val="24"/>
          <w:highlight w:val="none"/>
          <w:lang w:val="en-US" w:eastAsia="zh-CN" w:bidi="ar-SA"/>
        </w:rPr>
        <w:t>六</w:t>
      </w:r>
      <w:r>
        <w:rPr>
          <w:rFonts w:hint="eastAsia" w:ascii="宋体" w:hAnsi="宋体" w:eastAsia="宋体" w:cs="宋体"/>
          <w:b w:val="0"/>
          <w:bCs/>
          <w:color w:val="auto"/>
          <w:kern w:val="2"/>
          <w:sz w:val="24"/>
          <w:szCs w:val="24"/>
          <w:highlight w:val="none"/>
          <w:lang w:val="zh-CN" w:eastAsia="zh-CN" w:bidi="ar-SA"/>
        </w:rPr>
        <w:t>）质疑供应商对采购人、采购代理机构的答复不满意，或者采购人、采购代理机构未在规定的时间内做出答复的，可以在答复期满后15个工作日内按照《政府采购质疑和投诉办法》（财政部94号令）相关规定向政府采购监管机构提出投诉。供应商投诉的事项不得超出已质疑事项的范围。</w:t>
      </w:r>
    </w:p>
    <w:p w14:paraId="4832FAD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w:t>
      </w:r>
      <w:r>
        <w:rPr>
          <w:rFonts w:hint="eastAsia" w:ascii="宋体" w:hAnsi="宋体" w:eastAsia="宋体" w:cs="宋体"/>
          <w:b w:val="0"/>
          <w:bCs/>
          <w:color w:val="auto"/>
          <w:kern w:val="2"/>
          <w:sz w:val="24"/>
          <w:szCs w:val="24"/>
          <w:highlight w:val="none"/>
          <w:lang w:val="en-US" w:eastAsia="zh-CN" w:bidi="ar-SA"/>
        </w:rPr>
        <w:t>七</w:t>
      </w:r>
      <w:r>
        <w:rPr>
          <w:rFonts w:hint="eastAsia" w:ascii="宋体" w:hAnsi="宋体" w:eastAsia="宋体" w:cs="宋体"/>
          <w:b w:val="0"/>
          <w:bCs/>
          <w:color w:val="auto"/>
          <w:kern w:val="2"/>
          <w:sz w:val="24"/>
          <w:szCs w:val="24"/>
          <w:highlight w:val="none"/>
          <w:lang w:val="zh-CN" w:eastAsia="zh-CN" w:bidi="ar-SA"/>
        </w:rPr>
        <w:t>）对捏造事实、提供虚假材料进行质疑、投诉的行为予以严肃处理：</w:t>
      </w:r>
    </w:p>
    <w:p w14:paraId="6F2AC08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依据《政府采购质疑和投诉办法》（财政部94号令）有关规定，投诉供应商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069AEF8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w:t>
      </w:r>
      <w:r>
        <w:rPr>
          <w:rFonts w:hint="eastAsia" w:ascii="宋体" w:hAnsi="宋体" w:eastAsia="宋体" w:cs="宋体"/>
          <w:b w:val="0"/>
          <w:bCs/>
          <w:color w:val="auto"/>
          <w:kern w:val="2"/>
          <w:sz w:val="24"/>
          <w:szCs w:val="24"/>
          <w:highlight w:val="none"/>
          <w:lang w:val="en-US" w:eastAsia="zh-CN" w:bidi="ar-SA"/>
        </w:rPr>
        <w:t>八</w:t>
      </w:r>
      <w:r>
        <w:rPr>
          <w:rFonts w:hint="eastAsia" w:ascii="宋体" w:hAnsi="宋体" w:eastAsia="宋体" w:cs="宋体"/>
          <w:b w:val="0"/>
          <w:bCs/>
          <w:color w:val="auto"/>
          <w:kern w:val="2"/>
          <w:sz w:val="24"/>
          <w:szCs w:val="24"/>
          <w:highlight w:val="none"/>
          <w:lang w:val="zh-CN" w:eastAsia="zh-CN" w:bidi="ar-SA"/>
        </w:rPr>
        <w:t>）对捏造事实诬告陷害他人、诽谤他人的法律适用：</w:t>
      </w:r>
    </w:p>
    <w:p w14:paraId="637A09C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《中华人民共和国刑法》第243条【诬告陷害罪】捏造事实诬告陷害他人，意图使他人受刑事追究，情节严重的，处三年以下有期徒刑、拘役或者管制；造成严重后果的，处三年以上十年以下有期徒刑。</w:t>
      </w:r>
    </w:p>
    <w:p w14:paraId="4546DE5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bottom"/>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《中华人民共和国刑法》第246条【侮辱罪、诽谤罪】以暴力或者其他方法公然侮辱他人或者捏造事实诽谤他人，情节严重的，处三年以下有期徒刑、拘役、管制或者剥夺政治权利。</w:t>
      </w:r>
    </w:p>
    <w:p w14:paraId="63475B19">
      <w:pPr>
        <w:pStyle w:val="4"/>
        <w:bidi w:val="0"/>
        <w:rPr>
          <w:rFonts w:hint="eastAsia" w:ascii="宋体" w:hAnsi="宋体" w:eastAsia="宋体" w:cs="宋体"/>
          <w:lang w:val="en-US" w:eastAsia="zh-CN"/>
        </w:rPr>
      </w:pPr>
      <w:bookmarkStart w:id="9" w:name="_Toc3804"/>
      <w:r>
        <w:rPr>
          <w:rFonts w:hint="eastAsia" w:ascii="宋体" w:hAnsi="宋体" w:eastAsia="宋体" w:cs="宋体"/>
          <w:lang w:val="en-US" w:eastAsia="zh-CN"/>
        </w:rPr>
        <w:t>十六、拒绝商业贿赂</w:t>
      </w:r>
      <w:bookmarkEnd w:id="9"/>
    </w:p>
    <w:p w14:paraId="68C7B42C">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1、遵照陕西省财政厅的规定，采购人、采购代理机构、供应商和评审专家在磋商活动中，都要签订相应的《拒绝政府采购领域商业贿赂承诺书》，并对违反承诺的行为承担全部责任。</w:t>
      </w:r>
    </w:p>
    <w:p w14:paraId="16A6C71D">
      <w:pPr>
        <w:spacing w:line="48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2、供应商必须填写一份《拒绝政府采购领域商业贿赂承诺书》（式样见竞争性磋商响应文件格式）并附在磋商响应文件中，同时应保证磋商响应文件正、副本中一致。</w:t>
      </w:r>
    </w:p>
    <w:p w14:paraId="33991A1F">
      <w:pPr>
        <w:pStyle w:val="4"/>
        <w:bidi w:val="0"/>
        <w:rPr>
          <w:rFonts w:hint="eastAsia" w:ascii="宋体" w:hAnsi="宋体" w:eastAsia="宋体" w:cs="宋体"/>
          <w:lang w:val="en-US" w:eastAsia="zh-CN"/>
        </w:rPr>
      </w:pPr>
      <w:r>
        <w:rPr>
          <w:rFonts w:hint="eastAsia" w:ascii="宋体" w:hAnsi="宋体" w:eastAsia="宋体" w:cs="宋体"/>
          <w:lang w:val="zh-CN" w:eastAsia="zh-CN"/>
        </w:rPr>
        <w:t>十</w:t>
      </w:r>
      <w:r>
        <w:rPr>
          <w:rFonts w:hint="eastAsia" w:ascii="宋体" w:hAnsi="宋体" w:eastAsia="宋体" w:cs="宋体"/>
          <w:lang w:val="en-US" w:eastAsia="zh-CN"/>
        </w:rPr>
        <w:t>七</w:t>
      </w:r>
      <w:r>
        <w:rPr>
          <w:rFonts w:hint="eastAsia" w:ascii="宋体" w:hAnsi="宋体" w:eastAsia="宋体" w:cs="宋体"/>
          <w:lang w:val="zh-CN" w:eastAsia="zh-CN"/>
        </w:rPr>
        <w:t>、</w:t>
      </w:r>
      <w:r>
        <w:rPr>
          <w:rFonts w:hint="eastAsia" w:ascii="宋体" w:hAnsi="宋体" w:eastAsia="宋体" w:cs="宋体"/>
          <w:lang w:val="en-US" w:eastAsia="zh-CN"/>
        </w:rPr>
        <w:t>代理服务费</w:t>
      </w:r>
    </w:p>
    <w:p w14:paraId="4EC927A9">
      <w:pPr>
        <w:spacing w:line="360" w:lineRule="auto"/>
        <w:ind w:firstLine="540" w:firstLineChars="225"/>
        <w:rPr>
          <w:rFonts w:hint="eastAsia" w:ascii="宋体" w:hAnsi="宋体" w:eastAsia="宋体" w:cs="宋体"/>
          <w:color w:val="auto"/>
          <w:spacing w:val="0"/>
          <w:w w:val="100"/>
          <w:position w:val="0"/>
          <w:sz w:val="24"/>
          <w:szCs w:val="22"/>
          <w:lang w:val="en-US" w:eastAsia="zh-CN"/>
        </w:rPr>
      </w:pPr>
      <w:r>
        <w:rPr>
          <w:rFonts w:hint="eastAsia" w:ascii="宋体" w:hAnsi="宋体" w:eastAsia="宋体" w:cs="宋体"/>
          <w:color w:val="auto"/>
          <w:kern w:val="2"/>
          <w:sz w:val="24"/>
          <w:szCs w:val="24"/>
          <w:highlight w:val="none"/>
        </w:rPr>
        <w:t>参考国家发展计划委员会计价格〔2002〕1980号、发改办价格〔2003〕857号，依据发改价格〔2015〕299号文件标准下浮20%执行计取该项目的招标代理服务费</w:t>
      </w:r>
      <w:r>
        <w:rPr>
          <w:rFonts w:hint="eastAsia" w:ascii="宋体" w:hAnsi="宋体" w:eastAsia="宋体" w:cs="宋体"/>
          <w:color w:val="auto"/>
          <w:kern w:val="2"/>
          <w:sz w:val="24"/>
          <w:szCs w:val="24"/>
          <w:highlight w:val="none"/>
          <w:lang w:val="en-US" w:eastAsia="zh-CN"/>
        </w:rPr>
        <w:t>。</w:t>
      </w:r>
      <w:r>
        <w:rPr>
          <w:rFonts w:hint="eastAsia" w:ascii="宋体" w:hAnsi="宋体" w:cs="宋体"/>
          <w:sz w:val="24"/>
          <w:szCs w:val="24"/>
        </w:rPr>
        <w:t>由中标人承担招标代理服务费。</w:t>
      </w:r>
    </w:p>
    <w:p w14:paraId="101E22E8">
      <w:pPr>
        <w:pStyle w:val="4"/>
        <w:bidi w:val="0"/>
        <w:rPr>
          <w:rFonts w:hint="eastAsia" w:ascii="宋体" w:hAnsi="宋体" w:eastAsia="宋体" w:cs="宋体"/>
          <w:lang w:val="en-US" w:eastAsia="zh-CN"/>
        </w:rPr>
      </w:pPr>
      <w:r>
        <w:rPr>
          <w:rFonts w:hint="eastAsia" w:ascii="宋体" w:hAnsi="宋体" w:eastAsia="宋体" w:cs="宋体"/>
          <w:lang w:val="zh-CN" w:eastAsia="zh-CN"/>
        </w:rPr>
        <w:t>十</w:t>
      </w:r>
      <w:r>
        <w:rPr>
          <w:rFonts w:hint="eastAsia" w:ascii="宋体" w:hAnsi="宋体" w:eastAsia="宋体" w:cs="宋体"/>
          <w:lang w:val="en-US" w:eastAsia="zh-CN"/>
        </w:rPr>
        <w:t>八</w:t>
      </w:r>
      <w:r>
        <w:rPr>
          <w:rFonts w:hint="eastAsia" w:ascii="宋体" w:hAnsi="宋体" w:eastAsia="宋体" w:cs="宋体"/>
          <w:lang w:val="zh-CN" w:eastAsia="zh-CN"/>
        </w:rPr>
        <w:t>、</w:t>
      </w:r>
      <w:r>
        <w:rPr>
          <w:rFonts w:hint="eastAsia" w:ascii="宋体" w:hAnsi="宋体" w:eastAsia="宋体" w:cs="宋体"/>
          <w:lang w:val="en-US" w:eastAsia="zh-CN"/>
        </w:rPr>
        <w:t>重新招标</w:t>
      </w:r>
    </w:p>
    <w:p w14:paraId="1943D243">
      <w:pPr>
        <w:spacing w:line="360" w:lineRule="auto"/>
        <w:ind w:firstLine="540" w:firstLineChars="225"/>
        <w:rPr>
          <w:rFonts w:hint="eastAsia" w:ascii="宋体" w:hAnsi="宋体" w:eastAsia="宋体" w:cs="宋体"/>
          <w:color w:val="auto"/>
          <w:spacing w:val="0"/>
          <w:w w:val="100"/>
          <w:position w:val="0"/>
          <w:sz w:val="24"/>
        </w:rPr>
      </w:pPr>
      <w:r>
        <w:rPr>
          <w:rFonts w:hint="eastAsia" w:ascii="宋体" w:hAnsi="宋体" w:eastAsia="宋体" w:cs="宋体"/>
          <w:color w:val="auto"/>
          <w:spacing w:val="0"/>
          <w:w w:val="100"/>
          <w:position w:val="0"/>
          <w:sz w:val="24"/>
        </w:rPr>
        <w:t>有下列情形之一的，</w:t>
      </w:r>
      <w:r>
        <w:rPr>
          <w:rFonts w:hint="eastAsia" w:ascii="宋体" w:hAnsi="宋体" w:eastAsia="宋体" w:cs="宋体"/>
          <w:color w:val="auto"/>
          <w:spacing w:val="0"/>
          <w:w w:val="100"/>
          <w:position w:val="0"/>
          <w:sz w:val="24"/>
          <w:lang w:eastAsia="zh-CN"/>
        </w:rPr>
        <w:t>采购人</w:t>
      </w:r>
      <w:r>
        <w:rPr>
          <w:rFonts w:hint="eastAsia" w:ascii="宋体" w:hAnsi="宋体" w:eastAsia="宋体" w:cs="宋体"/>
          <w:color w:val="auto"/>
          <w:spacing w:val="0"/>
          <w:w w:val="100"/>
          <w:position w:val="0"/>
          <w:sz w:val="24"/>
        </w:rPr>
        <w:t>将重新招标：</w:t>
      </w:r>
    </w:p>
    <w:p w14:paraId="332A2353">
      <w:pPr>
        <w:spacing w:line="360" w:lineRule="auto"/>
        <w:ind w:firstLine="540" w:firstLineChars="225"/>
        <w:rPr>
          <w:rFonts w:hint="eastAsia" w:ascii="宋体" w:hAnsi="宋体" w:eastAsia="宋体" w:cs="宋体"/>
          <w:color w:val="auto"/>
          <w:spacing w:val="0"/>
          <w:w w:val="100"/>
          <w:position w:val="0"/>
          <w:sz w:val="24"/>
        </w:rPr>
      </w:pPr>
      <w:r>
        <w:rPr>
          <w:rFonts w:hint="eastAsia" w:ascii="宋体" w:hAnsi="宋体" w:eastAsia="宋体" w:cs="宋体"/>
          <w:color w:val="auto"/>
          <w:spacing w:val="0"/>
          <w:w w:val="100"/>
          <w:position w:val="0"/>
          <w:sz w:val="24"/>
        </w:rPr>
        <w:t>（1）至</w:t>
      </w:r>
      <w:r>
        <w:rPr>
          <w:rFonts w:hint="eastAsia" w:ascii="宋体" w:hAnsi="宋体" w:eastAsia="宋体" w:cs="宋体"/>
          <w:color w:val="auto"/>
          <w:spacing w:val="0"/>
          <w:w w:val="100"/>
          <w:position w:val="0"/>
          <w:sz w:val="24"/>
          <w:lang w:eastAsia="zh-CN"/>
        </w:rPr>
        <w:t>磋商</w:t>
      </w:r>
      <w:r>
        <w:rPr>
          <w:rFonts w:hint="eastAsia" w:ascii="宋体" w:hAnsi="宋体" w:eastAsia="宋体" w:cs="宋体"/>
          <w:color w:val="auto"/>
          <w:spacing w:val="0"/>
          <w:w w:val="100"/>
          <w:position w:val="0"/>
          <w:sz w:val="24"/>
        </w:rPr>
        <w:t>截止时间，</w:t>
      </w:r>
      <w:r>
        <w:rPr>
          <w:rFonts w:hint="eastAsia" w:ascii="宋体" w:hAnsi="宋体" w:eastAsia="宋体" w:cs="宋体"/>
          <w:color w:val="auto"/>
          <w:spacing w:val="0"/>
          <w:w w:val="100"/>
          <w:position w:val="0"/>
          <w:sz w:val="24"/>
          <w:szCs w:val="24"/>
          <w:lang w:eastAsia="zh-CN"/>
        </w:rPr>
        <w:t>供应商</w:t>
      </w:r>
      <w:r>
        <w:rPr>
          <w:rFonts w:hint="eastAsia" w:ascii="宋体" w:hAnsi="宋体" w:eastAsia="宋体" w:cs="宋体"/>
          <w:color w:val="auto"/>
          <w:spacing w:val="0"/>
          <w:w w:val="100"/>
          <w:position w:val="0"/>
          <w:sz w:val="24"/>
        </w:rPr>
        <w:t>少于3个的；</w:t>
      </w:r>
    </w:p>
    <w:p w14:paraId="7683851E">
      <w:pPr>
        <w:spacing w:line="360" w:lineRule="auto"/>
        <w:ind w:firstLine="540" w:firstLineChars="225"/>
        <w:rPr>
          <w:rFonts w:hint="eastAsia" w:ascii="宋体" w:hAnsi="宋体" w:eastAsia="宋体" w:cs="宋体"/>
          <w:color w:val="auto"/>
          <w:spacing w:val="0"/>
          <w:w w:val="100"/>
          <w:position w:val="0"/>
          <w:sz w:val="24"/>
        </w:rPr>
      </w:pPr>
      <w:r>
        <w:rPr>
          <w:rFonts w:hint="eastAsia" w:ascii="宋体" w:hAnsi="宋体" w:eastAsia="宋体" w:cs="宋体"/>
          <w:color w:val="auto"/>
          <w:spacing w:val="0"/>
          <w:w w:val="100"/>
          <w:position w:val="0"/>
          <w:sz w:val="24"/>
        </w:rPr>
        <w:t>（2）</w:t>
      </w:r>
      <w:r>
        <w:rPr>
          <w:rFonts w:hint="eastAsia" w:ascii="宋体" w:hAnsi="宋体" w:eastAsia="宋体" w:cs="宋体"/>
          <w:color w:val="auto"/>
          <w:spacing w:val="0"/>
          <w:w w:val="100"/>
          <w:position w:val="0"/>
          <w:sz w:val="24"/>
          <w:lang w:eastAsia="zh-CN"/>
        </w:rPr>
        <w:t>磋商</w:t>
      </w:r>
      <w:r>
        <w:rPr>
          <w:rFonts w:hint="eastAsia" w:ascii="宋体" w:hAnsi="宋体" w:eastAsia="宋体" w:cs="宋体"/>
          <w:color w:val="auto"/>
          <w:spacing w:val="0"/>
          <w:w w:val="100"/>
          <w:position w:val="0"/>
          <w:sz w:val="24"/>
        </w:rPr>
        <w:t>后经</w:t>
      </w:r>
      <w:r>
        <w:rPr>
          <w:rFonts w:hint="eastAsia" w:ascii="宋体" w:hAnsi="宋体" w:eastAsia="宋体" w:cs="宋体"/>
          <w:color w:val="auto"/>
          <w:spacing w:val="0"/>
          <w:w w:val="100"/>
          <w:position w:val="0"/>
          <w:sz w:val="24"/>
          <w:lang w:eastAsia="zh-CN"/>
        </w:rPr>
        <w:t>评审小组</w:t>
      </w:r>
      <w:r>
        <w:rPr>
          <w:rFonts w:hint="eastAsia" w:ascii="宋体" w:hAnsi="宋体" w:eastAsia="宋体" w:cs="宋体"/>
          <w:color w:val="auto"/>
          <w:spacing w:val="0"/>
          <w:w w:val="100"/>
          <w:position w:val="0"/>
          <w:sz w:val="24"/>
        </w:rPr>
        <w:t>评审合格的</w:t>
      </w:r>
      <w:r>
        <w:rPr>
          <w:rFonts w:hint="eastAsia" w:ascii="宋体" w:hAnsi="宋体" w:eastAsia="宋体" w:cs="宋体"/>
          <w:color w:val="auto"/>
          <w:spacing w:val="0"/>
          <w:w w:val="100"/>
          <w:position w:val="0"/>
          <w:sz w:val="24"/>
          <w:szCs w:val="24"/>
          <w:lang w:eastAsia="zh-CN"/>
        </w:rPr>
        <w:t>供应商</w:t>
      </w:r>
      <w:r>
        <w:rPr>
          <w:rFonts w:hint="eastAsia" w:ascii="宋体" w:hAnsi="宋体" w:eastAsia="宋体" w:cs="宋体"/>
          <w:color w:val="auto"/>
          <w:spacing w:val="0"/>
          <w:w w:val="100"/>
          <w:position w:val="0"/>
          <w:sz w:val="24"/>
        </w:rPr>
        <w:t>少于3个；</w:t>
      </w:r>
    </w:p>
    <w:p w14:paraId="4375D16C">
      <w:pPr>
        <w:spacing w:line="360" w:lineRule="auto"/>
        <w:ind w:firstLine="540" w:firstLineChars="225"/>
        <w:rPr>
          <w:rFonts w:hint="eastAsia" w:ascii="宋体" w:hAnsi="宋体" w:eastAsia="宋体" w:cs="宋体"/>
          <w:color w:val="auto"/>
          <w:spacing w:val="0"/>
          <w:w w:val="100"/>
          <w:position w:val="0"/>
          <w:sz w:val="24"/>
        </w:rPr>
      </w:pPr>
      <w:r>
        <w:rPr>
          <w:rFonts w:hint="eastAsia" w:ascii="宋体" w:hAnsi="宋体" w:eastAsia="宋体" w:cs="宋体"/>
          <w:color w:val="auto"/>
          <w:spacing w:val="0"/>
          <w:w w:val="100"/>
          <w:position w:val="0"/>
          <w:sz w:val="24"/>
        </w:rPr>
        <w:t>（3）经</w:t>
      </w:r>
      <w:r>
        <w:rPr>
          <w:rFonts w:hint="eastAsia" w:ascii="宋体" w:hAnsi="宋体" w:eastAsia="宋体" w:cs="宋体"/>
          <w:color w:val="auto"/>
          <w:spacing w:val="0"/>
          <w:w w:val="100"/>
          <w:position w:val="0"/>
          <w:sz w:val="24"/>
          <w:lang w:eastAsia="zh-CN"/>
        </w:rPr>
        <w:t>评审小组</w:t>
      </w:r>
      <w:r>
        <w:rPr>
          <w:rFonts w:hint="eastAsia" w:ascii="宋体" w:hAnsi="宋体" w:eastAsia="宋体" w:cs="宋体"/>
          <w:color w:val="auto"/>
          <w:spacing w:val="0"/>
          <w:w w:val="100"/>
          <w:position w:val="0"/>
          <w:sz w:val="24"/>
        </w:rPr>
        <w:t>评审后否决所有</w:t>
      </w:r>
      <w:r>
        <w:rPr>
          <w:rFonts w:hint="eastAsia" w:ascii="宋体" w:hAnsi="宋体" w:eastAsia="宋体" w:cs="宋体"/>
          <w:color w:val="auto"/>
          <w:spacing w:val="0"/>
          <w:w w:val="100"/>
          <w:position w:val="0"/>
          <w:sz w:val="24"/>
          <w:lang w:eastAsia="zh-CN"/>
        </w:rPr>
        <w:t>投标（响应）</w:t>
      </w:r>
      <w:r>
        <w:rPr>
          <w:rFonts w:hint="eastAsia" w:ascii="宋体" w:hAnsi="宋体" w:eastAsia="宋体" w:cs="宋体"/>
          <w:color w:val="auto"/>
          <w:spacing w:val="0"/>
          <w:w w:val="100"/>
          <w:position w:val="0"/>
          <w:sz w:val="24"/>
        </w:rPr>
        <w:t>的。</w:t>
      </w:r>
    </w:p>
    <w:p w14:paraId="70943385">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p>
    <w:p w14:paraId="3EED68CF">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p>
    <w:p w14:paraId="5FBB4098">
      <w:pPr>
        <w:pStyle w:val="3"/>
        <w:spacing w:before="0" w:after="0" w:line="480" w:lineRule="exact"/>
        <w:rPr>
          <w:rFonts w:hint="eastAsia" w:ascii="宋体" w:hAnsi="宋体" w:eastAsia="宋体" w:cs="宋体"/>
          <w:color w:val="auto"/>
          <w:kern w:val="0"/>
          <w:sz w:val="28"/>
          <w:szCs w:val="28"/>
          <w:highlight w:val="none"/>
        </w:rPr>
      </w:pPr>
      <w:bookmarkStart w:id="10" w:name="_Toc15592"/>
      <w:bookmarkStart w:id="11" w:name="_Toc26502"/>
      <w:bookmarkStart w:id="12" w:name="_Toc27708"/>
      <w:bookmarkStart w:id="13" w:name="_Toc458848823"/>
      <w:bookmarkStart w:id="14" w:name="_Toc11535"/>
      <w:bookmarkStart w:id="15" w:name="_Toc458848971"/>
      <w:bookmarkStart w:id="16" w:name="_Toc458848738"/>
    </w:p>
    <w:bookmarkEnd w:id="10"/>
    <w:bookmarkEnd w:id="11"/>
    <w:bookmarkEnd w:id="12"/>
    <w:bookmarkEnd w:id="13"/>
    <w:bookmarkEnd w:id="14"/>
    <w:bookmarkEnd w:id="15"/>
    <w:bookmarkEnd w:id="16"/>
    <w:p w14:paraId="6B091946">
      <w:pPr>
        <w:pStyle w:val="2"/>
        <w:numPr>
          <w:ilvl w:val="0"/>
          <w:numId w:val="4"/>
        </w:numPr>
        <w:spacing w:before="0" w:after="0" w:line="36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br w:type="page"/>
      </w:r>
      <w:r>
        <w:rPr>
          <w:rFonts w:hint="eastAsia" w:ascii="宋体" w:hAnsi="宋体" w:eastAsia="宋体" w:cs="宋体"/>
          <w:color w:val="auto"/>
          <w:kern w:val="0"/>
          <w:highlight w:val="none"/>
          <w:lang w:val="en-US" w:eastAsia="zh-CN"/>
        </w:rPr>
        <w:t xml:space="preserve"> </w:t>
      </w:r>
      <w:r>
        <w:rPr>
          <w:rFonts w:hint="eastAsia" w:ascii="宋体" w:hAnsi="宋体" w:eastAsia="宋体" w:cs="宋体"/>
          <w:color w:val="auto"/>
          <w:kern w:val="0"/>
          <w:highlight w:val="none"/>
        </w:rPr>
        <w:t xml:space="preserve"> </w:t>
      </w:r>
      <w:bookmarkStart w:id="17" w:name="_Toc2157"/>
      <w:r>
        <w:rPr>
          <w:rFonts w:hint="eastAsia" w:ascii="宋体" w:hAnsi="宋体" w:eastAsia="宋体" w:cs="宋体"/>
          <w:color w:val="auto"/>
          <w:kern w:val="0"/>
          <w:highlight w:val="none"/>
          <w:lang w:eastAsia="zh-CN"/>
        </w:rPr>
        <w:t>磋商评审办法</w:t>
      </w:r>
      <w:bookmarkEnd w:id="17"/>
    </w:p>
    <w:p w14:paraId="7F6CB237">
      <w:pPr>
        <w:pStyle w:val="4"/>
        <w:bidi w:val="0"/>
        <w:rPr>
          <w:rFonts w:hint="eastAsia" w:ascii="宋体" w:hAnsi="宋体" w:eastAsia="宋体" w:cs="宋体"/>
        </w:rPr>
      </w:pPr>
      <w:r>
        <w:rPr>
          <w:rFonts w:hint="eastAsia" w:ascii="宋体" w:hAnsi="宋体" w:eastAsia="宋体" w:cs="宋体"/>
        </w:rPr>
        <w:t>一、总则</w:t>
      </w:r>
    </w:p>
    <w:p w14:paraId="10E2DC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根据《中华人民共和国政府采购法》及实施条例、《政府采购竞争性磋商采购方式管理暂行办法》等相关法律法规，结合采购项目特点制定本磋商办法。</w:t>
      </w:r>
    </w:p>
    <w:p w14:paraId="20D5A19C">
      <w:pPr>
        <w:pStyle w:val="4"/>
        <w:bidi w:val="0"/>
        <w:rPr>
          <w:rFonts w:hint="eastAsia" w:ascii="宋体" w:hAnsi="宋体" w:eastAsia="宋体" w:cs="宋体"/>
          <w:lang w:val="en-US" w:eastAsia="zh-CN"/>
        </w:rPr>
      </w:pPr>
      <w:r>
        <w:rPr>
          <w:rFonts w:hint="eastAsia" w:ascii="宋体" w:hAnsi="宋体" w:eastAsia="宋体" w:cs="宋体"/>
          <w:lang w:val="en-US" w:eastAsia="zh-CN"/>
        </w:rPr>
        <w:t>二、资格审查</w:t>
      </w:r>
    </w:p>
    <w:p w14:paraId="40842C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（一）供应商须提供资格证明文件，未提供的为无效响应。</w:t>
      </w:r>
    </w:p>
    <w:p w14:paraId="04A3EB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lang w:val="en-US" w:eastAsia="zh-CN"/>
        </w:rPr>
      </w:pPr>
      <w:r>
        <w:rPr>
          <w:rFonts w:hint="eastAsia" w:ascii="宋体" w:hAnsi="宋体" w:eastAsia="宋体" w:cs="宋体"/>
          <w:lang w:val="en-US" w:eastAsia="zh-CN"/>
        </w:rPr>
        <w:t>（二）</w:t>
      </w:r>
      <w:r>
        <w:rPr>
          <w:rFonts w:hint="eastAsia" w:cs="宋体"/>
          <w:lang w:val="en-US" w:eastAsia="zh-CN"/>
        </w:rPr>
        <w:t>采购人</w:t>
      </w:r>
      <w:r>
        <w:rPr>
          <w:rFonts w:hint="eastAsia" w:ascii="宋体" w:hAnsi="宋体" w:eastAsia="宋体" w:cs="宋体"/>
          <w:highlight w:val="none"/>
          <w:lang w:val="en-US" w:eastAsia="zh-CN"/>
        </w:rPr>
        <w:t>对供应商响应文件中的磋商资格证明文件进行审查，有一项不符合或不满足的为无效响应。</w:t>
      </w:r>
    </w:p>
    <w:p w14:paraId="014642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（三）凡未通过资格评审响应文件即作为无效响应处理，不得进入后续评审工作。</w:t>
      </w:r>
    </w:p>
    <w:p w14:paraId="0E7826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（四）资格审查标准详见本章附表 1。</w:t>
      </w:r>
    </w:p>
    <w:p w14:paraId="311492F1">
      <w:pPr>
        <w:pStyle w:val="4"/>
        <w:bidi w:val="0"/>
        <w:rPr>
          <w:rFonts w:hint="eastAsia" w:ascii="宋体" w:hAnsi="宋体" w:eastAsia="宋体" w:cs="宋体"/>
        </w:rPr>
      </w:pPr>
      <w:r>
        <w:rPr>
          <w:rFonts w:hint="eastAsia" w:ascii="宋体" w:hAnsi="宋体" w:eastAsia="宋体" w:cs="宋体"/>
          <w:lang w:val="en-US" w:eastAsia="zh-CN"/>
        </w:rPr>
        <w:t>三</w:t>
      </w:r>
      <w:r>
        <w:rPr>
          <w:rFonts w:hint="eastAsia" w:ascii="宋体" w:hAnsi="宋体" w:eastAsia="宋体" w:cs="宋体"/>
        </w:rPr>
        <w:t>、评审组织</w:t>
      </w:r>
    </w:p>
    <w:p w14:paraId="427665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采购代理机构负责组织评审工作，并履行下列职责：</w:t>
      </w:r>
    </w:p>
    <w:p w14:paraId="5D8537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cs="宋体"/>
          <w:lang w:val="en-US" w:eastAsia="zh-CN"/>
        </w:rPr>
        <w:t>1</w:t>
      </w:r>
      <w:r>
        <w:rPr>
          <w:rFonts w:hint="eastAsia" w:ascii="宋体" w:hAnsi="宋体" w:eastAsia="宋体" w:cs="宋体"/>
          <w:lang w:val="en-US" w:eastAsia="zh-CN"/>
        </w:rPr>
        <w:t>.宣布评审纪律；</w:t>
      </w:r>
    </w:p>
    <w:p w14:paraId="5FF7D4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lang w:val="en-US" w:eastAsia="zh-CN"/>
        </w:rPr>
      </w:pPr>
      <w:r>
        <w:rPr>
          <w:rFonts w:hint="eastAsia" w:cs="宋体"/>
          <w:lang w:val="en-US" w:eastAsia="zh-CN"/>
        </w:rPr>
        <w:t>2</w:t>
      </w:r>
      <w:r>
        <w:rPr>
          <w:rFonts w:hint="eastAsia" w:ascii="宋体" w:hAnsi="宋体" w:eastAsia="宋体" w:cs="宋体"/>
          <w:lang w:val="en-US" w:eastAsia="zh-CN"/>
        </w:rPr>
        <w:t>.公布供应商名单</w:t>
      </w:r>
      <w:r>
        <w:rPr>
          <w:rFonts w:hint="eastAsia" w:cs="宋体"/>
          <w:lang w:val="en-US" w:eastAsia="zh-CN"/>
        </w:rPr>
        <w:t xml:space="preserve">； </w:t>
      </w:r>
    </w:p>
    <w:p w14:paraId="7C887E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cs="宋体"/>
          <w:lang w:val="en-US" w:eastAsia="zh-CN"/>
        </w:rPr>
        <w:t>3</w:t>
      </w:r>
      <w:r>
        <w:rPr>
          <w:rFonts w:hint="eastAsia" w:ascii="宋体" w:hAnsi="宋体" w:eastAsia="宋体" w:cs="宋体"/>
          <w:lang w:val="en-US" w:eastAsia="zh-CN"/>
        </w:rPr>
        <w:t>.核对评审结果；</w:t>
      </w:r>
    </w:p>
    <w:p w14:paraId="01EF26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cs="宋体"/>
          <w:lang w:val="en-US" w:eastAsia="zh-CN"/>
        </w:rPr>
        <w:t>4</w:t>
      </w:r>
      <w:r>
        <w:rPr>
          <w:rFonts w:hint="eastAsia" w:ascii="宋体" w:hAnsi="宋体" w:eastAsia="宋体" w:cs="宋体"/>
          <w:lang w:val="en-US" w:eastAsia="zh-CN"/>
        </w:rPr>
        <w:t>.评审工作完成后，按照标准向评审专家支付劳务报酬和异地评审差旅费；</w:t>
      </w:r>
    </w:p>
    <w:p w14:paraId="00A644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cs="宋体"/>
          <w:lang w:val="en-US" w:eastAsia="zh-CN"/>
        </w:rPr>
        <w:t>5</w:t>
      </w:r>
      <w:r>
        <w:rPr>
          <w:rFonts w:hint="eastAsia" w:ascii="宋体" w:hAnsi="宋体" w:eastAsia="宋体" w:cs="宋体"/>
          <w:lang w:val="en-US" w:eastAsia="zh-CN"/>
        </w:rPr>
        <w:t>.处理与评审有关的其他事项。</w:t>
      </w:r>
    </w:p>
    <w:p w14:paraId="284CBDFA">
      <w:pPr>
        <w:pStyle w:val="4"/>
        <w:bidi w:val="0"/>
        <w:rPr>
          <w:rFonts w:hint="eastAsia" w:ascii="宋体" w:hAnsi="宋体" w:eastAsia="宋体" w:cs="宋体"/>
        </w:rPr>
      </w:pPr>
      <w:r>
        <w:rPr>
          <w:rFonts w:hint="eastAsia" w:ascii="宋体" w:hAnsi="宋体" w:eastAsia="宋体" w:cs="宋体"/>
          <w:lang w:val="en-US" w:eastAsia="zh-CN"/>
        </w:rPr>
        <w:t>四</w:t>
      </w:r>
      <w:r>
        <w:rPr>
          <w:rFonts w:hint="eastAsia" w:ascii="宋体" w:hAnsi="宋体" w:eastAsia="宋体" w:cs="宋体"/>
        </w:rPr>
        <w:t>、磋商小组</w:t>
      </w:r>
    </w:p>
    <w:p w14:paraId="37949F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（一）磋商小组依法组建。</w:t>
      </w:r>
    </w:p>
    <w:p w14:paraId="1404A3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（二）磋商小组负责具体评审事务，并独立履行下列职责：</w:t>
      </w:r>
    </w:p>
    <w:p w14:paraId="76253C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1.审查、评价响应文件是否符合磋商文件的商务、技术等实质性要求；</w:t>
      </w:r>
    </w:p>
    <w:p w14:paraId="7AE677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2.要求供应商对响应文件有关事项做出澄清或者说明；</w:t>
      </w:r>
    </w:p>
    <w:p w14:paraId="312CAF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3.集中与单一供应商进行磋商</w:t>
      </w:r>
    </w:p>
    <w:p w14:paraId="4CB2E8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4.对响应文件进行比较和评价；</w:t>
      </w:r>
    </w:p>
    <w:p w14:paraId="2D3A50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5.确定成交候选人名单；</w:t>
      </w:r>
    </w:p>
    <w:p w14:paraId="5BE0F2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6.向采购人、采购代理机构或者有关部门报告评审中发现的违法行为；</w:t>
      </w:r>
    </w:p>
    <w:p w14:paraId="0DEBF8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7.解答有关方面对政府采购评审工作中有关问题的询问，配合采购人或者代理机构答复供应商质疑，配合财政部门的投诉处理工作等事宜。</w:t>
      </w:r>
    </w:p>
    <w:p w14:paraId="6498EE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（三）磋商小组成员应当按照客观、公正、审慎的原则，根据磋商文件规定的评审 程序、评审方法和评审标准进行独立评审，对未实质性响应磋商文件的响应文件按无效 响应处理并告知供应商。磋商小组在评审期间对需要共同认定的事项存在争议的，应按少数服从多数的原则做出结论，按结论进行评审。</w:t>
      </w:r>
    </w:p>
    <w:p w14:paraId="5C1734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（四）磋商小组发现磋商文件存在歧义、重大缺陷导致评审工作无法进行，或者磋 商文件内容违反国家有关强制性规定的，应当停止评审工作，与采购人或者采购代理机构沟通并作书面记录。</w:t>
      </w:r>
    </w:p>
    <w:p w14:paraId="1D9E29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五）评审中因磋商小组成员缺席、回避或者健康等特殊原因导致磋商小组组成不符合规定的，采购代理机构将依法补足后继续评审。被更换的磋商小组成员所作出的评审意见无效。无法及时补足磋商小组成员的，采购代理机构将停止评审活动，封存所有响应文件和开标、评审资料，依法重新组建磋商小组进行评审。原磋商小组所作出的评审意见无效。</w:t>
      </w:r>
    </w:p>
    <w:p w14:paraId="6894AA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（六）磋商小组评审专家与供应商存在以下利害关系之一的，应当回避：</w:t>
      </w:r>
    </w:p>
    <w:p w14:paraId="625676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1.参加采购活动前三年内，与供应商存在劳动关系，或者担任过供应商的董事、监事，或者是供应商的控股股东或实际控制人的；</w:t>
      </w:r>
    </w:p>
    <w:p w14:paraId="5B69CA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2.参加采购活动前 3 年内与投标人发生法律纠纷的；</w:t>
      </w:r>
    </w:p>
    <w:p w14:paraId="48080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3.与供应商的法定代表人或者负责人有夫妻、直系血亲、三代以内旁系血亲或者近姻亲关系的；</w:t>
      </w:r>
    </w:p>
    <w:p w14:paraId="7084A8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4.与供应商有其他可能影响政府采购活动公平、公正进行的关系的。</w:t>
      </w:r>
    </w:p>
    <w:p w14:paraId="26F038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评审专家发现本人与参加采购活动的供应商有利害关系的，应当主动提出回避。评 审专家发现本人与参加采购活动的其他评委有利害（亲属）关系的，应当主动提出回避。采购人或者采购代理机构发现评审专家与参加采购活动的供应商、其他评审专家有利害关系的，将要求其回避。来自同一单位的评审专家由评审专家自行商定回避退出办法，如协商不一致的采购代理机构将要求共同回避（退休的除外）。</w:t>
      </w:r>
    </w:p>
    <w:p w14:paraId="13626572">
      <w:pPr>
        <w:pStyle w:val="4"/>
        <w:bidi w:val="0"/>
        <w:rPr>
          <w:rFonts w:hint="eastAsia" w:ascii="宋体" w:hAnsi="宋体" w:eastAsia="宋体" w:cs="宋体"/>
        </w:rPr>
      </w:pPr>
      <w:r>
        <w:rPr>
          <w:rFonts w:hint="eastAsia" w:ascii="宋体" w:hAnsi="宋体" w:eastAsia="宋体" w:cs="宋体"/>
          <w:lang w:val="en-US" w:eastAsia="zh-CN"/>
        </w:rPr>
        <w:t>五</w:t>
      </w:r>
      <w:r>
        <w:rPr>
          <w:rFonts w:hint="eastAsia" w:ascii="宋体" w:hAnsi="宋体" w:eastAsia="宋体" w:cs="宋体"/>
        </w:rPr>
        <w:t>、评审办法</w:t>
      </w:r>
    </w:p>
    <w:p w14:paraId="6DBF58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（一）合格供应商不足3 家的，不予评审。</w:t>
      </w:r>
    </w:p>
    <w:p w14:paraId="6A6887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（二）符合性审查：</w:t>
      </w:r>
    </w:p>
    <w:p w14:paraId="2C1476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1.磋商小组按照磋商文件中规定的评审方法和标准对资格审查合格供应商的响应文件进行符合性审查，有一项不符合或不满足的为无效响应，审查合格的供应商参加下一阶段的评审。</w:t>
      </w:r>
    </w:p>
    <w:p w14:paraId="10683A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2.符合性审查标准详见本章附表 2。</w:t>
      </w:r>
    </w:p>
    <w:p w14:paraId="64FC45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（三）磋商</w:t>
      </w:r>
    </w:p>
    <w:p w14:paraId="362FC5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磋商小组只与符合性响应性审查合格的供应商进行磋商。</w:t>
      </w:r>
    </w:p>
    <w:p w14:paraId="06F1E8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1.磋商小组所有成员集中与单一供应商分别进行磋商</w:t>
      </w:r>
      <w:r>
        <w:rPr>
          <w:rFonts w:hint="eastAsia" w:cs="宋体"/>
          <w:lang w:val="en-US" w:eastAsia="zh-CN"/>
        </w:rPr>
        <w:t>，并对</w:t>
      </w:r>
      <w:r>
        <w:rPr>
          <w:rFonts w:hint="eastAsia" w:ascii="宋体" w:hAnsi="宋体" w:eastAsia="宋体" w:cs="宋体"/>
          <w:lang w:val="en-US" w:eastAsia="zh-CN"/>
        </w:rPr>
        <w:t>过程和重要磋商内容进行记录。</w:t>
      </w:r>
    </w:p>
    <w:p w14:paraId="19832B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2.在磋商过程中磋商小组可以根据磋商文件和磋商情况实质性变动采购需求中的技术、服务要求以及合同草案条款，但不得变动磋商文件中的其他内容。实质性变动的内容须经采购人代表确认。</w:t>
      </w:r>
    </w:p>
    <w:p w14:paraId="5451B3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对磋商文件作出的实质性变动是磋商文件的有效组成部分，磋商小组应当及时以书面形式同时通知所有参加磋商的供应商。</w:t>
      </w:r>
    </w:p>
    <w:p w14:paraId="6A1E3D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供应商应当按照竞争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1A6D04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3.最终报价</w:t>
      </w:r>
    </w:p>
    <w:p w14:paraId="096EA3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（1）竞争性磋商文件能够详细列明采购标的的技术、服务要求的，磋商结束后，磋商小组应当要求所有实质性响应的供应商在规定时间内提交最后报价，提交最后报价的供应商不得少于3家。</w:t>
      </w:r>
    </w:p>
    <w:p w14:paraId="610339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竞争性磋商文件不能详细列明采购标的的技术、服务要求，需经磋商由供应商提供最终技术方案或解决方案的，磋商结束后，磋商小组应当按照少数服从多数的原则投票推荐3家以上供应商的设计方案或者解决方案，并要求其在规定时间内提交最后报价。</w:t>
      </w:r>
    </w:p>
    <w:p w14:paraId="0F5420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（3）符合《政府采购竞争性磋商采购方式管理暂行办法》第三条第四项情形的，提交最后报价的供应商可以为2家。</w:t>
      </w:r>
    </w:p>
    <w:p w14:paraId="0815FD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（4）供应商应当按照磋商文件的变动情况（如有）和磋商小组的要求做出最终响应，在现场规定时间内将最终报价表由供应商法定代表人或其</w:t>
      </w:r>
      <w:r>
        <w:rPr>
          <w:rFonts w:hint="eastAsia" w:ascii="宋体" w:hAnsi="宋体" w:eastAsia="宋体" w:cs="宋体"/>
          <w:color w:val="auto"/>
          <w:spacing w:val="4"/>
          <w:sz w:val="24"/>
          <w:szCs w:val="24"/>
          <w:highlight w:val="none"/>
        </w:rPr>
        <w:t>被授权人</w:t>
      </w:r>
      <w:r>
        <w:rPr>
          <w:rFonts w:hint="eastAsia" w:ascii="宋体" w:hAnsi="宋体" w:eastAsia="宋体" w:cs="宋体"/>
          <w:lang w:val="en-US" w:eastAsia="zh-CN"/>
        </w:rPr>
        <w:t>签字后送交磋商小组，性逾时不交的，视同放弃磋商。如磋商文件及采购需求无实质变动，每次报价不得超过上一次报价。特殊情况，由磋商小组确定是否进行多轮报价。</w:t>
      </w:r>
    </w:p>
    <w:p w14:paraId="3CA34A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（5）已递交响应文件的供应商，在递交最终报价之前，可以根据磋商情况退出磋商。采购人、采购代理机构应当退还退出磋商供应商的磋商保证金。</w:t>
      </w:r>
    </w:p>
    <w:p w14:paraId="25889A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（五）详细评审</w:t>
      </w:r>
    </w:p>
    <w:p w14:paraId="2CB322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磋商小组只对磋商最终响应的供应商进行评价和比较。</w:t>
      </w:r>
    </w:p>
    <w:p w14:paraId="29F1B8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1.本项目评价和比较采用综合评分法。</w:t>
      </w:r>
    </w:p>
    <w:p w14:paraId="73D232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2.评分标准见附件3。</w:t>
      </w:r>
    </w:p>
    <w:p w14:paraId="6DA898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（六）评审过程中的询标与澄清</w:t>
      </w:r>
    </w:p>
    <w:p w14:paraId="0D91B6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9134F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磋商小组要求供应商澄清、说明或者更正响应文件将以书面形式作出。供应商的澄清、说明或者更正应当由法定代表人或其授权代表签字或者加盖公章。由授权代表签字 的，应当附法定代表人授权书（供应商代表身份查验符合的除外）。供应商为自然人的，应当由本人签字并附身份证明。</w:t>
      </w:r>
    </w:p>
    <w:p w14:paraId="64F9DE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2.磋商小组认为有必要对需要询标、澄清的供应商采取询标时，各供应商应对需要澄清的问题进行文字澄清，直至满足磋商小组的要求。</w:t>
      </w:r>
    </w:p>
    <w:p w14:paraId="05AF87E1">
      <w:pPr>
        <w:pStyle w:val="4"/>
        <w:bidi w:val="0"/>
        <w:rPr>
          <w:rFonts w:hint="eastAsia" w:ascii="宋体" w:hAnsi="宋体" w:eastAsia="宋体" w:cs="宋体"/>
        </w:rPr>
      </w:pPr>
      <w:r>
        <w:rPr>
          <w:rFonts w:hint="eastAsia" w:ascii="宋体" w:hAnsi="宋体" w:eastAsia="宋体" w:cs="宋体"/>
          <w:lang w:val="en-US" w:eastAsia="zh-CN"/>
        </w:rPr>
        <w:t>六</w:t>
      </w:r>
      <w:r>
        <w:rPr>
          <w:rFonts w:hint="eastAsia" w:ascii="宋体" w:hAnsi="宋体" w:eastAsia="宋体" w:cs="宋体"/>
        </w:rPr>
        <w:t>、无效文件评定</w:t>
      </w:r>
    </w:p>
    <w:p w14:paraId="358B8D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供应商或响应存在下列情况之一的，响应无效：</w:t>
      </w:r>
    </w:p>
    <w:p w14:paraId="6EB77A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1.不是通过正常渠道获取磋商文件的供应商，或供应商名称与注册证照名称不符，或供应商名称与领取磋商文件所登记名称不符的；</w:t>
      </w:r>
    </w:p>
    <w:p w14:paraId="64FBFD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2.响应文件中未提交法定代表人证明书和法定代表人授权书（法定代表人直接磋商未提交法定代表人证明书），或证明书、授权书的合法性或有效性不符合磋商文件规定的。</w:t>
      </w:r>
    </w:p>
    <w:p w14:paraId="6A8A87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3.未按时交纳磋商保证金，或金额、形式不符合磋商文件规定的；</w:t>
      </w:r>
    </w:p>
    <w:p w14:paraId="1D4409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4.响应文件未按磋商文件要求签字、盖章的；</w:t>
      </w:r>
    </w:p>
    <w:p w14:paraId="3ACB37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5.不具备磋商文件中规定的资格条件或证明文件不齐全的；</w:t>
      </w:r>
    </w:p>
    <w:p w14:paraId="1BFDEC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6.报价超过磋商文件中载明的采购预算或最高限价的；</w:t>
      </w:r>
    </w:p>
    <w:p w14:paraId="15D224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7.对磋商文件主要商务条款的响应存在负偏离，或响应文件中含有采购人不能接受的附加条件的；</w:t>
      </w:r>
    </w:p>
    <w:p w14:paraId="2D0F85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8.无磋商有效期或磋商有效期不足的；</w:t>
      </w:r>
    </w:p>
    <w:p w14:paraId="25735F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9.响应内容与磋商文件采购内容不符的；</w:t>
      </w:r>
    </w:p>
    <w:p w14:paraId="28FB99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10.执行标准明显低于采购需求或提供的响应文件中的技术参数无法满足磋商文件技术要求的；</w:t>
      </w:r>
    </w:p>
    <w:p w14:paraId="525287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11.报价明显低于其他合格供应商的报价，在现场规定的时间内不能提供有效证明资料且经磋商小组认定形成不正当竞争的；</w:t>
      </w:r>
    </w:p>
    <w:p w14:paraId="3BAB34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12.提供虚假证明，开具虚假资质，出现虚假应答或故意隐瞒行为的，除按无效响应处理外还进行相应的处罚；</w:t>
      </w:r>
    </w:p>
    <w:p w14:paraId="67BB2E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13.响应文件封面、磋商响应函、首次报价一览表以及法定代表人授权书（如有）项目名称、项目编号，与磋商文件不一致或存在遗漏的；</w:t>
      </w:r>
    </w:p>
    <w:p w14:paraId="3F5905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14.不符合政府采购相关法律法规和磋商文件规定的其他实质性要求的。</w:t>
      </w:r>
    </w:p>
    <w:p w14:paraId="40AE9459">
      <w:pPr>
        <w:pStyle w:val="4"/>
        <w:bidi w:val="0"/>
        <w:rPr>
          <w:rFonts w:hint="eastAsia" w:ascii="宋体" w:hAnsi="宋体" w:eastAsia="宋体" w:cs="宋体"/>
        </w:rPr>
      </w:pPr>
      <w:r>
        <w:rPr>
          <w:rFonts w:hint="eastAsia" w:ascii="宋体" w:hAnsi="宋体" w:eastAsia="宋体" w:cs="宋体"/>
          <w:lang w:val="en-US" w:eastAsia="zh-CN"/>
        </w:rPr>
        <w:t>七</w:t>
      </w:r>
      <w:r>
        <w:rPr>
          <w:rFonts w:hint="eastAsia" w:ascii="宋体" w:hAnsi="宋体" w:eastAsia="宋体" w:cs="宋体"/>
        </w:rPr>
        <w:t>、落实政府采购政策</w:t>
      </w:r>
    </w:p>
    <w:p w14:paraId="1A3DBD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lang w:val="en-US" w:eastAsia="zh-CN"/>
        </w:rPr>
      </w:pPr>
      <w:r>
        <w:rPr>
          <w:rFonts w:hint="eastAsia" w:ascii="宋体" w:hAnsi="宋体" w:eastAsia="宋体" w:cs="宋体"/>
          <w:lang w:val="en-US" w:eastAsia="zh-CN"/>
        </w:rPr>
        <w:t>（一）对于未预留份额专门面向中小企业采购的采购项目，以及预留份额项目的非预留部分采购包中参与磋商且符合《政府采购促进中小企业发展管理办法》（财库〔2020〕46 号）的小型和微型企业供应商的最终报价给予10%（工程项目为3%）的扣除，用扣除后的价格评审。</w:t>
      </w:r>
      <w:r>
        <w:rPr>
          <w:rFonts w:hint="eastAsia" w:ascii="宋体" w:hAnsi="宋体" w:eastAsia="宋体" w:cs="宋体"/>
          <w:b/>
          <w:bCs/>
          <w:lang w:val="en-US" w:eastAsia="zh-CN"/>
        </w:rPr>
        <w:t>专门面向中小企业项目，不再对小型和微型企业供应商的最终报价给予价格扣除。</w:t>
      </w:r>
    </w:p>
    <w:p w14:paraId="504332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lang w:val="en-US" w:eastAsia="zh-CN"/>
        </w:rPr>
      </w:pPr>
      <w:r>
        <w:rPr>
          <w:rFonts w:hint="eastAsia" w:ascii="宋体" w:hAnsi="宋体" w:eastAsia="宋体" w:cs="宋体"/>
          <w:lang w:val="en-US" w:eastAsia="zh-CN"/>
        </w:rPr>
        <w:t>（二）接受大中型企业与小微企业组成联合体或者允许大中型企业向一家或者多家小微企业分包的采购项目，对于联合协议或者分包意向协议约定小微企业的合同份额占到合同总金额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30%以上的，对联合体或者大中型企业的报价给予4%的扣除；组成联合体或者接受分包的小微企业与联合体内其他企业、分包企业之间存在直接控股、管理关系的，不享受价格扣除优惠政策。</w:t>
      </w:r>
      <w:r>
        <w:rPr>
          <w:rFonts w:hint="eastAsia" w:ascii="宋体" w:hAnsi="宋体" w:eastAsia="宋体" w:cs="宋体"/>
          <w:b/>
          <w:bCs/>
          <w:lang w:val="en-US" w:eastAsia="zh-CN"/>
        </w:rPr>
        <w:t>享受扶持政策获得合同的，小微企业不得将合同分包给大中型企业，中型企业不得将合同分包给大型企业。</w:t>
      </w:r>
    </w:p>
    <w:p w14:paraId="48F5EA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（三）符合《财政部司法部关于政府采购支持监狱企业发展有关问题的通知》 （财库〔2014〕68 号）的监狱和戒毒企业视同小型、微型企业。监狱企业属于小微企业的，不重复享受政策。</w:t>
      </w:r>
    </w:p>
    <w:p w14:paraId="51D16C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（四）符合财政部、民政部、中国残疾人联合会下发的《关于促进残疾人就业政府采 购政策的通知》（财库〔2017〕141 号）并提供本单位制造的货物、承担的工程或者服务，或者提供其他残疾人福利性单位制造的货物（不包括使用非残疾人福利性单位注册商标的货物）的供应商视同小型、微型企业。残疾人福利性单位属于小微企业的，不重复享受政策。</w:t>
      </w:r>
    </w:p>
    <w:p w14:paraId="2C922820">
      <w:pPr>
        <w:pStyle w:val="4"/>
        <w:bidi w:val="0"/>
        <w:rPr>
          <w:rFonts w:hint="eastAsia" w:ascii="宋体" w:hAnsi="宋体" w:eastAsia="宋体" w:cs="宋体"/>
        </w:rPr>
      </w:pPr>
      <w:r>
        <w:rPr>
          <w:rFonts w:hint="eastAsia" w:ascii="宋体" w:hAnsi="宋体" w:eastAsia="宋体" w:cs="宋体"/>
          <w:lang w:val="en-US" w:eastAsia="zh-CN"/>
        </w:rPr>
        <w:t>八</w:t>
      </w:r>
      <w:r>
        <w:rPr>
          <w:rFonts w:hint="eastAsia" w:ascii="宋体" w:hAnsi="宋体" w:eastAsia="宋体" w:cs="宋体"/>
        </w:rPr>
        <w:t>、废标</w:t>
      </w:r>
    </w:p>
    <w:p w14:paraId="2F99E6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根据相关法律法规和磋商文件的有关规定，如出现下列情况之一的，应予以废标：</w:t>
      </w:r>
    </w:p>
    <w:p w14:paraId="5C5EB0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1.合格的供应商或者对磋商文件作实质响应的供应商不足3家的；</w:t>
      </w:r>
    </w:p>
    <w:p w14:paraId="3F53B9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2.出现影响采购公正性的违法、违规行为的；</w:t>
      </w:r>
    </w:p>
    <w:p w14:paraId="0AC9DD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3.供应商的报价均超过采购预算，采购人不能支付的；</w:t>
      </w:r>
    </w:p>
    <w:p w14:paraId="0E1991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4.因重大变故，采购任务取消的。</w:t>
      </w:r>
    </w:p>
    <w:p w14:paraId="60D7E2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5.法律、法规规定其他满足废标情况的。</w:t>
      </w:r>
    </w:p>
    <w:p w14:paraId="6A0A12DC">
      <w:pPr>
        <w:pStyle w:val="4"/>
        <w:bidi w:val="0"/>
        <w:rPr>
          <w:rFonts w:hint="eastAsia" w:ascii="宋体" w:hAnsi="宋体" w:eastAsia="宋体" w:cs="宋体"/>
        </w:rPr>
      </w:pPr>
      <w:r>
        <w:rPr>
          <w:rFonts w:hint="eastAsia" w:ascii="宋体" w:hAnsi="宋体" w:eastAsia="宋体" w:cs="宋体"/>
          <w:lang w:val="en-US" w:eastAsia="zh-CN"/>
        </w:rPr>
        <w:t>九</w:t>
      </w:r>
      <w:r>
        <w:rPr>
          <w:rFonts w:hint="eastAsia" w:ascii="宋体" w:hAnsi="宋体" w:eastAsia="宋体" w:cs="宋体"/>
        </w:rPr>
        <w:t>、串标</w:t>
      </w:r>
    </w:p>
    <w:p w14:paraId="624E23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有下列情形之一的，视为供应商串通投标，其响应文件无效：</w:t>
      </w:r>
    </w:p>
    <w:p w14:paraId="55D8C5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1.不同供应商的响应文件由同一单位或者个人编制；</w:t>
      </w:r>
    </w:p>
    <w:p w14:paraId="17C28C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2.不同供应商的响应文件由同一台电脑编制；</w:t>
      </w:r>
    </w:p>
    <w:p w14:paraId="36105C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3.不同供应商委托同一单位或者个人办理磋商响应事宜；</w:t>
      </w:r>
    </w:p>
    <w:p w14:paraId="0EBD05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4.不同供应商的响应文件载明的项目管理成员或者联系人员为同一人；</w:t>
      </w:r>
    </w:p>
    <w:p w14:paraId="1F368A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5.不同供应商的响应文件异常一致或者报价报价呈规律性差异；</w:t>
      </w:r>
    </w:p>
    <w:p w14:paraId="17FC50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cs="宋体"/>
          <w:lang w:val="en-US" w:eastAsia="zh-CN"/>
        </w:rPr>
        <w:t>6.</w:t>
      </w:r>
      <w:r>
        <w:rPr>
          <w:rFonts w:hint="eastAsia" w:ascii="宋体" w:hAnsi="宋体" w:eastAsia="宋体" w:cs="宋体"/>
          <w:lang w:val="en-US" w:eastAsia="zh-CN"/>
        </w:rPr>
        <w:t>不同供应商的磋商保证金从同一单位或者个人的账户转出；</w:t>
      </w:r>
    </w:p>
    <w:p w14:paraId="01E946E3">
      <w:pPr>
        <w:pStyle w:val="7"/>
        <w:rPr>
          <w:rFonts w:hint="eastAsia" w:ascii="宋体" w:hAnsi="宋体" w:eastAsia="宋体" w:cs="宋体"/>
          <w:lang w:val="en-US" w:eastAsia="zh-CN"/>
        </w:rPr>
      </w:pPr>
      <w:r>
        <w:rPr>
          <w:rFonts w:hint="eastAsia" w:eastAsia="宋体" w:cs="宋体"/>
          <w:sz w:val="24"/>
          <w:szCs w:val="24"/>
          <w:lang w:val="en-US" w:eastAsia="zh-CN"/>
        </w:rPr>
        <w:t>7.</w:t>
      </w:r>
      <w:r>
        <w:rPr>
          <w:rFonts w:hint="eastAsia" w:ascii="宋体" w:hAnsi="宋体" w:eastAsia="宋体" w:cs="宋体"/>
          <w:sz w:val="24"/>
          <w:szCs w:val="24"/>
        </w:rPr>
        <w:t>在电子评标过程中，对各</w:t>
      </w:r>
      <w:r>
        <w:rPr>
          <w:rFonts w:hint="eastAsia" w:ascii="宋体" w:hAnsi="宋体" w:eastAsia="宋体" w:cs="宋体"/>
          <w:color w:val="auto"/>
          <w:spacing w:val="0"/>
          <w:w w:val="100"/>
          <w:position w:val="0"/>
          <w:sz w:val="24"/>
          <w:szCs w:val="24"/>
          <w:lang w:eastAsia="zh-CN"/>
        </w:rPr>
        <w:t>供应商</w:t>
      </w:r>
      <w:r>
        <w:rPr>
          <w:rFonts w:hint="eastAsia" w:ascii="宋体" w:hAnsi="宋体" w:eastAsia="宋体" w:cs="宋体"/>
          <w:sz w:val="24"/>
          <w:szCs w:val="24"/>
        </w:rPr>
        <w:t>电子</w:t>
      </w:r>
      <w:r>
        <w:rPr>
          <w:rFonts w:hint="eastAsia" w:ascii="宋体" w:hAnsi="宋体" w:eastAsia="宋体" w:cs="宋体"/>
          <w:sz w:val="24"/>
          <w:szCs w:val="24"/>
          <w:lang w:eastAsia="zh-CN"/>
        </w:rPr>
        <w:t>响应文件</w:t>
      </w:r>
      <w:r>
        <w:rPr>
          <w:rFonts w:hint="eastAsia" w:ascii="宋体" w:hAnsi="宋体" w:eastAsia="宋体" w:cs="宋体"/>
          <w:sz w:val="24"/>
          <w:szCs w:val="24"/>
        </w:rPr>
        <w:t>进行雷同性分析中，不同</w:t>
      </w:r>
      <w:r>
        <w:rPr>
          <w:rFonts w:hint="eastAsia" w:ascii="宋体" w:hAnsi="宋体" w:eastAsia="宋体" w:cs="宋体"/>
          <w:color w:val="auto"/>
          <w:spacing w:val="0"/>
          <w:w w:val="100"/>
          <w:position w:val="0"/>
          <w:sz w:val="24"/>
          <w:szCs w:val="24"/>
          <w:lang w:eastAsia="zh-CN"/>
        </w:rPr>
        <w:t>供应商</w:t>
      </w:r>
      <w:r>
        <w:rPr>
          <w:rFonts w:hint="eastAsia" w:ascii="宋体" w:hAnsi="宋体" w:eastAsia="宋体" w:cs="宋体"/>
          <w:sz w:val="24"/>
          <w:szCs w:val="24"/>
        </w:rPr>
        <w:t>的文件制作机器码或文件创建标识码为同一编码。</w:t>
      </w:r>
    </w:p>
    <w:p w14:paraId="0F233D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cs="宋体"/>
          <w:lang w:val="en-US" w:eastAsia="zh-CN"/>
        </w:rPr>
        <w:t>8.</w:t>
      </w:r>
      <w:r>
        <w:rPr>
          <w:rFonts w:hint="eastAsia" w:ascii="宋体" w:hAnsi="宋体" w:eastAsia="宋体" w:cs="宋体"/>
          <w:lang w:val="en-US" w:eastAsia="zh-CN"/>
        </w:rPr>
        <w:t>政府采购法律法规及磋商文件规定的其他情形。</w:t>
      </w:r>
    </w:p>
    <w:p w14:paraId="322F1655">
      <w:pPr>
        <w:pStyle w:val="4"/>
        <w:bidi w:val="0"/>
        <w:rPr>
          <w:rFonts w:hint="eastAsia" w:ascii="宋体" w:hAnsi="宋体" w:eastAsia="宋体" w:cs="宋体"/>
          <w:lang w:val="en-US" w:eastAsia="zh-CN"/>
        </w:rPr>
      </w:pPr>
      <w:r>
        <w:rPr>
          <w:rFonts w:hint="eastAsia" w:ascii="宋体" w:hAnsi="宋体" w:eastAsia="宋体" w:cs="宋体"/>
          <w:lang w:val="en-US" w:eastAsia="zh-CN"/>
        </w:rPr>
        <w:t>十、评审报告</w:t>
      </w:r>
    </w:p>
    <w:p w14:paraId="6FA9C3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1.磋商小组评审结束后应当编写评审报告，并由全体成员签字。</w:t>
      </w:r>
    </w:p>
    <w:p w14:paraId="51F5B2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2.对评审结果或过程持不同意见的磋商小组成员应当在评审报告上签署不同意见及理由，否则视为同意评审报告。</w:t>
      </w:r>
    </w:p>
    <w:p w14:paraId="492B74B9">
      <w:pPr>
        <w:pStyle w:val="4"/>
        <w:bidi w:val="0"/>
        <w:rPr>
          <w:rFonts w:hint="eastAsia" w:ascii="宋体" w:hAnsi="宋体" w:eastAsia="宋体" w:cs="宋体"/>
        </w:rPr>
      </w:pPr>
      <w:r>
        <w:rPr>
          <w:rFonts w:hint="eastAsia" w:ascii="宋体" w:hAnsi="宋体" w:eastAsia="宋体" w:cs="宋体"/>
          <w:lang w:val="en-US" w:eastAsia="zh-CN"/>
        </w:rPr>
        <w:t>十一</w:t>
      </w:r>
      <w:r>
        <w:rPr>
          <w:rFonts w:hint="eastAsia" w:ascii="宋体" w:hAnsi="宋体" w:eastAsia="宋体" w:cs="宋体"/>
        </w:rPr>
        <w:t>、推荐成交候选人</w:t>
      </w:r>
    </w:p>
    <w:p w14:paraId="7B738B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磋商小组应当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1424CFE9">
      <w:pPr>
        <w:pStyle w:val="4"/>
        <w:bidi w:val="0"/>
        <w:rPr>
          <w:rFonts w:hint="eastAsia" w:ascii="宋体" w:hAnsi="宋体" w:eastAsia="宋体" w:cs="宋体"/>
        </w:rPr>
      </w:pPr>
      <w:bookmarkStart w:id="18" w:name="_Toc1194"/>
      <w:bookmarkStart w:id="19" w:name="_Toc30236"/>
      <w:r>
        <w:rPr>
          <w:rFonts w:hint="eastAsia" w:ascii="宋体" w:hAnsi="宋体" w:eastAsia="宋体" w:cs="宋体"/>
          <w:lang w:val="en-US" w:eastAsia="zh-CN"/>
        </w:rPr>
        <w:t>十二</w:t>
      </w:r>
      <w:r>
        <w:rPr>
          <w:rFonts w:hint="eastAsia" w:ascii="宋体" w:hAnsi="宋体" w:eastAsia="宋体" w:cs="宋体"/>
        </w:rPr>
        <w:t>、特殊情况的处理</w:t>
      </w:r>
      <w:bookmarkEnd w:id="18"/>
      <w:bookmarkEnd w:id="19"/>
    </w:p>
    <w:p w14:paraId="6E76C6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（一）书写错误的修正原则：</w:t>
      </w:r>
    </w:p>
    <w:p w14:paraId="2B14B0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磋商小组在评审过程中，发现竞争性磋商响应文件出现下列情况之一者，按以下原则修正：</w:t>
      </w:r>
    </w:p>
    <w:p w14:paraId="7FBE4F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1.磋商响应文件有关内容与“磋商报价表”不一致的，以“磋商报价表”为准；</w:t>
      </w:r>
    </w:p>
    <w:p w14:paraId="666426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2.大写金额与小写金额不一致的，以大写金额为准；</w:t>
      </w:r>
    </w:p>
    <w:p w14:paraId="7EF763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3.单价金额小数点或者百分比有明显错位的，以“磋商报价表”的总价为准，并修改单价；</w:t>
      </w:r>
    </w:p>
    <w:p w14:paraId="155344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4.总价金额与按单价汇总金额不一致的，以单价乘以数量的计算结果为准；</w:t>
      </w:r>
    </w:p>
    <w:p w14:paraId="0FFA50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5.磋商响应文件图表与文字不符时，以文字为准；</w:t>
      </w:r>
    </w:p>
    <w:p w14:paraId="248EDD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6.对不同文字文本磋商响应文件的解释发生异议的，以中文文本为准；</w:t>
      </w:r>
    </w:p>
    <w:p w14:paraId="388D37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7.多处内容交叉不符时，以磋商小组评审结果为准。</w:t>
      </w:r>
    </w:p>
    <w:p w14:paraId="233BAAB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lang w:val="en-US" w:eastAsia="zh-CN"/>
        </w:rPr>
      </w:pPr>
      <w:r>
        <w:rPr>
          <w:rFonts w:hint="eastAsia" w:ascii="宋体" w:hAnsi="宋体" w:eastAsia="宋体" w:cs="宋体"/>
          <w:b/>
          <w:bCs/>
          <w:lang w:val="en-US" w:eastAsia="zh-CN"/>
        </w:rPr>
        <w:t>注：按上述方法修正的内容（其中，同时出现上述1至4两种以上不一致的，按上述规定的顺序修正），经供应商确认后产生约束力，供应商不确认的，其磋商响应无效。</w:t>
      </w:r>
    </w:p>
    <w:p w14:paraId="23BCBC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（二）对于磋商响应文件中明显的标点符号错误或不构成实质性偏差的不正规、不一致或不规则，采购人可以接受。</w:t>
      </w:r>
    </w:p>
    <w:p w14:paraId="20286347">
      <w:pPr>
        <w:pStyle w:val="4"/>
        <w:bidi w:val="0"/>
        <w:rPr>
          <w:rFonts w:hint="eastAsia" w:ascii="宋体" w:hAnsi="宋体" w:eastAsia="宋体" w:cs="宋体"/>
          <w:shd w:val="clear" w:fill="FFFF00"/>
          <w:lang w:val="en-US" w:eastAsia="zh-CN"/>
        </w:rPr>
      </w:pPr>
      <w:r>
        <w:rPr>
          <w:rFonts w:hint="eastAsia" w:ascii="宋体" w:hAnsi="宋体" w:eastAsia="宋体" w:cs="宋体"/>
        </w:rPr>
        <w:br w:type="page"/>
      </w:r>
      <w:bookmarkStart w:id="20" w:name="_Toc20756"/>
      <w:bookmarkStart w:id="21" w:name="_Toc17719"/>
      <w:bookmarkStart w:id="22" w:name="_Toc9346"/>
      <w:bookmarkStart w:id="23" w:name="_Toc11539"/>
      <w:r>
        <w:rPr>
          <w:rFonts w:hint="eastAsia" w:ascii="宋体" w:hAnsi="宋体" w:eastAsia="宋体" w:cs="宋体"/>
          <w:shd w:val="clear"/>
        </w:rPr>
        <w:t>附表1：</w:t>
      </w:r>
      <w:bookmarkEnd w:id="20"/>
      <w:bookmarkEnd w:id="21"/>
      <w:bookmarkEnd w:id="22"/>
      <w:bookmarkEnd w:id="23"/>
      <w:bookmarkStart w:id="24" w:name="_Toc30399"/>
      <w:r>
        <w:rPr>
          <w:rFonts w:hint="eastAsia" w:ascii="宋体" w:hAnsi="宋体" w:eastAsia="宋体" w:cs="宋体"/>
          <w:shd w:val="clear"/>
        </w:rPr>
        <w:t>资格审查</w:t>
      </w:r>
      <w:bookmarkEnd w:id="24"/>
      <w:r>
        <w:rPr>
          <w:rFonts w:hint="eastAsia" w:ascii="宋体" w:hAnsi="宋体" w:eastAsia="宋体" w:cs="宋体"/>
          <w:shd w:val="clear"/>
          <w:lang w:val="en-US" w:eastAsia="zh-CN"/>
        </w:rPr>
        <w:t>标准</w:t>
      </w:r>
    </w:p>
    <w:tbl>
      <w:tblPr>
        <w:tblStyle w:val="44"/>
        <w:tblW w:w="524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03"/>
        <w:gridCol w:w="1886"/>
        <w:gridCol w:w="7052"/>
      </w:tblGrid>
      <w:tr w14:paraId="414A5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316" w:type="pct"/>
            <w:shd w:val="clear" w:color="auto" w:fill="D7D7D7"/>
            <w:noWrap w:val="0"/>
            <w:vAlign w:val="center"/>
          </w:tcPr>
          <w:p w14:paraId="4D9ED338">
            <w:pPr>
              <w:keepNext w:val="0"/>
              <w:keepLines w:val="0"/>
              <w:pageBreakBefore w:val="0"/>
              <w:kinsoku/>
              <w:overflowPunct/>
              <w:topLinePunct w:val="0"/>
              <w:autoSpaceDE/>
              <w:autoSpaceDN/>
              <w:bidi w:val="0"/>
              <w:adjustRightInd/>
              <w:snapToGrid/>
              <w:spacing w:before="148"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序</w:t>
            </w:r>
            <w:r>
              <w:rPr>
                <w:rFonts w:hint="eastAsia" w:ascii="宋体" w:hAnsi="宋体" w:eastAsia="宋体" w:cs="宋体"/>
                <w:color w:val="auto"/>
                <w:spacing w:val="-4"/>
                <w:sz w:val="24"/>
                <w:szCs w:val="24"/>
                <w:highlight w:val="none"/>
              </w:rPr>
              <w:t>号</w:t>
            </w:r>
          </w:p>
        </w:tc>
        <w:tc>
          <w:tcPr>
            <w:tcW w:w="988" w:type="pct"/>
            <w:shd w:val="clear" w:color="auto" w:fill="D7D7D7"/>
            <w:noWrap w:val="0"/>
            <w:vAlign w:val="center"/>
          </w:tcPr>
          <w:p w14:paraId="6896FDB8">
            <w:pPr>
              <w:keepNext w:val="0"/>
              <w:keepLines w:val="0"/>
              <w:pageBreakBefore w:val="0"/>
              <w:kinsoku/>
              <w:overflowPunct/>
              <w:topLinePunct w:val="0"/>
              <w:autoSpaceDE/>
              <w:autoSpaceDN/>
              <w:bidi w:val="0"/>
              <w:adjustRightInd/>
              <w:snapToGrid/>
              <w:spacing w:before="147" w:line="360" w:lineRule="auto"/>
              <w:ind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资</w:t>
            </w:r>
            <w:r>
              <w:rPr>
                <w:rFonts w:hint="eastAsia" w:ascii="宋体" w:hAnsi="宋体" w:eastAsia="宋体" w:cs="宋体"/>
                <w:color w:val="auto"/>
                <w:spacing w:val="-4"/>
                <w:sz w:val="24"/>
                <w:szCs w:val="24"/>
                <w:highlight w:val="none"/>
              </w:rPr>
              <w:t>格审查</w:t>
            </w:r>
            <w:r>
              <w:rPr>
                <w:rFonts w:hint="eastAsia" w:ascii="宋体" w:hAnsi="宋体" w:eastAsia="宋体" w:cs="宋体"/>
                <w:color w:val="auto"/>
                <w:spacing w:val="-4"/>
                <w:sz w:val="24"/>
                <w:szCs w:val="24"/>
                <w:highlight w:val="none"/>
                <w:lang w:val="en-US" w:eastAsia="zh-CN"/>
              </w:rPr>
              <w:t>内容</w:t>
            </w:r>
          </w:p>
        </w:tc>
        <w:tc>
          <w:tcPr>
            <w:tcW w:w="3694" w:type="pct"/>
            <w:shd w:val="clear" w:color="auto" w:fill="D7D7D7"/>
            <w:noWrap w:val="0"/>
            <w:vAlign w:val="center"/>
          </w:tcPr>
          <w:p w14:paraId="556A2F54">
            <w:pPr>
              <w:keepNext w:val="0"/>
              <w:keepLines w:val="0"/>
              <w:pageBreakBefore w:val="0"/>
              <w:kinsoku/>
              <w:overflowPunct/>
              <w:topLinePunct w:val="0"/>
              <w:autoSpaceDE/>
              <w:autoSpaceDN/>
              <w:bidi w:val="0"/>
              <w:adjustRightInd/>
              <w:snapToGrid/>
              <w:spacing w:before="147" w:line="360" w:lineRule="auto"/>
              <w:ind w:left="12"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4"/>
                <w:sz w:val="24"/>
                <w:szCs w:val="24"/>
                <w:highlight w:val="none"/>
                <w:lang w:val="en-US" w:eastAsia="zh-CN"/>
              </w:rPr>
              <w:t>审查标准</w:t>
            </w:r>
          </w:p>
        </w:tc>
      </w:tr>
      <w:tr w14:paraId="7227C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8" w:hRule="atLeast"/>
          <w:jc w:val="center"/>
        </w:trPr>
        <w:tc>
          <w:tcPr>
            <w:tcW w:w="316" w:type="pct"/>
            <w:noWrap w:val="0"/>
            <w:vAlign w:val="center"/>
          </w:tcPr>
          <w:p w14:paraId="7581007E">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88" w:type="pct"/>
            <w:noWrap w:val="0"/>
            <w:vAlign w:val="center"/>
          </w:tcPr>
          <w:p w14:paraId="4985A500">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color w:val="auto"/>
                <w:spacing w:val="-2"/>
                <w:sz w:val="24"/>
                <w:szCs w:val="24"/>
                <w:highlight w:val="none"/>
              </w:rPr>
              <w:t>有效</w:t>
            </w:r>
            <w:r>
              <w:rPr>
                <w:rFonts w:hint="eastAsia" w:ascii="宋体" w:hAnsi="宋体" w:eastAsia="宋体" w:cs="宋体"/>
                <w:color w:val="auto"/>
                <w:spacing w:val="-1"/>
                <w:sz w:val="24"/>
                <w:szCs w:val="24"/>
                <w:highlight w:val="none"/>
              </w:rPr>
              <w:t>的主体资格证明</w:t>
            </w:r>
          </w:p>
        </w:tc>
        <w:tc>
          <w:tcPr>
            <w:tcW w:w="3694" w:type="pct"/>
            <w:noWrap w:val="0"/>
            <w:vAlign w:val="center"/>
          </w:tcPr>
          <w:p w14:paraId="14F9E43B">
            <w:pPr>
              <w:keepNext w:val="0"/>
              <w:keepLines w:val="0"/>
              <w:pageBreakBefore w:val="0"/>
              <w:kinsoku/>
              <w:overflowPunct/>
              <w:topLinePunct w:val="0"/>
              <w:autoSpaceDE/>
              <w:autoSpaceDN/>
              <w:bidi w:val="0"/>
              <w:adjustRightInd/>
              <w:snapToGrid/>
              <w:spacing w:before="123" w:line="360" w:lineRule="auto"/>
              <w:ind w:left="13" w:leftChars="0" w:right="131" w:rightChars="0" w:firstLine="0" w:firstLineChars="0"/>
              <w:jc w:val="left"/>
              <w:textAlignment w:val="auto"/>
              <w:rPr>
                <w:rFonts w:hint="eastAsia" w:ascii="宋体" w:hAnsi="宋体" w:eastAsia="宋体" w:cs="宋体"/>
                <w:color w:val="auto"/>
                <w:sz w:val="24"/>
                <w:szCs w:val="24"/>
                <w:highlight w:val="none"/>
              </w:rPr>
            </w:pPr>
            <w:r>
              <w:rPr>
                <w:rFonts w:hint="eastAsia"/>
                <w:sz w:val="24"/>
                <w:szCs w:val="24"/>
                <w:highlight w:val="none"/>
              </w:rPr>
              <w:t>具有独立承担民事责任能力的法人或其他组织，提供有效的营业执照</w:t>
            </w:r>
            <w:r>
              <w:rPr>
                <w:rFonts w:hint="eastAsia"/>
                <w:sz w:val="24"/>
                <w:szCs w:val="24"/>
                <w:highlight w:val="none"/>
                <w:lang w:eastAsia="zh-CN"/>
              </w:rPr>
              <w:t>、</w:t>
            </w:r>
            <w:r>
              <w:rPr>
                <w:rFonts w:hint="eastAsia" w:ascii="宋体" w:hAnsi="宋体" w:eastAsia="宋体" w:cs="Times New Roman"/>
                <w:sz w:val="24"/>
                <w:szCs w:val="24"/>
                <w:highlight w:val="none"/>
                <w:lang w:eastAsia="zh-CN"/>
              </w:rPr>
              <w:t>事业单位法人证书</w:t>
            </w:r>
            <w:r>
              <w:rPr>
                <w:rFonts w:hint="eastAsia" w:ascii="宋体" w:hAnsi="宋体" w:eastAsia="宋体" w:cs="Times New Roman"/>
                <w:sz w:val="24"/>
                <w:szCs w:val="24"/>
                <w:highlight w:val="none"/>
                <w:lang w:val="en-US" w:eastAsia="zh-CN"/>
              </w:rPr>
              <w:t>等有效证明</w:t>
            </w:r>
            <w:r>
              <w:rPr>
                <w:rFonts w:hint="eastAsia" w:ascii="宋体" w:hAnsi="宋体" w:eastAsia="宋体" w:cs="Times New Roman"/>
                <w:sz w:val="24"/>
                <w:szCs w:val="24"/>
                <w:highlight w:val="none"/>
              </w:rPr>
              <w:t>；</w:t>
            </w:r>
          </w:p>
        </w:tc>
      </w:tr>
      <w:tr w14:paraId="6C01C0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7" w:hRule="atLeast"/>
          <w:jc w:val="center"/>
        </w:trPr>
        <w:tc>
          <w:tcPr>
            <w:tcW w:w="316" w:type="pct"/>
            <w:noWrap w:val="0"/>
            <w:vAlign w:val="center"/>
          </w:tcPr>
          <w:p w14:paraId="7D2EA56A">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w:t>
            </w:r>
          </w:p>
        </w:tc>
        <w:tc>
          <w:tcPr>
            <w:tcW w:w="988" w:type="pct"/>
            <w:noWrap w:val="0"/>
            <w:vAlign w:val="center"/>
          </w:tcPr>
          <w:p w14:paraId="54B4B79E">
            <w:pPr>
              <w:keepNext w:val="0"/>
              <w:keepLines w:val="0"/>
              <w:pageBreakBefore w:val="0"/>
              <w:kinsoku/>
              <w:overflowPunct/>
              <w:topLinePunct w:val="0"/>
              <w:autoSpaceDE/>
              <w:autoSpaceDN/>
              <w:bidi w:val="0"/>
              <w:adjustRightInd/>
              <w:snapToGrid/>
              <w:spacing w:before="91" w:line="360" w:lineRule="auto"/>
              <w:ind w:left="0" w:leftChars="0" w:firstLine="0" w:firstLineChars="0"/>
              <w:jc w:val="center"/>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cs="宋体"/>
                <w:i w:val="0"/>
                <w:iCs w:val="0"/>
                <w:caps w:val="0"/>
                <w:color w:val="auto"/>
                <w:spacing w:val="0"/>
                <w:sz w:val="24"/>
                <w:szCs w:val="24"/>
                <w:highlight w:val="none"/>
                <w:shd w:val="clear" w:color="auto" w:fill="FFFFFF"/>
                <w:lang w:val="en-US" w:eastAsia="zh-CN"/>
              </w:rPr>
              <w:t>资质证明文件</w:t>
            </w:r>
          </w:p>
        </w:tc>
        <w:tc>
          <w:tcPr>
            <w:tcW w:w="3694" w:type="pct"/>
            <w:noWrap w:val="0"/>
            <w:vAlign w:val="center"/>
          </w:tcPr>
          <w:p w14:paraId="3B9AF560">
            <w:pPr>
              <w:keepNext w:val="0"/>
              <w:keepLines w:val="0"/>
              <w:pageBreakBefore w:val="0"/>
              <w:kinsoku/>
              <w:overflowPunct/>
              <w:topLinePunct w:val="0"/>
              <w:autoSpaceDE/>
              <w:autoSpaceDN/>
              <w:bidi w:val="0"/>
              <w:adjustRightInd/>
              <w:snapToGrid/>
              <w:spacing w:before="91" w:line="360" w:lineRule="auto"/>
              <w:ind w:left="0" w:leftChars="0" w:right="128" w:rightChars="0" w:firstLine="0" w:firstLineChars="0"/>
              <w:jc w:val="left"/>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i w:val="0"/>
                <w:iCs w:val="0"/>
                <w:caps w:val="0"/>
                <w:color w:val="auto"/>
                <w:spacing w:val="0"/>
                <w:kern w:val="0"/>
                <w:sz w:val="24"/>
                <w:szCs w:val="24"/>
                <w:highlight w:val="none"/>
                <w:shd w:val="clear" w:color="auto" w:fill="auto"/>
                <w:lang w:val="en-US" w:eastAsia="zh-CN" w:bidi="ar-SA"/>
              </w:rPr>
              <w:t>供应商为制造商参与投标的提供医疗器械生产许可证或医疗器械生产备案凭证；代理或经销商参与投标的提供医疗器械经营许可证或医疗器械经营备案凭证；</w:t>
            </w:r>
          </w:p>
        </w:tc>
      </w:tr>
      <w:tr w14:paraId="68F32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7" w:hRule="atLeast"/>
          <w:jc w:val="center"/>
        </w:trPr>
        <w:tc>
          <w:tcPr>
            <w:tcW w:w="316" w:type="pct"/>
            <w:shd w:val="clear" w:color="auto" w:fill="auto"/>
            <w:noWrap w:val="0"/>
            <w:vAlign w:val="center"/>
          </w:tcPr>
          <w:p w14:paraId="521B6406">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sz w:val="24"/>
                <w:szCs w:val="24"/>
                <w:highlight w:val="none"/>
                <w:lang w:val="en-US" w:eastAsia="zh-CN"/>
              </w:rPr>
              <w:t>3</w:t>
            </w:r>
          </w:p>
        </w:tc>
        <w:tc>
          <w:tcPr>
            <w:tcW w:w="1886" w:type="dxa"/>
            <w:noWrap w:val="0"/>
            <w:vAlign w:val="center"/>
          </w:tcPr>
          <w:p w14:paraId="7EEAB463">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color w:val="auto"/>
                <w:spacing w:val="-5"/>
                <w:sz w:val="24"/>
                <w:szCs w:val="24"/>
                <w:highlight w:val="none"/>
                <w:lang w:val="en-US" w:eastAsia="zh-CN"/>
              </w:rPr>
              <w:t>财务</w:t>
            </w:r>
            <w:r>
              <w:rPr>
                <w:rFonts w:hint="eastAsia" w:cs="宋体"/>
                <w:color w:val="auto"/>
                <w:spacing w:val="-5"/>
                <w:sz w:val="24"/>
                <w:szCs w:val="24"/>
                <w:highlight w:val="none"/>
                <w:lang w:val="en-US" w:eastAsia="zh-CN"/>
              </w:rPr>
              <w:t>状况</w:t>
            </w:r>
            <w:r>
              <w:rPr>
                <w:rFonts w:hint="eastAsia" w:ascii="宋体" w:hAnsi="宋体" w:eastAsia="宋体" w:cs="宋体"/>
                <w:color w:val="auto"/>
                <w:spacing w:val="-5"/>
                <w:sz w:val="24"/>
                <w:szCs w:val="24"/>
                <w:highlight w:val="none"/>
                <w:lang w:val="en-US" w:eastAsia="zh-CN"/>
              </w:rPr>
              <w:t>报告</w:t>
            </w:r>
          </w:p>
        </w:tc>
        <w:tc>
          <w:tcPr>
            <w:tcW w:w="7052" w:type="dxa"/>
            <w:noWrap w:val="0"/>
            <w:vAlign w:val="center"/>
          </w:tcPr>
          <w:p w14:paraId="5E261F20">
            <w:pPr>
              <w:keepNext w:val="0"/>
              <w:keepLines w:val="0"/>
              <w:pageBreakBefore w:val="0"/>
              <w:kinsoku/>
              <w:overflowPunct/>
              <w:topLinePunct w:val="0"/>
              <w:autoSpaceDE/>
              <w:autoSpaceDN/>
              <w:bidi w:val="0"/>
              <w:adjustRightInd/>
              <w:snapToGrid/>
              <w:spacing w:before="91" w:line="360" w:lineRule="auto"/>
              <w:ind w:left="11" w:leftChars="0" w:right="128" w:rightChars="0" w:firstLine="0" w:firstLineChars="0"/>
              <w:jc w:val="left"/>
              <w:textAlignment w:val="auto"/>
              <w:rPr>
                <w:rFonts w:hint="eastAsia" w:ascii="宋体" w:hAnsi="宋体" w:eastAsia="宋体" w:cs="宋体"/>
                <w:color w:val="auto"/>
                <w:kern w:val="0"/>
                <w:sz w:val="24"/>
                <w:szCs w:val="24"/>
                <w:highlight w:val="none"/>
                <w:lang w:val="en-US" w:eastAsia="zh-CN" w:bidi="ar"/>
              </w:rPr>
            </w:pPr>
            <w:r>
              <w:rPr>
                <w:rFonts w:hint="eastAsia"/>
                <w:sz w:val="24"/>
                <w:szCs w:val="24"/>
                <w:highlight w:val="none"/>
              </w:rPr>
              <w:t>提供</w:t>
            </w:r>
            <w:r>
              <w:rPr>
                <w:rFonts w:hint="eastAsia"/>
                <w:sz w:val="24"/>
                <w:szCs w:val="24"/>
                <w:highlight w:val="none"/>
                <w:lang w:eastAsia="zh-CN"/>
              </w:rPr>
              <w:t>2024年度或2025年度经审计的财务报告</w:t>
            </w:r>
            <w:r>
              <w:rPr>
                <w:rFonts w:hint="eastAsia"/>
                <w:sz w:val="24"/>
                <w:szCs w:val="24"/>
                <w:highlight w:val="none"/>
              </w:rPr>
              <w:t>（成立时间至提交磋商响应文件截止时间不足一年的可提供成立后任意时段的资产负债表），或其基本存款账户开户银行</w:t>
            </w:r>
            <w:r>
              <w:rPr>
                <w:rFonts w:hint="eastAsia"/>
                <w:sz w:val="24"/>
                <w:szCs w:val="24"/>
                <w:highlight w:val="none"/>
                <w:lang w:eastAsia="zh-CN"/>
              </w:rPr>
              <w:t>出具的近三个月资信证明</w:t>
            </w:r>
            <w:r>
              <w:rPr>
                <w:rFonts w:hint="eastAsia"/>
                <w:sz w:val="24"/>
                <w:szCs w:val="24"/>
                <w:highlight w:val="none"/>
              </w:rPr>
              <w:t>及基本存款账户开户许可证（基本账户信息表）；</w:t>
            </w:r>
          </w:p>
        </w:tc>
      </w:tr>
      <w:tr w14:paraId="0F07C9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1" w:hRule="atLeast"/>
          <w:jc w:val="center"/>
        </w:trPr>
        <w:tc>
          <w:tcPr>
            <w:tcW w:w="316" w:type="pct"/>
            <w:shd w:val="clear" w:color="auto" w:fill="auto"/>
            <w:noWrap w:val="0"/>
            <w:vAlign w:val="center"/>
          </w:tcPr>
          <w:p w14:paraId="5E9CC253">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4</w:t>
            </w:r>
          </w:p>
        </w:tc>
        <w:tc>
          <w:tcPr>
            <w:tcW w:w="1886" w:type="dxa"/>
            <w:noWrap w:val="0"/>
            <w:vAlign w:val="center"/>
          </w:tcPr>
          <w:p w14:paraId="4F6BCB5E">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pacing w:val="-2"/>
                <w:sz w:val="24"/>
                <w:szCs w:val="24"/>
                <w:highlight w:val="none"/>
              </w:rPr>
              <w:t>税收缴</w:t>
            </w:r>
            <w:r>
              <w:rPr>
                <w:rFonts w:hint="eastAsia" w:ascii="宋体" w:hAnsi="宋体" w:eastAsia="宋体" w:cs="宋体"/>
                <w:color w:val="auto"/>
                <w:spacing w:val="-1"/>
                <w:sz w:val="24"/>
                <w:szCs w:val="24"/>
                <w:highlight w:val="none"/>
              </w:rPr>
              <w:t>纳证明</w:t>
            </w:r>
          </w:p>
        </w:tc>
        <w:tc>
          <w:tcPr>
            <w:tcW w:w="7052" w:type="dxa"/>
            <w:noWrap w:val="0"/>
            <w:vAlign w:val="center"/>
          </w:tcPr>
          <w:p w14:paraId="5580CDC2">
            <w:pPr>
              <w:spacing w:line="360" w:lineRule="auto"/>
              <w:ind w:left="0" w:leftChars="0" w:firstLine="0" w:firstLineChars="0"/>
              <w:rPr>
                <w:rFonts w:hint="eastAsia" w:ascii="宋体" w:hAnsi="宋体" w:eastAsia="宋体" w:cs="宋体"/>
                <w:color w:val="auto"/>
                <w:sz w:val="24"/>
                <w:szCs w:val="24"/>
                <w:highlight w:val="none"/>
                <w:lang w:eastAsia="zh-CN"/>
              </w:rPr>
            </w:pPr>
            <w:r>
              <w:rPr>
                <w:rFonts w:hint="eastAsia"/>
                <w:sz w:val="24"/>
                <w:szCs w:val="24"/>
                <w:highlight w:val="none"/>
              </w:rPr>
              <w:t>提供磋商截止日前一年内已缴纳的</w:t>
            </w:r>
            <w:r>
              <w:rPr>
                <w:rFonts w:hint="eastAsia"/>
                <w:sz w:val="24"/>
                <w:szCs w:val="24"/>
                <w:highlight w:val="none"/>
                <w:lang w:eastAsia="zh-CN"/>
              </w:rPr>
              <w:t>至少任意三个月</w:t>
            </w:r>
            <w:r>
              <w:rPr>
                <w:rFonts w:hint="eastAsia"/>
                <w:sz w:val="24"/>
                <w:szCs w:val="24"/>
                <w:highlight w:val="none"/>
              </w:rPr>
              <w:t>的纳税证明或完税证明，依法免税的单位应提供相关证明材料；</w:t>
            </w:r>
          </w:p>
        </w:tc>
      </w:tr>
      <w:tr w14:paraId="086E98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jc w:val="center"/>
        </w:trPr>
        <w:tc>
          <w:tcPr>
            <w:tcW w:w="316" w:type="pct"/>
            <w:shd w:val="clear" w:color="auto" w:fill="auto"/>
            <w:noWrap w:val="0"/>
            <w:vAlign w:val="center"/>
          </w:tcPr>
          <w:p w14:paraId="17FB7FFF">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5</w:t>
            </w:r>
          </w:p>
        </w:tc>
        <w:tc>
          <w:tcPr>
            <w:tcW w:w="1886" w:type="dxa"/>
            <w:noWrap w:val="0"/>
            <w:vAlign w:val="center"/>
          </w:tcPr>
          <w:p w14:paraId="1BAEB6A3">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lang w:val="en-US" w:eastAsia="zh-CN"/>
              </w:rPr>
              <w:t>社会保障资金缴纳证明</w:t>
            </w:r>
          </w:p>
        </w:tc>
        <w:tc>
          <w:tcPr>
            <w:tcW w:w="7052" w:type="dxa"/>
            <w:noWrap w:val="0"/>
            <w:vAlign w:val="center"/>
          </w:tcPr>
          <w:p w14:paraId="1539B403">
            <w:pPr>
              <w:keepNext w:val="0"/>
              <w:keepLines w:val="0"/>
              <w:pageBreakBefore w:val="0"/>
              <w:kinsoku/>
              <w:overflowPunct/>
              <w:topLinePunct w:val="0"/>
              <w:autoSpaceDE/>
              <w:autoSpaceDN/>
              <w:bidi w:val="0"/>
              <w:adjustRightInd/>
              <w:snapToGrid/>
              <w:spacing w:before="45" w:line="360" w:lineRule="auto"/>
              <w:ind w:left="11" w:leftChars="0" w:right="131" w:rightChars="0" w:firstLine="0" w:firstLineChars="0"/>
              <w:jc w:val="left"/>
              <w:textAlignment w:val="auto"/>
              <w:rPr>
                <w:rFonts w:hint="eastAsia" w:ascii="宋体" w:hAnsi="宋体" w:eastAsia="宋体" w:cs="宋体"/>
                <w:color w:val="auto"/>
                <w:sz w:val="24"/>
                <w:szCs w:val="24"/>
                <w:highlight w:val="none"/>
                <w:lang w:eastAsia="zh-CN"/>
              </w:rPr>
            </w:pPr>
            <w:r>
              <w:rPr>
                <w:rFonts w:hint="eastAsia"/>
                <w:sz w:val="24"/>
                <w:szCs w:val="24"/>
                <w:highlight w:val="none"/>
              </w:rPr>
              <w:t>提供磋商截止日前一年内已缴存的</w:t>
            </w:r>
            <w:r>
              <w:rPr>
                <w:rFonts w:hint="eastAsia"/>
                <w:sz w:val="24"/>
                <w:szCs w:val="24"/>
                <w:highlight w:val="none"/>
                <w:lang w:eastAsia="zh-CN"/>
              </w:rPr>
              <w:t>至少任意三个月</w:t>
            </w:r>
            <w:r>
              <w:rPr>
                <w:rFonts w:hint="eastAsia"/>
                <w:sz w:val="24"/>
                <w:szCs w:val="24"/>
                <w:highlight w:val="none"/>
              </w:rPr>
              <w:t>的社会保障资金缴存单据或社保机构开具的社会保险参保缴费情况证明，依法不需要缴纳社会保障资金的单位应提供相关证明材料；</w:t>
            </w:r>
          </w:p>
        </w:tc>
      </w:tr>
      <w:tr w14:paraId="2D9DB9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4" w:hRule="atLeast"/>
          <w:jc w:val="center"/>
        </w:trPr>
        <w:tc>
          <w:tcPr>
            <w:tcW w:w="316" w:type="pct"/>
            <w:shd w:val="clear" w:color="auto" w:fill="auto"/>
            <w:noWrap w:val="0"/>
            <w:vAlign w:val="center"/>
          </w:tcPr>
          <w:p w14:paraId="4F180DDC">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ascii="宋体" w:hAnsi="宋体" w:eastAsia="宋体" w:cs="宋体"/>
                <w:color w:val="auto"/>
                <w:spacing w:val="-2"/>
                <w:kern w:val="2"/>
                <w:sz w:val="24"/>
                <w:szCs w:val="24"/>
                <w:highlight w:val="none"/>
                <w:lang w:val="en-US" w:eastAsia="zh-CN" w:bidi="ar-SA"/>
              </w:rPr>
            </w:pPr>
            <w:r>
              <w:rPr>
                <w:rFonts w:hint="eastAsia" w:cs="宋体"/>
                <w:color w:val="auto"/>
                <w:spacing w:val="-2"/>
                <w:kern w:val="2"/>
                <w:sz w:val="24"/>
                <w:szCs w:val="24"/>
                <w:highlight w:val="none"/>
                <w:lang w:val="en-US" w:eastAsia="zh-CN" w:bidi="ar-SA"/>
              </w:rPr>
              <w:t>6</w:t>
            </w:r>
          </w:p>
        </w:tc>
        <w:tc>
          <w:tcPr>
            <w:tcW w:w="1886" w:type="dxa"/>
            <w:noWrap w:val="0"/>
            <w:vAlign w:val="center"/>
          </w:tcPr>
          <w:p w14:paraId="7C169C64">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pacing w:val="-2"/>
                <w:sz w:val="24"/>
                <w:szCs w:val="24"/>
                <w:highlight w:val="none"/>
              </w:rPr>
              <w:t>履行合同的能力</w:t>
            </w:r>
          </w:p>
        </w:tc>
        <w:tc>
          <w:tcPr>
            <w:tcW w:w="7052" w:type="dxa"/>
            <w:noWrap w:val="0"/>
            <w:vAlign w:val="center"/>
          </w:tcPr>
          <w:p w14:paraId="11EBCB55">
            <w:pPr>
              <w:keepNext w:val="0"/>
              <w:keepLines w:val="0"/>
              <w:pageBreakBefore w:val="0"/>
              <w:tabs>
                <w:tab w:val="left" w:pos="160"/>
              </w:tabs>
              <w:kinsoku/>
              <w:overflowPunct/>
              <w:topLinePunct w:val="0"/>
              <w:autoSpaceDE/>
              <w:autoSpaceDN/>
              <w:bidi w:val="0"/>
              <w:adjustRightInd/>
              <w:snapToGrid/>
              <w:spacing w:before="3" w:line="360" w:lineRule="auto"/>
              <w:ind w:left="11" w:leftChars="0" w:right="131" w:righ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sz w:val="24"/>
                <w:szCs w:val="24"/>
                <w:highlight w:val="none"/>
              </w:rPr>
              <w:t>提供具有履行合同所必需的设备和专业技术能力的承诺；</w:t>
            </w:r>
          </w:p>
        </w:tc>
      </w:tr>
      <w:tr w14:paraId="75185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2" w:hRule="atLeast"/>
          <w:jc w:val="center"/>
        </w:trPr>
        <w:tc>
          <w:tcPr>
            <w:tcW w:w="316" w:type="pct"/>
            <w:shd w:val="clear" w:color="auto" w:fill="auto"/>
            <w:noWrap w:val="0"/>
            <w:vAlign w:val="center"/>
          </w:tcPr>
          <w:p w14:paraId="2537158B">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7</w:t>
            </w:r>
          </w:p>
        </w:tc>
        <w:tc>
          <w:tcPr>
            <w:tcW w:w="1886" w:type="dxa"/>
            <w:noWrap w:val="0"/>
            <w:vAlign w:val="center"/>
          </w:tcPr>
          <w:p w14:paraId="5C30C28B">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kern w:val="0"/>
                <w:sz w:val="24"/>
                <w:szCs w:val="24"/>
                <w:highlight w:val="none"/>
                <w:lang w:val="en-US" w:eastAsia="zh-CN" w:bidi="ar"/>
              </w:rPr>
              <w:t>前三年内无重大违法记录的声明</w:t>
            </w:r>
          </w:p>
        </w:tc>
        <w:tc>
          <w:tcPr>
            <w:tcW w:w="7052" w:type="dxa"/>
            <w:noWrap w:val="0"/>
            <w:vAlign w:val="center"/>
          </w:tcPr>
          <w:p w14:paraId="19560B34">
            <w:pPr>
              <w:spacing w:line="360" w:lineRule="auto"/>
              <w:ind w:left="0" w:leftChars="0" w:firstLine="0" w:firstLineChars="0"/>
              <w:jc w:val="both"/>
              <w:rPr>
                <w:rFonts w:hint="eastAsia" w:ascii="宋体" w:hAnsi="宋体" w:eastAsia="宋体" w:cs="宋体"/>
                <w:color w:val="auto"/>
                <w:kern w:val="0"/>
                <w:sz w:val="24"/>
                <w:szCs w:val="24"/>
                <w:highlight w:val="none"/>
                <w:lang w:val="en-US" w:eastAsia="zh-CN" w:bidi="ar"/>
              </w:rPr>
            </w:pPr>
            <w:r>
              <w:rPr>
                <w:rFonts w:hint="eastAsia"/>
                <w:sz w:val="24"/>
                <w:szCs w:val="24"/>
                <w:highlight w:val="none"/>
              </w:rPr>
              <w:t>参加政府采购活动前3年内，在经营活动中没有重大违法记录的书面声明</w:t>
            </w:r>
            <w:r>
              <w:rPr>
                <w:rFonts w:hint="eastAsia"/>
                <w:sz w:val="24"/>
                <w:szCs w:val="24"/>
                <w:highlight w:val="none"/>
                <w:lang w:val="en-US" w:eastAsia="zh-CN"/>
              </w:rPr>
              <w:t>；</w:t>
            </w:r>
          </w:p>
        </w:tc>
      </w:tr>
      <w:tr w14:paraId="0BF60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3" w:hRule="atLeast"/>
          <w:jc w:val="center"/>
        </w:trPr>
        <w:tc>
          <w:tcPr>
            <w:tcW w:w="316" w:type="pct"/>
            <w:shd w:val="clear" w:color="auto" w:fill="auto"/>
            <w:noWrap w:val="0"/>
            <w:vAlign w:val="center"/>
          </w:tcPr>
          <w:p w14:paraId="267756B5">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8</w:t>
            </w:r>
          </w:p>
        </w:tc>
        <w:tc>
          <w:tcPr>
            <w:tcW w:w="1886" w:type="dxa"/>
            <w:noWrap w:val="0"/>
            <w:vAlign w:val="center"/>
          </w:tcPr>
          <w:p w14:paraId="24E166AE">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kern w:val="0"/>
                <w:sz w:val="24"/>
                <w:szCs w:val="24"/>
                <w:highlight w:val="none"/>
                <w:lang w:val="en-US" w:eastAsia="zh-CN" w:bidi="ar"/>
              </w:rPr>
              <w:t>法定代表人授权书</w:t>
            </w:r>
          </w:p>
        </w:tc>
        <w:tc>
          <w:tcPr>
            <w:tcW w:w="7052" w:type="dxa"/>
            <w:noWrap w:val="0"/>
            <w:vAlign w:val="center"/>
          </w:tcPr>
          <w:p w14:paraId="5DA09AE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rightChars="0" w:firstLine="0" w:firstLineChars="0"/>
              <w:jc w:val="both"/>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法定代表人授权书</w:t>
            </w:r>
            <w:r>
              <w:rPr>
                <w:rFonts w:hint="eastAsia" w:cs="Times New Roman"/>
                <w:kern w:val="0"/>
                <w:sz w:val="24"/>
                <w:szCs w:val="24"/>
                <w:highlight w:val="none"/>
                <w:lang w:val="en-US" w:eastAsia="zh-CN" w:bidi="ar-SA"/>
              </w:rPr>
              <w:t>，需</w:t>
            </w:r>
            <w:r>
              <w:rPr>
                <w:rFonts w:hint="eastAsia" w:ascii="宋体" w:hAnsi="宋体" w:eastAsia="宋体" w:cs="Times New Roman"/>
                <w:kern w:val="0"/>
                <w:sz w:val="24"/>
                <w:szCs w:val="24"/>
                <w:highlight w:val="none"/>
                <w:lang w:val="en-US" w:eastAsia="zh-CN" w:bidi="ar-SA"/>
              </w:rPr>
              <w:t>附法定代表人、被授权人身份证复印件</w:t>
            </w:r>
            <w:r>
              <w:rPr>
                <w:rFonts w:hint="eastAsia" w:cs="Times New Roman"/>
                <w:kern w:val="0"/>
                <w:sz w:val="24"/>
                <w:szCs w:val="24"/>
                <w:highlight w:val="none"/>
                <w:lang w:val="en-US" w:eastAsia="zh-CN" w:bidi="ar-SA"/>
              </w:rPr>
              <w:t>（</w:t>
            </w:r>
            <w:r>
              <w:rPr>
                <w:rFonts w:hint="eastAsia" w:ascii="宋体" w:hAnsi="宋体" w:eastAsia="宋体" w:cs="Times New Roman"/>
                <w:kern w:val="0"/>
                <w:sz w:val="24"/>
                <w:szCs w:val="24"/>
                <w:highlight w:val="none"/>
                <w:lang w:val="en-US" w:eastAsia="zh-CN" w:bidi="ar-SA"/>
              </w:rPr>
              <w:t>法定代表人直接参加磋商，须提供法定代表人身份证明</w:t>
            </w:r>
            <w:r>
              <w:rPr>
                <w:rFonts w:hint="eastAsia" w:cs="Times New Roman"/>
                <w:kern w:val="0"/>
                <w:sz w:val="24"/>
                <w:szCs w:val="24"/>
                <w:highlight w:val="none"/>
                <w:lang w:val="en-US" w:eastAsia="zh-CN" w:bidi="ar-SA"/>
              </w:rPr>
              <w:t>书）</w:t>
            </w:r>
          </w:p>
        </w:tc>
      </w:tr>
      <w:tr w14:paraId="1B1DC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jc w:val="center"/>
        </w:trPr>
        <w:tc>
          <w:tcPr>
            <w:tcW w:w="316" w:type="pct"/>
            <w:shd w:val="clear" w:color="auto" w:fill="auto"/>
            <w:noWrap w:val="0"/>
            <w:vAlign w:val="center"/>
          </w:tcPr>
          <w:p w14:paraId="2FA25E3F">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sz w:val="24"/>
                <w:szCs w:val="24"/>
                <w:highlight w:val="none"/>
                <w:lang w:val="en-US" w:eastAsia="zh-CN"/>
              </w:rPr>
              <w:t>9</w:t>
            </w:r>
          </w:p>
        </w:tc>
        <w:tc>
          <w:tcPr>
            <w:tcW w:w="1886" w:type="dxa"/>
            <w:noWrap w:val="0"/>
            <w:vAlign w:val="center"/>
          </w:tcPr>
          <w:p w14:paraId="460CABA5">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kern w:val="0"/>
                <w:sz w:val="24"/>
                <w:szCs w:val="24"/>
                <w:highlight w:val="none"/>
                <w:lang w:val="en-US" w:eastAsia="zh-CN" w:bidi="ar"/>
              </w:rPr>
              <w:t>信用信息</w:t>
            </w:r>
          </w:p>
        </w:tc>
        <w:tc>
          <w:tcPr>
            <w:tcW w:w="7052" w:type="dxa"/>
            <w:noWrap w:val="0"/>
            <w:vAlign w:val="center"/>
          </w:tcPr>
          <w:p w14:paraId="7FD6F907">
            <w:pPr>
              <w:keepNext w:val="0"/>
              <w:keepLines w:val="0"/>
              <w:pageBreakBefore w:val="0"/>
              <w:tabs>
                <w:tab w:val="left" w:pos="160"/>
              </w:tabs>
              <w:kinsoku/>
              <w:overflowPunct/>
              <w:topLinePunct w:val="0"/>
              <w:autoSpaceDE/>
              <w:autoSpaceDN/>
              <w:bidi w:val="0"/>
              <w:adjustRightInd/>
              <w:snapToGrid/>
              <w:spacing w:before="3" w:line="360" w:lineRule="auto"/>
              <w:ind w:left="11" w:leftChars="0" w:right="131" w:rightChars="0" w:firstLine="0" w:firstLineChars="0"/>
              <w:jc w:val="left"/>
              <w:textAlignment w:val="auto"/>
              <w:rPr>
                <w:rFonts w:hint="default" w:ascii="宋体" w:hAnsi="宋体" w:eastAsia="宋体" w:cs="宋体"/>
                <w:i w:val="0"/>
                <w:iCs w:val="0"/>
                <w:caps w:val="0"/>
                <w:color w:val="auto"/>
                <w:spacing w:val="0"/>
                <w:sz w:val="24"/>
                <w:szCs w:val="24"/>
                <w:highlight w:val="none"/>
                <w:shd w:val="clear" w:color="auto" w:fill="FFFFFF"/>
                <w:lang w:val="en-US"/>
              </w:rPr>
            </w:pPr>
            <w:r>
              <w:rPr>
                <w:rFonts w:hint="eastAsia"/>
                <w:sz w:val="24"/>
                <w:szCs w:val="24"/>
                <w:highlight w:val="none"/>
                <w:lang w:val="en-US" w:eastAsia="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tc>
      </w:tr>
      <w:tr w14:paraId="7A407D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jc w:val="center"/>
        </w:trPr>
        <w:tc>
          <w:tcPr>
            <w:tcW w:w="316" w:type="pct"/>
            <w:shd w:val="clear" w:color="auto" w:fill="auto"/>
            <w:noWrap w:val="0"/>
            <w:vAlign w:val="center"/>
          </w:tcPr>
          <w:p w14:paraId="0F8ED63E">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sz w:val="24"/>
                <w:szCs w:val="24"/>
                <w:highlight w:val="none"/>
                <w:lang w:val="en-US" w:eastAsia="zh-CN"/>
              </w:rPr>
              <w:t>10</w:t>
            </w:r>
          </w:p>
        </w:tc>
        <w:tc>
          <w:tcPr>
            <w:tcW w:w="1886" w:type="dxa"/>
            <w:noWrap w:val="0"/>
            <w:vAlign w:val="center"/>
          </w:tcPr>
          <w:p w14:paraId="3C275EB2">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eastAsia="宋体" w:cs="宋体"/>
                <w:i w:val="0"/>
                <w:iCs w:val="0"/>
                <w:caps w:val="0"/>
                <w:color w:val="auto"/>
                <w:spacing w:val="0"/>
                <w:sz w:val="24"/>
                <w:szCs w:val="24"/>
                <w:highlight w:val="none"/>
                <w:shd w:val="clear" w:color="auto" w:fill="FFFFFF"/>
                <w:lang w:val="en-US" w:eastAsia="zh-CN"/>
              </w:rPr>
            </w:pPr>
            <w:r>
              <w:rPr>
                <w:rFonts w:hint="eastAsia" w:cs="宋体"/>
                <w:i w:val="0"/>
                <w:iCs w:val="0"/>
                <w:caps w:val="0"/>
                <w:color w:val="auto"/>
                <w:spacing w:val="0"/>
                <w:sz w:val="24"/>
                <w:szCs w:val="24"/>
                <w:highlight w:val="none"/>
                <w:shd w:val="clear" w:color="auto" w:fill="FFFFFF"/>
                <w:lang w:val="en-US" w:eastAsia="zh-CN"/>
              </w:rPr>
              <w:t>供应商企业关联关系</w:t>
            </w:r>
          </w:p>
        </w:tc>
        <w:tc>
          <w:tcPr>
            <w:tcW w:w="7052" w:type="dxa"/>
            <w:shd w:val="clear" w:color="auto" w:fill="auto"/>
            <w:noWrap w:val="0"/>
            <w:vAlign w:val="center"/>
          </w:tcPr>
          <w:p w14:paraId="101DFC0A">
            <w:pPr>
              <w:pStyle w:val="17"/>
              <w:shd w:val="clear" w:color="auto" w:fill="FFFFFF"/>
              <w:spacing w:before="0" w:beforeAutospacing="0" w:after="0" w:afterAutospacing="0" w:line="360" w:lineRule="auto"/>
              <w:ind w:left="0" w:leftChars="0" w:firstLine="0" w:firstLineChars="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单位负责人为同一人或者存在直接控股、管理关系的不同供应商，不得同时参加同一合同项下的政府采购活动</w:t>
            </w:r>
            <w:r>
              <w:rPr>
                <w:rFonts w:hint="eastAsia" w:cs="宋体"/>
                <w:i w:val="0"/>
                <w:iCs w:val="0"/>
                <w:caps w:val="0"/>
                <w:color w:val="auto"/>
                <w:spacing w:val="0"/>
                <w:sz w:val="24"/>
                <w:szCs w:val="24"/>
                <w:highlight w:val="none"/>
                <w:shd w:val="clear" w:color="auto" w:fill="FFFFFF"/>
                <w:lang w:val="en-US" w:eastAsia="zh-CN"/>
              </w:rPr>
              <w:t>，提供承诺书。</w:t>
            </w:r>
          </w:p>
        </w:tc>
      </w:tr>
      <w:tr w14:paraId="66417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jc w:val="center"/>
        </w:trPr>
        <w:tc>
          <w:tcPr>
            <w:tcW w:w="316" w:type="pct"/>
            <w:shd w:val="clear" w:color="auto" w:fill="auto"/>
            <w:noWrap w:val="0"/>
            <w:vAlign w:val="center"/>
          </w:tcPr>
          <w:p w14:paraId="700245D6">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default" w:cs="宋体"/>
                <w:color w:val="auto"/>
                <w:sz w:val="24"/>
                <w:szCs w:val="24"/>
                <w:highlight w:val="none"/>
                <w:lang w:val="en-US" w:eastAsia="zh-CN"/>
              </w:rPr>
            </w:pPr>
            <w:r>
              <w:rPr>
                <w:rFonts w:hint="eastAsia" w:cs="宋体"/>
                <w:color w:val="auto"/>
                <w:sz w:val="24"/>
                <w:szCs w:val="24"/>
                <w:highlight w:val="none"/>
                <w:lang w:val="en-US" w:eastAsia="zh-CN"/>
              </w:rPr>
              <w:t>11</w:t>
            </w:r>
          </w:p>
        </w:tc>
        <w:tc>
          <w:tcPr>
            <w:tcW w:w="1886" w:type="dxa"/>
            <w:noWrap w:val="0"/>
            <w:vAlign w:val="center"/>
          </w:tcPr>
          <w:p w14:paraId="7E6B390D">
            <w:pPr>
              <w:keepNext w:val="0"/>
              <w:keepLines w:val="0"/>
              <w:pageBreakBefore w:val="0"/>
              <w:kinsoku/>
              <w:overflowPunct/>
              <w:topLinePunct w:val="0"/>
              <w:autoSpaceDE/>
              <w:autoSpaceDN/>
              <w:bidi w:val="0"/>
              <w:adjustRightInd/>
              <w:snapToGrid/>
              <w:spacing w:before="91" w:line="360" w:lineRule="auto"/>
              <w:ind w:firstLine="0" w:firstLineChars="0"/>
              <w:jc w:val="center"/>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中小企业声明函</w:t>
            </w:r>
          </w:p>
        </w:tc>
        <w:tc>
          <w:tcPr>
            <w:tcW w:w="7052" w:type="dxa"/>
            <w:shd w:val="clear" w:color="auto" w:fill="auto"/>
            <w:noWrap w:val="0"/>
            <w:vAlign w:val="center"/>
          </w:tcPr>
          <w:p w14:paraId="4C685243">
            <w:pPr>
              <w:pStyle w:val="17"/>
              <w:shd w:val="clear" w:color="auto" w:fill="FFFFFF"/>
              <w:spacing w:before="0" w:beforeAutospacing="0" w:after="0" w:afterAutospacing="0" w:line="360" w:lineRule="auto"/>
              <w:ind w:left="0" w:leftChars="0" w:firstLine="0" w:firstLineChars="0"/>
              <w:jc w:val="both"/>
              <w:rPr>
                <w:rFonts w:hint="default" w:ascii="宋体" w:hAnsi="宋体" w:eastAsia="宋体" w:cs="宋体"/>
                <w:color w:val="auto"/>
                <w:highlight w:val="none"/>
                <w:lang w:val="en-US" w:eastAsia="zh-CN"/>
              </w:rPr>
            </w:pPr>
            <w:r>
              <w:rPr>
                <w:rFonts w:hint="eastAsia" w:ascii="宋体" w:hAnsi="宋体" w:eastAsia="宋体" w:cs="宋体"/>
                <w:sz w:val="24"/>
                <w:szCs w:val="24"/>
                <w:highlight w:val="none"/>
                <w:u w:val="none"/>
                <w:lang w:val="en-US" w:eastAsia="zh-CN"/>
              </w:rPr>
              <w:t>供应商需出具《中小型企业声明函》</w:t>
            </w:r>
            <w:r>
              <w:rPr>
                <w:rFonts w:hint="eastAsia" w:cs="宋体"/>
                <w:sz w:val="24"/>
                <w:szCs w:val="24"/>
                <w:highlight w:val="none"/>
                <w:u w:val="none"/>
                <w:lang w:val="en-US" w:eastAsia="zh-CN"/>
              </w:rPr>
              <w:t>。</w:t>
            </w:r>
          </w:p>
        </w:tc>
      </w:tr>
    </w:tbl>
    <w:p w14:paraId="53F3BB79">
      <w:pPr>
        <w:pStyle w:val="4"/>
        <w:bidi w:val="0"/>
        <w:rPr>
          <w:rFonts w:hint="eastAsia" w:ascii="宋体" w:hAnsi="宋体" w:eastAsia="宋体" w:cs="宋体"/>
          <w:highlight w:val="none"/>
        </w:rPr>
      </w:pPr>
      <w:r>
        <w:rPr>
          <w:rFonts w:hint="eastAsia" w:ascii="宋体" w:hAnsi="宋体" w:eastAsia="宋体" w:cs="宋体"/>
        </w:rPr>
        <w:br w:type="page"/>
      </w:r>
      <w:r>
        <w:rPr>
          <w:rFonts w:hint="eastAsia" w:ascii="宋体" w:hAnsi="宋体" w:eastAsia="宋体" w:cs="宋体"/>
        </w:rPr>
        <w:t>附表2 ：符合性审查</w:t>
      </w:r>
      <w:r>
        <w:rPr>
          <w:rFonts w:hint="eastAsia" w:ascii="宋体" w:hAnsi="宋体" w:eastAsia="宋体" w:cs="宋体"/>
          <w:lang w:val="en-US" w:eastAsia="zh-CN"/>
        </w:rPr>
        <w:t>标准</w:t>
      </w:r>
    </w:p>
    <w:tbl>
      <w:tblPr>
        <w:tblStyle w:val="44"/>
        <w:tblW w:w="5215" w:type="pct"/>
        <w:tblInd w:w="-15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7"/>
        <w:gridCol w:w="809"/>
        <w:gridCol w:w="2439"/>
        <w:gridCol w:w="5607"/>
      </w:tblGrid>
      <w:tr w14:paraId="05B2D3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trPr>
        <w:tc>
          <w:tcPr>
            <w:tcW w:w="2046" w:type="pct"/>
            <w:gridSpan w:val="3"/>
            <w:tcBorders>
              <w:top w:val="single" w:color="auto" w:sz="4" w:space="0"/>
              <w:left w:val="single" w:color="auto" w:sz="4" w:space="0"/>
              <w:bottom w:val="single" w:color="auto" w:sz="4" w:space="0"/>
              <w:right w:val="single" w:color="auto" w:sz="4" w:space="0"/>
            </w:tcBorders>
            <w:shd w:val="clear" w:color="auto" w:fill="D7D7D7"/>
            <w:noWrap w:val="0"/>
            <w:vAlign w:val="center"/>
          </w:tcPr>
          <w:p w14:paraId="0634971B">
            <w:pPr>
              <w:keepNext w:val="0"/>
              <w:keepLines w:val="0"/>
              <w:pageBreakBefore w:val="0"/>
              <w:widowControl w:val="0"/>
              <w:kinsoku/>
              <w:wordWrap/>
              <w:overflowPunct/>
              <w:topLinePunct w:val="0"/>
              <w:autoSpaceDE/>
              <w:autoSpaceDN/>
              <w:bidi w:val="0"/>
              <w:adjustRightInd/>
              <w:snapToGrid/>
              <w:spacing w:before="147" w:line="360" w:lineRule="auto"/>
              <w:ind w:firstLine="0" w:firstLineChars="0"/>
              <w:jc w:val="center"/>
              <w:textAlignment w:val="auto"/>
              <w:rPr>
                <w:rFonts w:hint="eastAsia" w:ascii="宋体" w:hAnsi="宋体" w:eastAsia="宋体" w:cs="宋体"/>
                <w:color w:val="auto"/>
                <w:spacing w:val="-7"/>
                <w:sz w:val="24"/>
                <w:szCs w:val="24"/>
                <w:highlight w:val="none"/>
                <w:shd w:val="clear" w:color="FFFFFF" w:fill="D9D9D9"/>
                <w:lang w:val="en-US" w:eastAsia="zh-CN"/>
              </w:rPr>
            </w:pPr>
            <w:r>
              <w:rPr>
                <w:rFonts w:hint="eastAsia" w:ascii="宋体" w:hAnsi="宋体" w:eastAsia="宋体" w:cs="宋体"/>
                <w:color w:val="auto"/>
                <w:spacing w:val="-7"/>
                <w:sz w:val="24"/>
                <w:szCs w:val="24"/>
                <w:highlight w:val="none"/>
                <w:shd w:val="clear" w:color="FFFFFF" w:fill="D9D9D9"/>
                <w:lang w:val="en-US" w:eastAsia="zh-CN"/>
              </w:rPr>
              <w:t>符合性</w:t>
            </w:r>
            <w:r>
              <w:rPr>
                <w:rFonts w:hint="eastAsia" w:ascii="宋体" w:hAnsi="宋体" w:eastAsia="宋体" w:cs="宋体"/>
                <w:color w:val="auto"/>
                <w:spacing w:val="-7"/>
                <w:sz w:val="24"/>
                <w:szCs w:val="24"/>
                <w:highlight w:val="none"/>
                <w:shd w:val="clear" w:color="FFFFFF" w:fill="D9D9D9"/>
                <w:lang w:eastAsia="zh-CN"/>
              </w:rPr>
              <w:t>审查内容</w:t>
            </w:r>
          </w:p>
        </w:tc>
        <w:tc>
          <w:tcPr>
            <w:tcW w:w="2953" w:type="pct"/>
            <w:tcBorders>
              <w:top w:val="single" w:color="auto" w:sz="4" w:space="0"/>
              <w:left w:val="single" w:color="auto" w:sz="4" w:space="0"/>
              <w:bottom w:val="single" w:color="auto" w:sz="4" w:space="0"/>
              <w:right w:val="single" w:color="auto" w:sz="4" w:space="0"/>
            </w:tcBorders>
            <w:shd w:val="clear" w:color="auto" w:fill="D7D7D7"/>
            <w:noWrap w:val="0"/>
            <w:vAlign w:val="center"/>
          </w:tcPr>
          <w:p w14:paraId="306EFD26">
            <w:pPr>
              <w:keepNext w:val="0"/>
              <w:keepLines w:val="0"/>
              <w:pageBreakBefore w:val="0"/>
              <w:widowControl w:val="0"/>
              <w:kinsoku/>
              <w:wordWrap/>
              <w:overflowPunct/>
              <w:topLinePunct w:val="0"/>
              <w:autoSpaceDE/>
              <w:autoSpaceDN/>
              <w:bidi w:val="0"/>
              <w:adjustRightInd/>
              <w:snapToGrid/>
              <w:spacing w:before="147" w:line="360" w:lineRule="auto"/>
              <w:ind w:firstLine="0" w:firstLineChars="0"/>
              <w:jc w:val="center"/>
              <w:textAlignment w:val="auto"/>
              <w:rPr>
                <w:rFonts w:hint="eastAsia" w:ascii="宋体" w:hAnsi="宋体" w:eastAsia="宋体" w:cs="宋体"/>
                <w:color w:val="auto"/>
                <w:spacing w:val="-7"/>
                <w:sz w:val="24"/>
                <w:szCs w:val="24"/>
                <w:highlight w:val="none"/>
                <w:shd w:val="clear" w:color="FFFFFF" w:fill="D9D9D9"/>
                <w:lang w:val="en-US" w:eastAsia="zh-CN"/>
              </w:rPr>
            </w:pPr>
            <w:r>
              <w:rPr>
                <w:rFonts w:hint="eastAsia" w:ascii="宋体" w:hAnsi="宋体" w:eastAsia="宋体" w:cs="宋体"/>
                <w:color w:val="auto"/>
                <w:spacing w:val="-7"/>
                <w:sz w:val="24"/>
                <w:szCs w:val="24"/>
                <w:highlight w:val="none"/>
                <w:shd w:val="clear" w:color="FFFFFF" w:fill="D9D9D9"/>
                <w:lang w:eastAsia="zh-CN"/>
              </w:rPr>
              <w:t>审查标准</w:t>
            </w:r>
          </w:p>
        </w:tc>
      </w:tr>
      <w:tr w14:paraId="71946E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trPr>
        <w:tc>
          <w:tcPr>
            <w:tcW w:w="335" w:type="pct"/>
            <w:vMerge w:val="restart"/>
            <w:tcBorders>
              <w:top w:val="single" w:color="auto" w:sz="4" w:space="0"/>
              <w:bottom w:val="nil"/>
            </w:tcBorders>
            <w:noWrap w:val="0"/>
            <w:textDirection w:val="tbLrV"/>
            <w:vAlign w:val="center"/>
          </w:tcPr>
          <w:p w14:paraId="2846A6F1">
            <w:pPr>
              <w:keepNext w:val="0"/>
              <w:keepLines w:val="0"/>
              <w:pageBreakBefore w:val="0"/>
              <w:widowControl w:val="0"/>
              <w:kinsoku/>
              <w:wordWrap/>
              <w:overflowPunct/>
              <w:topLinePunct w:val="0"/>
              <w:autoSpaceDE/>
              <w:autoSpaceDN/>
              <w:bidi w:val="0"/>
              <w:adjustRightInd/>
              <w:snapToGrid/>
              <w:spacing w:before="107" w:line="360" w:lineRule="auto"/>
              <w:ind w:left="113" w:right="113" w:firstLine="0" w:firstLineChars="0"/>
              <w:jc w:val="center"/>
              <w:textAlignment w:val="auto"/>
              <w:rPr>
                <w:rFonts w:hint="eastAsia" w:ascii="宋体" w:hAnsi="宋体" w:eastAsia="宋体" w:cs="宋体"/>
                <w:color w:val="auto"/>
                <w:sz w:val="23"/>
                <w:szCs w:val="23"/>
                <w:highlight w:val="none"/>
              </w:rPr>
            </w:pPr>
            <w:r>
              <w:rPr>
                <w:rFonts w:hint="eastAsia" w:ascii="宋体" w:hAnsi="宋体" w:eastAsia="宋体" w:cs="宋体"/>
                <w:color w:val="auto"/>
                <w:spacing w:val="-15"/>
                <w:sz w:val="24"/>
                <w:szCs w:val="24"/>
                <w:highlight w:val="none"/>
              </w:rPr>
              <w:t>符</w:t>
            </w:r>
            <w:r>
              <w:rPr>
                <w:rFonts w:hint="eastAsia" w:ascii="宋体" w:hAnsi="宋体" w:eastAsia="宋体" w:cs="宋体"/>
                <w:color w:val="auto"/>
                <w:spacing w:val="-14"/>
                <w:sz w:val="24"/>
                <w:szCs w:val="24"/>
                <w:highlight w:val="none"/>
              </w:rPr>
              <w:t xml:space="preserve"> 合 性 评 审 标 准</w:t>
            </w:r>
          </w:p>
        </w:tc>
        <w:tc>
          <w:tcPr>
            <w:tcW w:w="426" w:type="pct"/>
            <w:vMerge w:val="restart"/>
            <w:tcBorders>
              <w:top w:val="single" w:color="auto" w:sz="4" w:space="0"/>
            </w:tcBorders>
            <w:noWrap w:val="0"/>
            <w:vAlign w:val="center"/>
          </w:tcPr>
          <w:p w14:paraId="47FAB3A6">
            <w:pPr>
              <w:keepNext w:val="0"/>
              <w:keepLines w:val="0"/>
              <w:pageBreakBefore w:val="0"/>
              <w:widowControl w:val="0"/>
              <w:kinsoku/>
              <w:wordWrap/>
              <w:overflowPunct/>
              <w:topLinePunct w:val="0"/>
              <w:autoSpaceDE/>
              <w:autoSpaceDN/>
              <w:bidi w:val="0"/>
              <w:adjustRightInd/>
              <w:snapToGrid/>
              <w:spacing w:before="75" w:line="360" w:lineRule="auto"/>
              <w:ind w:right="138"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有效性审查</w:t>
            </w:r>
          </w:p>
        </w:tc>
        <w:tc>
          <w:tcPr>
            <w:tcW w:w="1284" w:type="pct"/>
            <w:tcBorders>
              <w:top w:val="single" w:color="auto" w:sz="4" w:space="0"/>
            </w:tcBorders>
            <w:noWrap w:val="0"/>
            <w:vAlign w:val="center"/>
          </w:tcPr>
          <w:p w14:paraId="0CB164AF">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磋商响应文件的签署盖章</w:t>
            </w:r>
          </w:p>
        </w:tc>
        <w:tc>
          <w:tcPr>
            <w:tcW w:w="2953" w:type="pct"/>
            <w:tcBorders>
              <w:top w:val="single" w:color="auto" w:sz="4" w:space="0"/>
            </w:tcBorders>
            <w:noWrap w:val="0"/>
            <w:vAlign w:val="center"/>
          </w:tcPr>
          <w:p w14:paraId="37D25238">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磋商响应文件上法定代表人或其授权代表人的签字齐全并加盖公章</w:t>
            </w:r>
          </w:p>
        </w:tc>
      </w:tr>
      <w:tr w14:paraId="299E6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335" w:type="pct"/>
            <w:vMerge w:val="continue"/>
            <w:tcBorders>
              <w:top w:val="nil"/>
              <w:bottom w:val="nil"/>
            </w:tcBorders>
            <w:noWrap w:val="0"/>
            <w:textDirection w:val="tbRlV"/>
            <w:vAlign w:val="top"/>
          </w:tcPr>
          <w:p w14:paraId="2BD5731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highlight w:val="none"/>
              </w:rPr>
            </w:pPr>
          </w:p>
        </w:tc>
        <w:tc>
          <w:tcPr>
            <w:tcW w:w="426" w:type="pct"/>
            <w:vMerge w:val="continue"/>
            <w:noWrap w:val="0"/>
            <w:vAlign w:val="center"/>
          </w:tcPr>
          <w:p w14:paraId="1DD4540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84" w:type="pct"/>
            <w:noWrap w:val="0"/>
            <w:vAlign w:val="center"/>
          </w:tcPr>
          <w:p w14:paraId="7DD5DA71">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报价唯一</w:t>
            </w:r>
          </w:p>
        </w:tc>
        <w:tc>
          <w:tcPr>
            <w:tcW w:w="2953" w:type="pct"/>
            <w:noWrap w:val="0"/>
            <w:vAlign w:val="center"/>
          </w:tcPr>
          <w:p w14:paraId="2B977B52">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只能有一个有效报价，不得提交选择性报价，且报价不超过最高限价</w:t>
            </w:r>
          </w:p>
        </w:tc>
      </w:tr>
      <w:tr w14:paraId="28676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335" w:type="pct"/>
            <w:vMerge w:val="continue"/>
            <w:tcBorders>
              <w:top w:val="nil"/>
              <w:bottom w:val="nil"/>
            </w:tcBorders>
            <w:noWrap w:val="0"/>
            <w:textDirection w:val="tbRlV"/>
            <w:vAlign w:val="top"/>
          </w:tcPr>
          <w:p w14:paraId="648EFD8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highlight w:val="none"/>
              </w:rPr>
            </w:pPr>
          </w:p>
        </w:tc>
        <w:tc>
          <w:tcPr>
            <w:tcW w:w="426" w:type="pct"/>
            <w:vMerge w:val="continue"/>
            <w:noWrap w:val="0"/>
            <w:vAlign w:val="center"/>
          </w:tcPr>
          <w:p w14:paraId="2A5D06B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84" w:type="pct"/>
            <w:noWrap w:val="0"/>
            <w:vAlign w:val="center"/>
          </w:tcPr>
          <w:p w14:paraId="62E3E7EE">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响应文件格式</w:t>
            </w:r>
          </w:p>
        </w:tc>
        <w:tc>
          <w:tcPr>
            <w:tcW w:w="2953" w:type="pct"/>
            <w:noWrap w:val="0"/>
            <w:vAlign w:val="center"/>
          </w:tcPr>
          <w:p w14:paraId="17A2B256">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应符合“投标文件格式”要求</w:t>
            </w:r>
          </w:p>
        </w:tc>
      </w:tr>
      <w:tr w14:paraId="3E3BD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335" w:type="pct"/>
            <w:vMerge w:val="continue"/>
            <w:tcBorders>
              <w:top w:val="nil"/>
              <w:bottom w:val="nil"/>
            </w:tcBorders>
            <w:noWrap w:val="0"/>
            <w:textDirection w:val="tbRlV"/>
            <w:vAlign w:val="top"/>
          </w:tcPr>
          <w:p w14:paraId="2399C9C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highlight w:val="none"/>
              </w:rPr>
            </w:pPr>
          </w:p>
        </w:tc>
        <w:tc>
          <w:tcPr>
            <w:tcW w:w="426" w:type="pct"/>
            <w:vMerge w:val="continue"/>
            <w:noWrap w:val="0"/>
            <w:vAlign w:val="center"/>
          </w:tcPr>
          <w:p w14:paraId="05A95AC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84" w:type="pct"/>
            <w:noWrap w:val="0"/>
            <w:vAlign w:val="center"/>
          </w:tcPr>
          <w:p w14:paraId="53D94865">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投标保证金</w:t>
            </w:r>
          </w:p>
        </w:tc>
        <w:tc>
          <w:tcPr>
            <w:tcW w:w="2953" w:type="pct"/>
            <w:noWrap w:val="0"/>
            <w:vAlign w:val="center"/>
          </w:tcPr>
          <w:p w14:paraId="4E587B0A">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spacing w:val="8"/>
                <w:highlight w:val="none"/>
                <w:lang w:eastAsia="zh-CN"/>
              </w:rPr>
              <w:t>应</w:t>
            </w:r>
            <w:r>
              <w:rPr>
                <w:rFonts w:hint="eastAsia" w:ascii="宋体" w:hAnsi="宋体" w:eastAsia="宋体" w:cs="宋体"/>
                <w:spacing w:val="8"/>
                <w:highlight w:val="none"/>
                <w:lang w:val="en-US" w:eastAsia="zh-CN"/>
              </w:rPr>
              <w:t>符合招标</w:t>
            </w:r>
            <w:r>
              <w:rPr>
                <w:rFonts w:hint="eastAsia" w:ascii="宋体" w:hAnsi="宋体" w:eastAsia="宋体" w:cs="宋体"/>
                <w:spacing w:val="8"/>
                <w:highlight w:val="none"/>
                <w:lang w:eastAsia="zh-CN"/>
              </w:rPr>
              <w:t>文件中的规定。</w:t>
            </w:r>
          </w:p>
        </w:tc>
      </w:tr>
      <w:tr w14:paraId="253808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335" w:type="pct"/>
            <w:vMerge w:val="continue"/>
            <w:tcBorders>
              <w:top w:val="nil"/>
              <w:bottom w:val="nil"/>
            </w:tcBorders>
            <w:noWrap w:val="0"/>
            <w:textDirection w:val="tbRlV"/>
            <w:vAlign w:val="top"/>
          </w:tcPr>
          <w:p w14:paraId="245250D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highlight w:val="none"/>
              </w:rPr>
            </w:pPr>
          </w:p>
        </w:tc>
        <w:tc>
          <w:tcPr>
            <w:tcW w:w="426" w:type="pct"/>
            <w:vMerge w:val="restart"/>
            <w:tcBorders>
              <w:bottom w:val="nil"/>
            </w:tcBorders>
            <w:noWrap w:val="0"/>
            <w:vAlign w:val="center"/>
          </w:tcPr>
          <w:p w14:paraId="1C83D579">
            <w:pPr>
              <w:keepNext w:val="0"/>
              <w:keepLines w:val="0"/>
              <w:pageBreakBefore w:val="0"/>
              <w:widowControl w:val="0"/>
              <w:kinsoku/>
              <w:wordWrap/>
              <w:overflowPunct/>
              <w:topLinePunct w:val="0"/>
              <w:autoSpaceDE/>
              <w:autoSpaceDN/>
              <w:bidi w:val="0"/>
              <w:adjustRightInd/>
              <w:snapToGrid/>
              <w:spacing w:before="75" w:line="360" w:lineRule="auto"/>
              <w:ind w:right="138"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完</w:t>
            </w:r>
            <w:r>
              <w:rPr>
                <w:rFonts w:hint="eastAsia" w:ascii="宋体" w:hAnsi="宋体" w:eastAsia="宋体" w:cs="宋体"/>
                <w:color w:val="auto"/>
                <w:spacing w:val="2"/>
                <w:sz w:val="24"/>
                <w:szCs w:val="24"/>
                <w:highlight w:val="none"/>
              </w:rPr>
              <w:t>整性</w:t>
            </w:r>
            <w:r>
              <w:rPr>
                <w:rFonts w:hint="eastAsia" w:ascii="宋体" w:hAnsi="宋体" w:eastAsia="宋体" w:cs="宋体"/>
                <w:color w:val="auto"/>
                <w:spacing w:val="-5"/>
                <w:sz w:val="24"/>
                <w:szCs w:val="24"/>
                <w:highlight w:val="none"/>
              </w:rPr>
              <w:t>审</w:t>
            </w:r>
            <w:r>
              <w:rPr>
                <w:rFonts w:hint="eastAsia" w:ascii="宋体" w:hAnsi="宋体" w:eastAsia="宋体" w:cs="宋体"/>
                <w:color w:val="auto"/>
                <w:spacing w:val="-4"/>
                <w:sz w:val="24"/>
                <w:szCs w:val="24"/>
                <w:highlight w:val="none"/>
              </w:rPr>
              <w:t>查</w:t>
            </w:r>
          </w:p>
        </w:tc>
        <w:tc>
          <w:tcPr>
            <w:tcW w:w="1284" w:type="pct"/>
            <w:noWrap w:val="0"/>
            <w:vAlign w:val="center"/>
          </w:tcPr>
          <w:p w14:paraId="5D2F8645">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磋商响应文件份数</w:t>
            </w:r>
          </w:p>
        </w:tc>
        <w:tc>
          <w:tcPr>
            <w:tcW w:w="2953" w:type="pct"/>
            <w:noWrap w:val="0"/>
            <w:vAlign w:val="center"/>
          </w:tcPr>
          <w:p w14:paraId="28A5351E">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应符合“供应商须知”规定的电子版文件数量</w:t>
            </w:r>
          </w:p>
        </w:tc>
      </w:tr>
      <w:tr w14:paraId="7B3310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335" w:type="pct"/>
            <w:vMerge w:val="continue"/>
            <w:tcBorders>
              <w:top w:val="nil"/>
              <w:bottom w:val="nil"/>
            </w:tcBorders>
            <w:noWrap w:val="0"/>
            <w:textDirection w:val="tbRlV"/>
            <w:vAlign w:val="top"/>
          </w:tcPr>
          <w:p w14:paraId="5DEA0D8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highlight w:val="none"/>
              </w:rPr>
            </w:pPr>
          </w:p>
        </w:tc>
        <w:tc>
          <w:tcPr>
            <w:tcW w:w="426" w:type="pct"/>
            <w:vMerge w:val="continue"/>
            <w:tcBorders>
              <w:top w:val="nil"/>
            </w:tcBorders>
            <w:noWrap w:val="0"/>
            <w:vAlign w:val="center"/>
          </w:tcPr>
          <w:p w14:paraId="78B0140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84" w:type="pct"/>
            <w:noWrap w:val="0"/>
            <w:vAlign w:val="center"/>
          </w:tcPr>
          <w:p w14:paraId="47E7D96E">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磋商响应文件内容</w:t>
            </w:r>
          </w:p>
        </w:tc>
        <w:tc>
          <w:tcPr>
            <w:tcW w:w="2953" w:type="pct"/>
            <w:noWrap w:val="0"/>
            <w:vAlign w:val="center"/>
          </w:tcPr>
          <w:p w14:paraId="1F41A1F5">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磋商响应文件内容齐全、无遗漏</w:t>
            </w:r>
          </w:p>
        </w:tc>
      </w:tr>
      <w:tr w14:paraId="423D5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335" w:type="pct"/>
            <w:vMerge w:val="continue"/>
            <w:tcBorders>
              <w:top w:val="nil"/>
              <w:bottom w:val="nil"/>
            </w:tcBorders>
            <w:noWrap w:val="0"/>
            <w:textDirection w:val="tbRlV"/>
            <w:vAlign w:val="top"/>
          </w:tcPr>
          <w:p w14:paraId="05D7B04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highlight w:val="none"/>
              </w:rPr>
            </w:pPr>
          </w:p>
        </w:tc>
        <w:tc>
          <w:tcPr>
            <w:tcW w:w="426" w:type="pct"/>
            <w:vMerge w:val="restart"/>
            <w:tcBorders>
              <w:bottom w:val="nil"/>
            </w:tcBorders>
            <w:noWrap w:val="0"/>
            <w:vAlign w:val="center"/>
          </w:tcPr>
          <w:p w14:paraId="6C605325">
            <w:pPr>
              <w:keepNext w:val="0"/>
              <w:keepLines w:val="0"/>
              <w:pageBreakBefore w:val="0"/>
              <w:widowControl w:val="0"/>
              <w:kinsoku/>
              <w:wordWrap/>
              <w:overflowPunct/>
              <w:topLinePunct w:val="0"/>
              <w:autoSpaceDE/>
              <w:autoSpaceDN/>
              <w:bidi w:val="0"/>
              <w:adjustRightInd/>
              <w:snapToGrid/>
              <w:spacing w:before="75" w:line="360" w:lineRule="auto"/>
              <w:ind w:right="138"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响应</w:t>
            </w:r>
            <w:r>
              <w:rPr>
                <w:rFonts w:hint="eastAsia" w:ascii="宋体" w:hAnsi="宋体" w:eastAsia="宋体" w:cs="宋体"/>
                <w:color w:val="auto"/>
                <w:spacing w:val="4"/>
                <w:sz w:val="24"/>
                <w:szCs w:val="24"/>
                <w:highlight w:val="none"/>
              </w:rPr>
              <w:t>性</w:t>
            </w:r>
            <w:r>
              <w:rPr>
                <w:rFonts w:hint="eastAsia" w:ascii="宋体" w:hAnsi="宋体" w:eastAsia="宋体" w:cs="宋体"/>
                <w:color w:val="auto"/>
                <w:spacing w:val="-5"/>
                <w:sz w:val="24"/>
                <w:szCs w:val="24"/>
                <w:highlight w:val="none"/>
              </w:rPr>
              <w:t>审</w:t>
            </w:r>
            <w:r>
              <w:rPr>
                <w:rFonts w:hint="eastAsia" w:ascii="宋体" w:hAnsi="宋体" w:eastAsia="宋体" w:cs="宋体"/>
                <w:color w:val="auto"/>
                <w:spacing w:val="-4"/>
                <w:sz w:val="24"/>
                <w:szCs w:val="24"/>
                <w:highlight w:val="none"/>
              </w:rPr>
              <w:t>查</w:t>
            </w:r>
          </w:p>
        </w:tc>
        <w:tc>
          <w:tcPr>
            <w:tcW w:w="1284" w:type="pct"/>
            <w:noWrap w:val="0"/>
            <w:vAlign w:val="center"/>
          </w:tcPr>
          <w:p w14:paraId="028F7B9E">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对磋商文件响应程度</w:t>
            </w:r>
          </w:p>
        </w:tc>
        <w:tc>
          <w:tcPr>
            <w:tcW w:w="2953" w:type="pct"/>
            <w:noWrap w:val="0"/>
            <w:vAlign w:val="center"/>
          </w:tcPr>
          <w:p w14:paraId="6488FD2E">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要求全面响应，不能有任何采购人不能接受的重大负偏离或不能接受的附加条件</w:t>
            </w:r>
          </w:p>
        </w:tc>
      </w:tr>
      <w:tr w14:paraId="74B1C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335" w:type="pct"/>
            <w:vMerge w:val="continue"/>
            <w:tcBorders>
              <w:top w:val="nil"/>
              <w:bottom w:val="nil"/>
            </w:tcBorders>
            <w:noWrap w:val="0"/>
            <w:textDirection w:val="tbRlV"/>
            <w:vAlign w:val="top"/>
          </w:tcPr>
          <w:p w14:paraId="6788FE7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highlight w:val="none"/>
              </w:rPr>
            </w:pPr>
          </w:p>
        </w:tc>
        <w:tc>
          <w:tcPr>
            <w:tcW w:w="426" w:type="pct"/>
            <w:vMerge w:val="continue"/>
            <w:tcBorders>
              <w:top w:val="nil"/>
              <w:bottom w:val="nil"/>
            </w:tcBorders>
            <w:noWrap w:val="0"/>
            <w:vAlign w:val="top"/>
          </w:tcPr>
          <w:p w14:paraId="2FD55186">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1"/>
                <w:highlight w:val="none"/>
              </w:rPr>
            </w:pPr>
          </w:p>
        </w:tc>
        <w:tc>
          <w:tcPr>
            <w:tcW w:w="1284" w:type="pct"/>
            <w:shd w:val="clear" w:color="auto" w:fill="auto"/>
            <w:noWrap w:val="0"/>
            <w:vAlign w:val="center"/>
          </w:tcPr>
          <w:p w14:paraId="1BC6B4E4">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center"/>
              <w:textAlignment w:val="auto"/>
              <w:rPr>
                <w:rFonts w:hint="eastAsia" w:ascii="宋体" w:hAnsi="宋体" w:eastAsia="宋体"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技术</w:t>
            </w:r>
            <w:r>
              <w:rPr>
                <w:rFonts w:hint="eastAsia" w:ascii="宋体" w:hAnsi="宋体" w:eastAsia="宋体" w:cs="宋体"/>
                <w:color w:val="auto"/>
                <w:kern w:val="0"/>
                <w:sz w:val="24"/>
                <w:szCs w:val="24"/>
                <w:highlight w:val="none"/>
                <w:lang w:val="en-US" w:eastAsia="zh-CN" w:bidi="ar"/>
              </w:rPr>
              <w:t>商务要求</w:t>
            </w:r>
          </w:p>
        </w:tc>
        <w:tc>
          <w:tcPr>
            <w:tcW w:w="2953" w:type="pct"/>
            <w:shd w:val="clear" w:color="auto" w:fill="auto"/>
            <w:noWrap w:val="0"/>
            <w:vAlign w:val="center"/>
          </w:tcPr>
          <w:p w14:paraId="203E0B0A">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应满足磋商文件中要求的</w:t>
            </w:r>
            <w:r>
              <w:rPr>
                <w:rFonts w:hint="eastAsia" w:cs="宋体"/>
                <w:color w:val="auto"/>
                <w:kern w:val="0"/>
                <w:sz w:val="24"/>
                <w:szCs w:val="24"/>
                <w:highlight w:val="none"/>
                <w:lang w:val="en-US" w:eastAsia="zh-CN" w:bidi="ar"/>
              </w:rPr>
              <w:t>技术、</w:t>
            </w:r>
            <w:r>
              <w:rPr>
                <w:rFonts w:hint="eastAsia" w:ascii="宋体" w:hAnsi="宋体" w:eastAsia="宋体" w:cs="宋体"/>
                <w:color w:val="auto"/>
                <w:kern w:val="0"/>
                <w:sz w:val="24"/>
                <w:szCs w:val="24"/>
                <w:highlight w:val="none"/>
                <w:lang w:val="en-US" w:eastAsia="zh-CN" w:bidi="ar"/>
              </w:rPr>
              <w:t>商务要求</w:t>
            </w:r>
          </w:p>
        </w:tc>
      </w:tr>
      <w:tr w14:paraId="7ED1B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335" w:type="pct"/>
            <w:vMerge w:val="continue"/>
            <w:tcBorders>
              <w:top w:val="nil"/>
            </w:tcBorders>
            <w:noWrap w:val="0"/>
            <w:textDirection w:val="tbRlV"/>
            <w:vAlign w:val="top"/>
          </w:tcPr>
          <w:p w14:paraId="6B06948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highlight w:val="none"/>
              </w:rPr>
            </w:pPr>
          </w:p>
        </w:tc>
        <w:tc>
          <w:tcPr>
            <w:tcW w:w="426" w:type="pct"/>
            <w:vMerge w:val="continue"/>
            <w:tcBorders>
              <w:top w:val="nil"/>
            </w:tcBorders>
            <w:noWrap w:val="0"/>
            <w:vAlign w:val="top"/>
          </w:tcPr>
          <w:p w14:paraId="19828D9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1"/>
                <w:highlight w:val="none"/>
              </w:rPr>
            </w:pPr>
          </w:p>
        </w:tc>
        <w:tc>
          <w:tcPr>
            <w:tcW w:w="1284" w:type="pct"/>
            <w:noWrap w:val="0"/>
            <w:vAlign w:val="center"/>
          </w:tcPr>
          <w:p w14:paraId="7653B91F">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center"/>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磋商有效期</w:t>
            </w:r>
          </w:p>
        </w:tc>
        <w:tc>
          <w:tcPr>
            <w:tcW w:w="2953" w:type="pct"/>
            <w:noWrap w:val="0"/>
            <w:vAlign w:val="center"/>
          </w:tcPr>
          <w:p w14:paraId="3DA21439">
            <w:pPr>
              <w:keepNext w:val="0"/>
              <w:keepLines w:val="0"/>
              <w:pageBreakBefore w:val="0"/>
              <w:widowControl w:val="0"/>
              <w:tabs>
                <w:tab w:val="left" w:pos="160"/>
              </w:tabs>
              <w:kinsoku/>
              <w:wordWrap/>
              <w:overflowPunct/>
              <w:topLinePunct w:val="0"/>
              <w:autoSpaceDE/>
              <w:autoSpaceDN/>
              <w:bidi w:val="0"/>
              <w:adjustRightInd/>
              <w:snapToGrid/>
              <w:spacing w:before="3" w:line="360" w:lineRule="auto"/>
              <w:ind w:left="11" w:leftChars="0" w:right="131" w:rightChars="0" w:firstLine="0" w:firstLineChars="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应满足磋商文件中的规定</w:t>
            </w:r>
          </w:p>
        </w:tc>
      </w:tr>
    </w:tbl>
    <w:p w14:paraId="2DD2963C">
      <w:pPr>
        <w:pStyle w:val="13"/>
        <w:numPr>
          <w:ilvl w:val="0"/>
          <w:numId w:val="0"/>
        </w:numPr>
        <w:rPr>
          <w:rFonts w:hint="eastAsia" w:ascii="宋体" w:hAnsi="宋体" w:eastAsia="宋体" w:cs="宋体"/>
          <w:highlight w:val="none"/>
          <w:lang w:val="en-US" w:eastAsia="zh-CN"/>
        </w:rPr>
      </w:pPr>
    </w:p>
    <w:p w14:paraId="69B776EB">
      <w:pPr>
        <w:snapToGrid w:val="0"/>
        <w:spacing w:line="360" w:lineRule="auto"/>
        <w:ind w:firstLine="482" w:firstLineChars="200"/>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szCs w:val="24"/>
          <w:highlight w:val="none"/>
          <w:lang w:val="zh-CN"/>
        </w:rPr>
        <w:t>说明：以上各项有1项不合格，其</w:t>
      </w:r>
      <w:r>
        <w:rPr>
          <w:rFonts w:hint="eastAsia" w:ascii="宋体" w:hAnsi="宋体" w:eastAsia="宋体" w:cs="宋体"/>
          <w:b/>
          <w:bCs/>
          <w:color w:val="auto"/>
          <w:sz w:val="24"/>
          <w:szCs w:val="24"/>
          <w:highlight w:val="none"/>
        </w:rPr>
        <w:t>竞争性磋商响应文件</w:t>
      </w:r>
      <w:r>
        <w:rPr>
          <w:rFonts w:hint="eastAsia" w:ascii="宋体" w:hAnsi="宋体" w:eastAsia="宋体" w:cs="宋体"/>
          <w:b/>
          <w:bCs/>
          <w:color w:val="auto"/>
          <w:sz w:val="24"/>
          <w:szCs w:val="24"/>
          <w:highlight w:val="none"/>
          <w:lang w:val="zh-CN"/>
        </w:rPr>
        <w:t>将被视为无效，评审不予通过,符合性审查结束后，磋商小组应当对审查结果进行签字确认，并告知无效供应商符合性审查未通过的原因。</w:t>
      </w:r>
    </w:p>
    <w:p w14:paraId="0FD33623">
      <w:pPr>
        <w:pStyle w:val="4"/>
        <w:shd w:val="clear"/>
        <w:bidi w:val="0"/>
        <w:rPr>
          <w:rFonts w:hint="eastAsia" w:ascii="宋体" w:hAnsi="宋体" w:eastAsia="宋体" w:cs="宋体"/>
        </w:rPr>
      </w:pPr>
      <w:r>
        <w:rPr>
          <w:rFonts w:hint="eastAsia" w:ascii="宋体" w:hAnsi="宋体" w:eastAsia="宋体" w:cs="宋体"/>
        </w:rPr>
        <w:br w:type="page"/>
      </w:r>
      <w:r>
        <w:rPr>
          <w:rFonts w:hint="eastAsia" w:ascii="宋体" w:hAnsi="宋体" w:eastAsia="宋体" w:cs="宋体"/>
        </w:rPr>
        <w:t>附表</w:t>
      </w:r>
      <w:r>
        <w:rPr>
          <w:rFonts w:hint="eastAsia" w:ascii="宋体" w:hAnsi="宋体" w:eastAsia="宋体" w:cs="宋体"/>
          <w:lang w:val="en-US" w:eastAsia="zh-CN"/>
        </w:rPr>
        <w:t>3</w:t>
      </w:r>
      <w:r>
        <w:rPr>
          <w:rFonts w:hint="eastAsia" w:ascii="宋体" w:hAnsi="宋体" w:eastAsia="宋体" w:cs="宋体"/>
        </w:rPr>
        <w:t xml:space="preserve"> ：</w:t>
      </w:r>
      <w:r>
        <w:rPr>
          <w:rFonts w:hint="eastAsia" w:ascii="宋体" w:hAnsi="宋体" w:eastAsia="宋体" w:cs="宋体"/>
          <w:lang w:val="en-US" w:eastAsia="zh-CN"/>
        </w:rPr>
        <w:t>评分标准</w:t>
      </w:r>
      <w:r>
        <w:rPr>
          <w:rFonts w:hint="eastAsia" w:ascii="宋体" w:hAnsi="宋体" w:eastAsia="宋体" w:cs="宋体"/>
          <w:lang w:val="zh-CN"/>
        </w:rPr>
        <w:t>（总计100分）</w:t>
      </w:r>
    </w:p>
    <w:tbl>
      <w:tblPr>
        <w:tblStyle w:val="20"/>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150"/>
        <w:gridCol w:w="1130"/>
        <w:gridCol w:w="766"/>
        <w:gridCol w:w="5471"/>
      </w:tblGrid>
      <w:tr w14:paraId="6843E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65" w:type="dxa"/>
            <w:tcBorders>
              <w:top w:val="single" w:color="auto" w:sz="4" w:space="0"/>
              <w:left w:val="single" w:color="auto" w:sz="4" w:space="0"/>
              <w:bottom w:val="single" w:color="auto" w:sz="4" w:space="0"/>
              <w:right w:val="single" w:color="auto" w:sz="4" w:space="0"/>
            </w:tcBorders>
            <w:noWrap w:val="0"/>
            <w:vAlign w:val="center"/>
          </w:tcPr>
          <w:p w14:paraId="29FBA816">
            <w:pPr>
              <w:spacing w:line="360" w:lineRule="auto"/>
              <w:ind w:left="0" w:leftChars="0" w:firstLine="0" w:firstLineChars="0"/>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序号</w:t>
            </w:r>
          </w:p>
        </w:tc>
        <w:tc>
          <w:tcPr>
            <w:tcW w:w="1150" w:type="dxa"/>
            <w:tcBorders>
              <w:top w:val="single" w:color="auto" w:sz="4" w:space="0"/>
              <w:left w:val="nil"/>
              <w:bottom w:val="single" w:color="auto" w:sz="4" w:space="0"/>
              <w:right w:val="single" w:color="auto" w:sz="4" w:space="0"/>
            </w:tcBorders>
            <w:noWrap w:val="0"/>
            <w:vAlign w:val="center"/>
          </w:tcPr>
          <w:p w14:paraId="5F7DB7F6">
            <w:pPr>
              <w:spacing w:line="360" w:lineRule="auto"/>
              <w:ind w:left="0" w:leftChars="0" w:firstLine="0" w:firstLineChars="0"/>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评分因素</w:t>
            </w:r>
          </w:p>
        </w:tc>
        <w:tc>
          <w:tcPr>
            <w:tcW w:w="7367" w:type="dxa"/>
            <w:gridSpan w:val="3"/>
            <w:tcBorders>
              <w:top w:val="single" w:color="auto" w:sz="4" w:space="0"/>
              <w:left w:val="nil"/>
              <w:bottom w:val="single" w:color="auto" w:sz="4" w:space="0"/>
              <w:right w:val="single" w:color="auto" w:sz="4" w:space="0"/>
            </w:tcBorders>
            <w:noWrap w:val="0"/>
            <w:vAlign w:val="center"/>
          </w:tcPr>
          <w:p w14:paraId="3113D661">
            <w:pPr>
              <w:spacing w:line="46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评价指标和分值</w:t>
            </w:r>
          </w:p>
        </w:tc>
      </w:tr>
      <w:tr w14:paraId="2147F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65" w:type="dxa"/>
            <w:tcBorders>
              <w:top w:val="nil"/>
              <w:left w:val="single" w:color="auto" w:sz="4" w:space="0"/>
              <w:bottom w:val="single" w:color="auto" w:sz="4" w:space="0"/>
              <w:right w:val="single" w:color="auto" w:sz="4" w:space="0"/>
            </w:tcBorders>
            <w:noWrap w:val="0"/>
            <w:vAlign w:val="center"/>
          </w:tcPr>
          <w:p w14:paraId="3D3EB97F">
            <w:pPr>
              <w:spacing w:line="440" w:lineRule="exact"/>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5CF88ADA">
            <w:pPr>
              <w:spacing w:line="440" w:lineRule="exact"/>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报价得分</w:t>
            </w:r>
          </w:p>
          <w:p w14:paraId="5AA2F825">
            <w:pPr>
              <w:spacing w:line="440" w:lineRule="exact"/>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w:t>
            </w:r>
            <w:r>
              <w:rPr>
                <w:rFonts w:hint="eastAsia" w:ascii="宋体" w:hAnsi="宋体" w:eastAsia="宋体" w:cs="宋体"/>
                <w:sz w:val="24"/>
                <w:szCs w:val="24"/>
                <w:highlight w:val="none"/>
                <w:lang w:val="en-US" w:eastAsia="zh-CN" w:bidi="ar"/>
              </w:rPr>
              <w:t>15</w:t>
            </w:r>
            <w:r>
              <w:rPr>
                <w:rFonts w:hint="eastAsia" w:ascii="宋体" w:hAnsi="宋体" w:eastAsia="宋体" w:cs="宋体"/>
                <w:sz w:val="24"/>
                <w:szCs w:val="24"/>
                <w:highlight w:val="none"/>
                <w:lang w:bidi="ar"/>
              </w:rPr>
              <w:t>分）</w:t>
            </w:r>
          </w:p>
        </w:tc>
        <w:tc>
          <w:tcPr>
            <w:tcW w:w="7367" w:type="dxa"/>
            <w:gridSpan w:val="3"/>
            <w:tcBorders>
              <w:top w:val="single" w:color="auto" w:sz="4" w:space="0"/>
              <w:left w:val="nil"/>
              <w:right w:val="single" w:color="auto" w:sz="4" w:space="0"/>
            </w:tcBorders>
            <w:noWrap w:val="0"/>
            <w:vAlign w:val="center"/>
          </w:tcPr>
          <w:p w14:paraId="1FA4D0B6">
            <w:pPr>
              <w:tabs>
                <w:tab w:val="left" w:pos="0"/>
              </w:tabs>
              <w:adjustRightInd w:val="0"/>
              <w:snapToGrid w:val="0"/>
              <w:spacing w:line="4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满足竞争性磋商文件要求且最后报价最低的报价为评标基准价，其价格分为满分。其他供应商的价格分统一按照下列公式计算：</w:t>
            </w:r>
          </w:p>
          <w:p w14:paraId="38648E0A">
            <w:pPr>
              <w:tabs>
                <w:tab w:val="left" w:pos="0"/>
              </w:tabs>
              <w:adjustRightInd w:val="0"/>
              <w:snapToGrid w:val="0"/>
              <w:spacing w:line="420" w:lineRule="exact"/>
              <w:jc w:val="left"/>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价格分=(评标基准价／最后磋商报价)×</w:t>
            </w:r>
            <w:r>
              <w:rPr>
                <w:rFonts w:hint="eastAsia" w:ascii="宋体" w:hAnsi="宋体" w:eastAsia="宋体" w:cs="宋体"/>
                <w:sz w:val="24"/>
                <w:szCs w:val="24"/>
                <w:highlight w:val="none"/>
                <w:lang w:val="en-US" w:eastAsia="zh-CN"/>
              </w:rPr>
              <w:t>15</w:t>
            </w:r>
          </w:p>
          <w:p w14:paraId="3278A12E">
            <w:pPr>
              <w:spacing w:line="4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计算分数时四舍五入取小数点后两位。</w:t>
            </w:r>
          </w:p>
        </w:tc>
      </w:tr>
      <w:tr w14:paraId="25514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765" w:type="dxa"/>
            <w:vMerge w:val="restart"/>
            <w:tcBorders>
              <w:left w:val="single" w:color="auto" w:sz="4" w:space="0"/>
              <w:right w:val="single" w:color="auto" w:sz="4" w:space="0"/>
            </w:tcBorders>
            <w:noWrap w:val="0"/>
            <w:vAlign w:val="center"/>
          </w:tcPr>
          <w:p w14:paraId="26AF33E2">
            <w:pPr>
              <w:spacing w:line="440" w:lineRule="exact"/>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50" w:type="dxa"/>
            <w:vMerge w:val="restart"/>
            <w:tcBorders>
              <w:left w:val="single" w:color="auto" w:sz="4" w:space="0"/>
              <w:right w:val="single" w:color="auto" w:sz="4" w:space="0"/>
            </w:tcBorders>
            <w:noWrap w:val="0"/>
            <w:vAlign w:val="center"/>
          </w:tcPr>
          <w:p w14:paraId="3EB47859">
            <w:pPr>
              <w:spacing w:line="440" w:lineRule="exact"/>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技术得分（</w:t>
            </w:r>
            <w:r>
              <w:rPr>
                <w:rFonts w:hint="eastAsia" w:ascii="宋体" w:hAnsi="宋体" w:eastAsia="宋体" w:cs="宋体"/>
                <w:sz w:val="24"/>
                <w:szCs w:val="24"/>
                <w:highlight w:val="none"/>
                <w:lang w:val="en-US" w:eastAsia="zh-CN"/>
              </w:rPr>
              <w:t>75</w:t>
            </w:r>
            <w:r>
              <w:rPr>
                <w:rFonts w:hint="eastAsia" w:ascii="宋体" w:hAnsi="宋体" w:eastAsia="宋体" w:cs="宋体"/>
                <w:sz w:val="24"/>
                <w:szCs w:val="24"/>
                <w:highlight w:val="none"/>
              </w:rPr>
              <w:t>分）</w:t>
            </w:r>
          </w:p>
        </w:tc>
        <w:tc>
          <w:tcPr>
            <w:tcW w:w="1130" w:type="dxa"/>
            <w:tcBorders>
              <w:top w:val="single" w:color="auto" w:sz="4" w:space="0"/>
              <w:left w:val="nil"/>
              <w:right w:val="single" w:color="auto" w:sz="4" w:space="0"/>
            </w:tcBorders>
            <w:shd w:val="clear" w:color="auto" w:fill="auto"/>
            <w:noWrap w:val="0"/>
            <w:vAlign w:val="center"/>
          </w:tcPr>
          <w:p w14:paraId="6031E12F">
            <w:pPr>
              <w:spacing w:line="440" w:lineRule="exact"/>
              <w:ind w:left="0" w:leftChars="0" w:firstLine="0" w:firstLineChars="0"/>
              <w:jc w:val="both"/>
              <w:rPr>
                <w:rFonts w:hint="eastAsia" w:ascii="宋体" w:hAnsi="宋体" w:eastAsia="宋体" w:cs="宋体"/>
                <w:kern w:val="2"/>
                <w:sz w:val="24"/>
                <w:szCs w:val="24"/>
                <w:highlight w:val="none"/>
                <w:lang w:val="zh-CN" w:eastAsia="zh-CN" w:bidi="ar"/>
              </w:rPr>
            </w:pPr>
            <w:r>
              <w:rPr>
                <w:rFonts w:hint="eastAsia" w:asciiTheme="minorEastAsia" w:hAnsiTheme="minorEastAsia" w:eastAsiaTheme="minorEastAsia" w:cstheme="minorEastAsia"/>
                <w:sz w:val="24"/>
                <w:szCs w:val="24"/>
                <w:highlight w:val="none"/>
                <w:lang w:val="en-US" w:eastAsia="zh-CN"/>
              </w:rPr>
              <w:t>服务要求</w:t>
            </w:r>
          </w:p>
        </w:tc>
        <w:tc>
          <w:tcPr>
            <w:tcW w:w="766" w:type="dxa"/>
            <w:tcBorders>
              <w:top w:val="single" w:color="auto" w:sz="4" w:space="0"/>
              <w:left w:val="nil"/>
              <w:right w:val="single" w:color="auto" w:sz="4" w:space="0"/>
            </w:tcBorders>
            <w:shd w:val="clear" w:color="auto" w:fill="auto"/>
            <w:noWrap w:val="0"/>
            <w:vAlign w:val="center"/>
          </w:tcPr>
          <w:p w14:paraId="43CA9842">
            <w:pPr>
              <w:spacing w:line="460" w:lineRule="exact"/>
              <w:ind w:left="0" w:leftChars="0" w:firstLine="0" w:firstLineChars="0"/>
              <w:jc w:val="both"/>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15分</w:t>
            </w:r>
          </w:p>
        </w:tc>
        <w:tc>
          <w:tcPr>
            <w:tcW w:w="5471" w:type="dxa"/>
            <w:tcBorders>
              <w:top w:val="single" w:color="auto" w:sz="4" w:space="0"/>
              <w:left w:val="nil"/>
              <w:bottom w:val="single" w:color="auto" w:sz="4" w:space="0"/>
              <w:right w:val="single" w:color="auto" w:sz="4" w:space="0"/>
            </w:tcBorders>
            <w:shd w:val="clear" w:color="auto" w:fill="auto"/>
            <w:noWrap w:val="0"/>
            <w:vAlign w:val="center"/>
          </w:tcPr>
          <w:p w14:paraId="399D028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供应商完全响应第</w:t>
            </w:r>
            <w:r>
              <w:rPr>
                <w:rFonts w:hint="eastAsia" w:asciiTheme="minorEastAsia" w:hAnsiTheme="minorEastAsia" w:eastAsiaTheme="minorEastAsia" w:cstheme="minorEastAsia"/>
                <w:sz w:val="24"/>
                <w:szCs w:val="24"/>
                <w:lang w:val="en-US" w:eastAsia="zh-CN"/>
              </w:rPr>
              <w:t>四</w:t>
            </w:r>
            <w:r>
              <w:rPr>
                <w:rFonts w:hint="eastAsia" w:asciiTheme="minorEastAsia" w:hAnsiTheme="minorEastAsia" w:eastAsiaTheme="minorEastAsia" w:cstheme="minorEastAsia"/>
                <w:sz w:val="24"/>
                <w:szCs w:val="24"/>
              </w:rPr>
              <w:t>章《</w:t>
            </w:r>
            <w:r>
              <w:rPr>
                <w:rFonts w:hint="eastAsia" w:asciiTheme="minorEastAsia" w:hAnsiTheme="minorEastAsia" w:eastAsiaTheme="minorEastAsia" w:cstheme="minorEastAsia"/>
                <w:sz w:val="24"/>
                <w:szCs w:val="24"/>
                <w:lang w:val="en-US" w:eastAsia="zh-CN"/>
              </w:rPr>
              <w:t>采购内容及要求</w:t>
            </w:r>
            <w:r>
              <w:rPr>
                <w:rFonts w:hint="eastAsia" w:asciiTheme="minorEastAsia" w:hAnsiTheme="minorEastAsia" w:eastAsiaTheme="minorEastAsia" w:cstheme="minorEastAsia"/>
                <w:sz w:val="24"/>
                <w:szCs w:val="24"/>
              </w:rPr>
              <w:t>》，满足采购文件要求的得</w:t>
            </w:r>
            <w:r>
              <w:rPr>
                <w:rFonts w:hint="eastAsia"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rPr>
              <w:t>分。</w:t>
            </w:r>
          </w:p>
          <w:p w14:paraId="776C62C8">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服务要求中标“</w:t>
            </w:r>
            <w:r>
              <w:rPr>
                <w:rFonts w:hint="eastAsia" w:ascii="宋体" w:hAnsi="宋体" w:eastAsia="宋体" w:cs="宋体"/>
                <w:b w:val="0"/>
                <w:bCs w:val="0"/>
                <w:color w:val="auto"/>
                <w:kern w:val="0"/>
                <w:sz w:val="24"/>
                <w:szCs w:val="24"/>
                <w:highlight w:val="none"/>
                <w:lang w:val="en-US" w:eastAsia="zh-CN" w:bidi="ar-SA"/>
              </w:rPr>
              <w:t>▲</w:t>
            </w:r>
            <w:r>
              <w:rPr>
                <w:rFonts w:hint="eastAsia" w:asciiTheme="minorEastAsia" w:hAnsiTheme="minorEastAsia" w:eastAsiaTheme="minorEastAsia" w:cstheme="minorEastAsia"/>
                <w:sz w:val="24"/>
                <w:szCs w:val="24"/>
              </w:rPr>
              <w:t>”项，负偏离一项扣</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分；</w:t>
            </w:r>
          </w:p>
          <w:p w14:paraId="768083F1">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0" w:firstLineChars="0"/>
              <w:jc w:val="left"/>
              <w:textAlignment w:val="auto"/>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sz w:val="24"/>
                <w:szCs w:val="24"/>
              </w:rPr>
              <w:t>服务要求中非“</w:t>
            </w:r>
            <w:r>
              <w:rPr>
                <w:rFonts w:hint="eastAsia" w:ascii="宋体" w:hAnsi="宋体" w:eastAsia="宋体" w:cs="宋体"/>
                <w:b w:val="0"/>
                <w:bCs w:val="0"/>
                <w:color w:val="auto"/>
                <w:kern w:val="0"/>
                <w:sz w:val="24"/>
                <w:szCs w:val="24"/>
                <w:highlight w:val="none"/>
                <w:lang w:val="en-US" w:eastAsia="zh-CN" w:bidi="ar-SA"/>
              </w:rPr>
              <w:t>▲</w:t>
            </w:r>
            <w:r>
              <w:rPr>
                <w:rFonts w:hint="eastAsia" w:asciiTheme="minorEastAsia" w:hAnsiTheme="minorEastAsia" w:eastAsiaTheme="minorEastAsia" w:cstheme="minorEastAsia"/>
                <w:sz w:val="24"/>
                <w:szCs w:val="24"/>
              </w:rPr>
              <w:t>”项，负偏离一项扣</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 xml:space="preserve">分； </w:t>
            </w:r>
          </w:p>
          <w:p w14:paraId="507C5473">
            <w:pPr>
              <w:spacing w:line="460" w:lineRule="exact"/>
              <w:jc w:val="left"/>
              <w:rPr>
                <w:rFonts w:hint="eastAsia" w:ascii="宋体" w:hAnsi="宋体" w:eastAsia="宋体" w:cs="宋体"/>
                <w:sz w:val="24"/>
                <w:szCs w:val="24"/>
                <w:highlight w:val="none"/>
                <w:lang w:val="zh-CN" w:eastAsia="zh-CN"/>
              </w:rPr>
            </w:pPr>
            <w:r>
              <w:rPr>
                <w:rFonts w:hint="eastAsia" w:asciiTheme="minorEastAsia" w:hAnsiTheme="minorEastAsia" w:eastAsiaTheme="minorEastAsia" w:cstheme="minorEastAsia"/>
                <w:sz w:val="24"/>
                <w:szCs w:val="24"/>
              </w:rPr>
              <w:t>备注：所有“</w:t>
            </w:r>
            <w:r>
              <w:rPr>
                <w:rFonts w:hint="eastAsia" w:ascii="宋体" w:hAnsi="宋体" w:eastAsia="宋体" w:cs="宋体"/>
                <w:b w:val="0"/>
                <w:bCs w:val="0"/>
                <w:color w:val="auto"/>
                <w:kern w:val="0"/>
                <w:sz w:val="24"/>
                <w:szCs w:val="24"/>
                <w:highlight w:val="none"/>
                <w:lang w:val="en-US" w:eastAsia="zh-CN" w:bidi="ar-SA"/>
              </w:rPr>
              <w:t>▲</w:t>
            </w:r>
            <w:r>
              <w:rPr>
                <w:rFonts w:hint="eastAsia" w:asciiTheme="minorEastAsia" w:hAnsiTheme="minorEastAsia" w:eastAsiaTheme="minorEastAsia" w:cstheme="minorEastAsia"/>
                <w:sz w:val="24"/>
                <w:szCs w:val="24"/>
              </w:rPr>
              <w:t>”项参数须提供佐证材料（佐证材料不限于产品彩页、检测报告、说明书</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承诺书</w:t>
            </w:r>
            <w:r>
              <w:rPr>
                <w:rFonts w:hint="eastAsia" w:asciiTheme="minorEastAsia" w:hAnsiTheme="minorEastAsia" w:eastAsiaTheme="minorEastAsia" w:cstheme="minorEastAsia"/>
                <w:sz w:val="24"/>
                <w:szCs w:val="24"/>
              </w:rPr>
              <w:t>等），否则不予得分。</w:t>
            </w:r>
          </w:p>
        </w:tc>
      </w:tr>
      <w:tr w14:paraId="18FED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2" w:hRule="atLeast"/>
          <w:jc w:val="center"/>
        </w:trPr>
        <w:tc>
          <w:tcPr>
            <w:tcW w:w="765" w:type="dxa"/>
            <w:vMerge w:val="continue"/>
            <w:tcBorders>
              <w:left w:val="single" w:color="auto" w:sz="4" w:space="0"/>
              <w:right w:val="single" w:color="auto" w:sz="4" w:space="0"/>
            </w:tcBorders>
            <w:noWrap w:val="0"/>
            <w:vAlign w:val="center"/>
          </w:tcPr>
          <w:p w14:paraId="20E7D16F">
            <w:pPr>
              <w:spacing w:line="440" w:lineRule="exact"/>
              <w:ind w:left="0" w:leftChars="0" w:firstLine="0" w:firstLineChars="0"/>
              <w:jc w:val="both"/>
              <w:rPr>
                <w:rFonts w:hint="eastAsia" w:ascii="宋体" w:hAnsi="宋体" w:eastAsia="宋体" w:cs="宋体"/>
                <w:sz w:val="24"/>
                <w:szCs w:val="24"/>
                <w:highlight w:val="none"/>
              </w:rPr>
            </w:pPr>
          </w:p>
        </w:tc>
        <w:tc>
          <w:tcPr>
            <w:tcW w:w="1150" w:type="dxa"/>
            <w:vMerge w:val="continue"/>
            <w:tcBorders>
              <w:left w:val="single" w:color="auto" w:sz="4" w:space="0"/>
              <w:right w:val="single" w:color="auto" w:sz="4" w:space="0"/>
            </w:tcBorders>
            <w:noWrap w:val="0"/>
            <w:vAlign w:val="center"/>
          </w:tcPr>
          <w:p w14:paraId="06EBFA2A">
            <w:pPr>
              <w:spacing w:line="440" w:lineRule="exact"/>
              <w:ind w:left="0" w:leftChars="0" w:firstLine="0" w:firstLineChars="0"/>
              <w:jc w:val="both"/>
              <w:rPr>
                <w:rFonts w:hint="eastAsia" w:ascii="宋体" w:hAnsi="宋体" w:eastAsia="宋体" w:cs="宋体"/>
                <w:sz w:val="24"/>
                <w:szCs w:val="24"/>
                <w:highlight w:val="none"/>
              </w:rPr>
            </w:pPr>
          </w:p>
        </w:tc>
        <w:tc>
          <w:tcPr>
            <w:tcW w:w="1130" w:type="dxa"/>
            <w:tcBorders>
              <w:top w:val="single" w:color="auto" w:sz="4" w:space="0"/>
              <w:left w:val="nil"/>
              <w:right w:val="single" w:color="auto" w:sz="4" w:space="0"/>
            </w:tcBorders>
            <w:shd w:val="clear" w:color="auto" w:fill="auto"/>
            <w:noWrap w:val="0"/>
            <w:vAlign w:val="center"/>
          </w:tcPr>
          <w:p w14:paraId="6CD2FDFC">
            <w:pPr>
              <w:spacing w:line="440" w:lineRule="exact"/>
              <w:ind w:left="0" w:leftChars="0" w:firstLine="0" w:firstLineChars="0"/>
              <w:jc w:val="both"/>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项目实施方案</w:t>
            </w:r>
          </w:p>
        </w:tc>
        <w:tc>
          <w:tcPr>
            <w:tcW w:w="766" w:type="dxa"/>
            <w:tcBorders>
              <w:top w:val="single" w:color="auto" w:sz="4" w:space="0"/>
              <w:left w:val="nil"/>
              <w:right w:val="single" w:color="auto" w:sz="4" w:space="0"/>
            </w:tcBorders>
            <w:shd w:val="clear" w:color="auto" w:fill="auto"/>
            <w:noWrap w:val="0"/>
            <w:vAlign w:val="center"/>
          </w:tcPr>
          <w:p w14:paraId="016914CE">
            <w:pPr>
              <w:spacing w:line="460" w:lineRule="exact"/>
              <w:ind w:left="0" w:lef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cs="宋体"/>
                <w:sz w:val="24"/>
                <w:szCs w:val="24"/>
                <w:highlight w:val="none"/>
                <w:lang w:val="en-US" w:eastAsia="zh-CN"/>
              </w:rPr>
              <w:t>5</w:t>
            </w:r>
            <w:r>
              <w:rPr>
                <w:rFonts w:hint="eastAsia" w:ascii="宋体" w:hAnsi="宋体" w:eastAsia="宋体" w:cs="宋体"/>
                <w:sz w:val="24"/>
                <w:szCs w:val="24"/>
                <w:highlight w:val="none"/>
              </w:rPr>
              <w:t>分</w:t>
            </w:r>
          </w:p>
        </w:tc>
        <w:tc>
          <w:tcPr>
            <w:tcW w:w="5471" w:type="dxa"/>
            <w:tcBorders>
              <w:top w:val="single" w:color="auto" w:sz="4" w:space="0"/>
              <w:left w:val="nil"/>
              <w:bottom w:val="single" w:color="auto" w:sz="4" w:space="0"/>
              <w:right w:val="single" w:color="auto" w:sz="4" w:space="0"/>
            </w:tcBorders>
            <w:shd w:val="clear" w:color="auto" w:fill="auto"/>
            <w:noWrap w:val="0"/>
            <w:vAlign w:val="center"/>
          </w:tcPr>
          <w:p w14:paraId="4AAF9D97">
            <w:pPr>
              <w:spacing w:line="46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供应商提供针对本项目的实施方案，包括但不限于以下五项内容（每项</w:t>
            </w:r>
            <w:r>
              <w:rPr>
                <w:rFonts w:hint="eastAsia" w:cs="宋体"/>
                <w:sz w:val="24"/>
                <w:szCs w:val="24"/>
                <w:highlight w:val="none"/>
                <w:lang w:val="en-US" w:eastAsia="zh-CN"/>
              </w:rPr>
              <w:t>3</w:t>
            </w:r>
            <w:r>
              <w:rPr>
                <w:rFonts w:hint="eastAsia" w:ascii="宋体" w:hAnsi="宋体" w:eastAsia="宋体" w:cs="宋体"/>
                <w:sz w:val="24"/>
                <w:szCs w:val="24"/>
                <w:highlight w:val="none"/>
                <w:lang w:val="en-US" w:eastAsia="zh-CN"/>
              </w:rPr>
              <w:t>.0分，满分</w:t>
            </w:r>
            <w:r>
              <w:rPr>
                <w:rFonts w:hint="eastAsia" w:cs="宋体"/>
                <w:sz w:val="24"/>
                <w:szCs w:val="24"/>
                <w:highlight w:val="none"/>
                <w:lang w:val="en-US" w:eastAsia="zh-CN"/>
              </w:rPr>
              <w:t>15</w:t>
            </w:r>
            <w:r>
              <w:rPr>
                <w:rFonts w:hint="eastAsia" w:ascii="宋体" w:hAnsi="宋体" w:eastAsia="宋体" w:cs="宋体"/>
                <w:sz w:val="24"/>
                <w:szCs w:val="24"/>
                <w:highlight w:val="none"/>
                <w:lang w:val="en-US" w:eastAsia="zh-CN"/>
              </w:rPr>
              <w:t>.0分）：</w:t>
            </w:r>
          </w:p>
          <w:p w14:paraId="783325C5">
            <w:pPr>
              <w:spacing w:line="46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1、设备维修总体规划；</w:t>
            </w:r>
          </w:p>
          <w:p w14:paraId="19A31DD3">
            <w:pPr>
              <w:spacing w:line="46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2、重点难点分析；</w:t>
            </w:r>
          </w:p>
          <w:p w14:paraId="5F2E7B94">
            <w:pPr>
              <w:spacing w:line="46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3、维修方案与技术措施；</w:t>
            </w:r>
          </w:p>
          <w:p w14:paraId="6C266DF1">
            <w:pPr>
              <w:spacing w:line="46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4、性能测试及校准运行监控措施；</w:t>
            </w:r>
          </w:p>
          <w:p w14:paraId="7A22B848">
            <w:pPr>
              <w:spacing w:line="46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5、拟投入本项目团队人员岗位职责及分工；</w:t>
            </w:r>
          </w:p>
          <w:p w14:paraId="5D1A3F33">
            <w:pPr>
              <w:spacing w:line="460" w:lineRule="exact"/>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方案各项内容全面详细、阐述条理清晰详尽、符合本项目采购需求，能有效保障本项目实施的，每项得0-</w:t>
            </w:r>
            <w:r>
              <w:rPr>
                <w:rFonts w:hint="eastAsia" w:cs="宋体"/>
                <w:sz w:val="24"/>
                <w:szCs w:val="24"/>
                <w:highlight w:val="none"/>
                <w:lang w:val="en-US" w:eastAsia="zh-CN"/>
              </w:rPr>
              <w:t>3</w:t>
            </w:r>
            <w:r>
              <w:rPr>
                <w:rFonts w:hint="eastAsia" w:ascii="宋体" w:hAnsi="宋体" w:eastAsia="宋体" w:cs="宋体"/>
                <w:sz w:val="24"/>
                <w:szCs w:val="24"/>
                <w:highlight w:val="none"/>
                <w:lang w:val="en-US" w:eastAsia="zh-CN"/>
              </w:rPr>
              <w:t>.0分。</w:t>
            </w:r>
          </w:p>
        </w:tc>
      </w:tr>
      <w:tr w14:paraId="43B1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65" w:type="dxa"/>
            <w:vMerge w:val="continue"/>
            <w:tcBorders>
              <w:left w:val="single" w:color="auto" w:sz="4" w:space="0"/>
              <w:right w:val="single" w:color="auto" w:sz="4" w:space="0"/>
            </w:tcBorders>
            <w:noWrap w:val="0"/>
            <w:vAlign w:val="center"/>
          </w:tcPr>
          <w:p w14:paraId="21B7A062">
            <w:pPr>
              <w:spacing w:line="440" w:lineRule="exact"/>
              <w:jc w:val="center"/>
              <w:rPr>
                <w:rFonts w:hint="eastAsia" w:ascii="宋体" w:hAnsi="宋体" w:eastAsia="宋体" w:cs="宋体"/>
                <w:sz w:val="24"/>
                <w:szCs w:val="24"/>
                <w:highlight w:val="none"/>
              </w:rPr>
            </w:pPr>
          </w:p>
        </w:tc>
        <w:tc>
          <w:tcPr>
            <w:tcW w:w="1150" w:type="dxa"/>
            <w:vMerge w:val="continue"/>
            <w:tcBorders>
              <w:left w:val="single" w:color="auto" w:sz="4" w:space="0"/>
              <w:right w:val="single" w:color="auto" w:sz="4" w:space="0"/>
            </w:tcBorders>
            <w:noWrap w:val="0"/>
            <w:vAlign w:val="center"/>
          </w:tcPr>
          <w:p w14:paraId="078E196C">
            <w:pPr>
              <w:spacing w:line="440" w:lineRule="exact"/>
              <w:jc w:val="center"/>
              <w:rPr>
                <w:rFonts w:hint="eastAsia" w:ascii="宋体" w:hAnsi="宋体" w:eastAsia="宋体" w:cs="宋体"/>
                <w:sz w:val="24"/>
                <w:szCs w:val="24"/>
                <w:highlight w:val="none"/>
              </w:rPr>
            </w:pPr>
          </w:p>
        </w:tc>
        <w:tc>
          <w:tcPr>
            <w:tcW w:w="1130" w:type="dxa"/>
            <w:tcBorders>
              <w:top w:val="single" w:color="auto" w:sz="4" w:space="0"/>
              <w:left w:val="nil"/>
              <w:right w:val="single" w:color="auto" w:sz="4" w:space="0"/>
            </w:tcBorders>
            <w:noWrap w:val="0"/>
            <w:vAlign w:val="center"/>
          </w:tcPr>
          <w:p w14:paraId="20129B69">
            <w:pPr>
              <w:spacing w:line="440" w:lineRule="exact"/>
              <w:ind w:left="0" w:leftChars="0" w:firstLine="0" w:firstLineChars="0"/>
              <w:jc w:val="both"/>
              <w:rPr>
                <w:rFonts w:hint="eastAsia" w:ascii="宋体" w:hAnsi="宋体" w:eastAsia="宋体" w:cs="宋体"/>
                <w:sz w:val="24"/>
                <w:szCs w:val="24"/>
                <w:highlight w:val="none"/>
                <w:lang w:val="zh-CN" w:eastAsia="zh-CN" w:bidi="ar"/>
              </w:rPr>
            </w:pPr>
            <w:r>
              <w:rPr>
                <w:rFonts w:hint="eastAsia" w:ascii="宋体" w:hAnsi="宋体" w:eastAsia="宋体" w:cs="宋体"/>
                <w:sz w:val="24"/>
                <w:szCs w:val="24"/>
                <w:highlight w:val="none"/>
                <w:lang w:val="en-US" w:eastAsia="zh-CN" w:bidi="ar"/>
              </w:rPr>
              <w:t>进度计划与措施</w:t>
            </w:r>
          </w:p>
        </w:tc>
        <w:tc>
          <w:tcPr>
            <w:tcW w:w="766" w:type="dxa"/>
            <w:tcBorders>
              <w:top w:val="single" w:color="auto" w:sz="4" w:space="0"/>
              <w:left w:val="nil"/>
              <w:right w:val="single" w:color="auto" w:sz="4" w:space="0"/>
            </w:tcBorders>
            <w:noWrap w:val="0"/>
            <w:vAlign w:val="center"/>
          </w:tcPr>
          <w:p w14:paraId="62882780">
            <w:pPr>
              <w:spacing w:line="440" w:lineRule="exact"/>
              <w:ind w:left="0" w:leftChars="0" w:firstLine="0" w:firstLineChars="0"/>
              <w:jc w:val="both"/>
              <w:rPr>
                <w:rFonts w:hint="eastAsia" w:ascii="宋体" w:hAnsi="宋体" w:eastAsia="宋体" w:cs="宋体"/>
                <w:sz w:val="24"/>
                <w:szCs w:val="24"/>
                <w:highlight w:val="none"/>
                <w:lang w:val="en-US" w:eastAsia="zh-CN" w:bidi="ar"/>
              </w:rPr>
            </w:pPr>
            <w:r>
              <w:rPr>
                <w:rFonts w:hint="eastAsia" w:cs="宋体"/>
                <w:sz w:val="24"/>
                <w:szCs w:val="24"/>
                <w:highlight w:val="none"/>
                <w:lang w:val="en-US" w:eastAsia="zh-CN" w:bidi="ar"/>
              </w:rPr>
              <w:t>4</w:t>
            </w:r>
            <w:r>
              <w:rPr>
                <w:rFonts w:hint="eastAsia" w:ascii="宋体" w:hAnsi="宋体" w:eastAsia="宋体" w:cs="宋体"/>
                <w:sz w:val="24"/>
                <w:szCs w:val="24"/>
                <w:highlight w:val="none"/>
                <w:lang w:val="en-US" w:eastAsia="zh-CN" w:bidi="ar"/>
              </w:rPr>
              <w:t>分</w:t>
            </w:r>
          </w:p>
        </w:tc>
        <w:tc>
          <w:tcPr>
            <w:tcW w:w="5471" w:type="dxa"/>
            <w:tcBorders>
              <w:top w:val="single" w:color="auto" w:sz="4" w:space="0"/>
              <w:left w:val="nil"/>
              <w:bottom w:val="single" w:color="auto" w:sz="4" w:space="0"/>
              <w:right w:val="single" w:color="auto" w:sz="4" w:space="0"/>
            </w:tcBorders>
            <w:noWrap w:val="0"/>
            <w:vAlign w:val="center"/>
          </w:tcPr>
          <w:p w14:paraId="068FF6BB">
            <w:pPr>
              <w:spacing w:line="440" w:lineRule="exact"/>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供应商提供针对本项目的进度计划与措施，包括但不限于以下两项内容（每项</w:t>
            </w:r>
            <w:r>
              <w:rPr>
                <w:rFonts w:hint="eastAsia" w:cs="宋体"/>
                <w:sz w:val="24"/>
                <w:szCs w:val="24"/>
                <w:highlight w:val="none"/>
                <w:lang w:val="en-US" w:eastAsia="zh-CN" w:bidi="ar"/>
              </w:rPr>
              <w:t>2</w:t>
            </w:r>
            <w:r>
              <w:rPr>
                <w:rFonts w:hint="eastAsia" w:ascii="宋体" w:hAnsi="宋体" w:eastAsia="宋体" w:cs="宋体"/>
                <w:sz w:val="24"/>
                <w:szCs w:val="24"/>
                <w:highlight w:val="none"/>
                <w:lang w:val="en-US" w:eastAsia="zh-CN" w:bidi="ar"/>
              </w:rPr>
              <w:t>分，满分</w:t>
            </w:r>
            <w:r>
              <w:rPr>
                <w:rFonts w:hint="eastAsia" w:cs="宋体"/>
                <w:sz w:val="24"/>
                <w:szCs w:val="24"/>
                <w:highlight w:val="none"/>
                <w:lang w:val="en-US" w:eastAsia="zh-CN" w:bidi="ar"/>
              </w:rPr>
              <w:t>4</w:t>
            </w:r>
            <w:r>
              <w:rPr>
                <w:rFonts w:hint="eastAsia" w:ascii="宋体" w:hAnsi="宋体" w:eastAsia="宋体" w:cs="宋体"/>
                <w:sz w:val="24"/>
                <w:szCs w:val="24"/>
                <w:highlight w:val="none"/>
                <w:lang w:val="en-US" w:eastAsia="zh-CN" w:bidi="ar"/>
              </w:rPr>
              <w:t>.0分）：</w:t>
            </w:r>
          </w:p>
          <w:p w14:paraId="392D8F75">
            <w:pPr>
              <w:spacing w:line="440" w:lineRule="exact"/>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1、维修进度计划；</w:t>
            </w:r>
          </w:p>
          <w:p w14:paraId="153B6EDD">
            <w:pPr>
              <w:spacing w:line="440" w:lineRule="exact"/>
              <w:jc w:val="left"/>
              <w:rPr>
                <w:rFonts w:hint="eastAsia" w:ascii="宋体" w:hAnsi="宋体" w:eastAsia="宋体" w:cs="宋体"/>
                <w:sz w:val="24"/>
                <w:szCs w:val="24"/>
                <w:highlight w:val="none"/>
                <w:lang w:val="zh-CN" w:eastAsia="zh-CN" w:bidi="ar"/>
              </w:rPr>
            </w:pPr>
            <w:r>
              <w:rPr>
                <w:rFonts w:hint="eastAsia" w:ascii="宋体" w:hAnsi="宋体" w:eastAsia="宋体" w:cs="宋体"/>
                <w:sz w:val="24"/>
                <w:szCs w:val="24"/>
                <w:highlight w:val="none"/>
                <w:lang w:val="en-US" w:eastAsia="zh-CN" w:bidi="ar"/>
              </w:rPr>
              <w:t>2、完整的项目服务期保证措施；</w:t>
            </w:r>
          </w:p>
          <w:p w14:paraId="316D90C9">
            <w:pPr>
              <w:spacing w:line="440" w:lineRule="exact"/>
              <w:jc w:val="left"/>
              <w:rPr>
                <w:rFonts w:hint="eastAsia" w:ascii="宋体" w:hAnsi="宋体" w:eastAsia="宋体" w:cs="宋体"/>
                <w:sz w:val="24"/>
                <w:szCs w:val="24"/>
                <w:highlight w:val="none"/>
                <w:lang w:val="zh-CN" w:eastAsia="zh-CN" w:bidi="ar"/>
              </w:rPr>
            </w:pPr>
            <w:r>
              <w:rPr>
                <w:rFonts w:hint="eastAsia" w:ascii="宋体" w:hAnsi="宋体" w:eastAsia="宋体" w:cs="宋体"/>
                <w:sz w:val="24"/>
                <w:szCs w:val="24"/>
                <w:highlight w:val="none"/>
                <w:lang w:val="en-US" w:eastAsia="zh-CN" w:bidi="ar"/>
              </w:rPr>
              <w:t>以上内容全面完整、切实可行、满足本项目进度保障要求，每项得0-</w:t>
            </w:r>
            <w:r>
              <w:rPr>
                <w:rFonts w:hint="eastAsia" w:cs="宋体"/>
                <w:sz w:val="24"/>
                <w:szCs w:val="24"/>
                <w:highlight w:val="none"/>
                <w:lang w:val="en-US" w:eastAsia="zh-CN" w:bidi="ar"/>
              </w:rPr>
              <w:t>2</w:t>
            </w:r>
            <w:r>
              <w:rPr>
                <w:rFonts w:hint="eastAsia" w:ascii="宋体" w:hAnsi="宋体" w:eastAsia="宋体" w:cs="宋体"/>
                <w:sz w:val="24"/>
                <w:szCs w:val="24"/>
                <w:highlight w:val="none"/>
                <w:lang w:val="en-US" w:eastAsia="zh-CN" w:bidi="ar"/>
              </w:rPr>
              <w:t>分。</w:t>
            </w:r>
          </w:p>
        </w:tc>
      </w:tr>
      <w:tr w14:paraId="21263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5" w:type="dxa"/>
            <w:vMerge w:val="continue"/>
            <w:tcBorders>
              <w:left w:val="single" w:color="auto" w:sz="4" w:space="0"/>
              <w:right w:val="single" w:color="auto" w:sz="4" w:space="0"/>
            </w:tcBorders>
            <w:noWrap w:val="0"/>
            <w:vAlign w:val="center"/>
          </w:tcPr>
          <w:p w14:paraId="62610976">
            <w:pPr>
              <w:spacing w:line="440" w:lineRule="exact"/>
              <w:jc w:val="center"/>
              <w:rPr>
                <w:rFonts w:hint="eastAsia" w:ascii="宋体" w:hAnsi="宋体" w:eastAsia="宋体" w:cs="宋体"/>
                <w:sz w:val="24"/>
                <w:szCs w:val="24"/>
                <w:highlight w:val="none"/>
              </w:rPr>
            </w:pPr>
          </w:p>
        </w:tc>
        <w:tc>
          <w:tcPr>
            <w:tcW w:w="1150" w:type="dxa"/>
            <w:vMerge w:val="continue"/>
            <w:tcBorders>
              <w:left w:val="single" w:color="auto" w:sz="4" w:space="0"/>
              <w:right w:val="single" w:color="auto" w:sz="4" w:space="0"/>
            </w:tcBorders>
            <w:noWrap w:val="0"/>
            <w:vAlign w:val="center"/>
          </w:tcPr>
          <w:p w14:paraId="11A5B89B">
            <w:pPr>
              <w:spacing w:line="440" w:lineRule="exact"/>
              <w:jc w:val="center"/>
              <w:rPr>
                <w:rFonts w:hint="eastAsia" w:ascii="宋体" w:hAnsi="宋体" w:eastAsia="宋体" w:cs="宋体"/>
                <w:sz w:val="24"/>
                <w:szCs w:val="24"/>
                <w:highlight w:val="none"/>
              </w:rPr>
            </w:pPr>
          </w:p>
        </w:tc>
        <w:tc>
          <w:tcPr>
            <w:tcW w:w="1130" w:type="dxa"/>
            <w:vMerge w:val="restart"/>
            <w:tcBorders>
              <w:top w:val="single" w:color="auto" w:sz="4" w:space="0"/>
              <w:left w:val="nil"/>
              <w:right w:val="single" w:color="auto" w:sz="4" w:space="0"/>
            </w:tcBorders>
            <w:noWrap w:val="0"/>
            <w:vAlign w:val="center"/>
          </w:tcPr>
          <w:p w14:paraId="420AFDB0">
            <w:pPr>
              <w:spacing w:line="440" w:lineRule="exact"/>
              <w:ind w:left="0" w:leftChars="0" w:firstLine="0" w:firstLineChars="0"/>
              <w:jc w:val="both"/>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zh-CN" w:bidi="ar"/>
              </w:rPr>
              <w:t>质量保障措施</w:t>
            </w:r>
          </w:p>
        </w:tc>
        <w:tc>
          <w:tcPr>
            <w:tcW w:w="766" w:type="dxa"/>
            <w:vMerge w:val="restart"/>
            <w:tcBorders>
              <w:top w:val="single" w:color="auto" w:sz="4" w:space="0"/>
              <w:left w:val="nil"/>
              <w:right w:val="single" w:color="auto" w:sz="4" w:space="0"/>
            </w:tcBorders>
            <w:noWrap w:val="0"/>
            <w:vAlign w:val="center"/>
          </w:tcPr>
          <w:p w14:paraId="182B0F5C">
            <w:pPr>
              <w:spacing w:line="440" w:lineRule="exact"/>
              <w:ind w:left="0" w:leftChars="0" w:firstLine="0" w:firstLineChars="0"/>
              <w:jc w:val="both"/>
              <w:rPr>
                <w:rFonts w:hint="eastAsia" w:ascii="宋体" w:hAnsi="宋体" w:eastAsia="宋体" w:cs="宋体"/>
                <w:sz w:val="24"/>
                <w:szCs w:val="24"/>
                <w:highlight w:val="none"/>
                <w:lang w:bidi="ar"/>
              </w:rPr>
            </w:pPr>
            <w:r>
              <w:rPr>
                <w:rFonts w:hint="eastAsia" w:cs="宋体"/>
                <w:sz w:val="24"/>
                <w:szCs w:val="24"/>
                <w:highlight w:val="none"/>
                <w:lang w:val="en-US" w:eastAsia="zh-CN" w:bidi="ar"/>
              </w:rPr>
              <w:t>8</w:t>
            </w:r>
            <w:r>
              <w:rPr>
                <w:rFonts w:hint="eastAsia" w:ascii="宋体" w:hAnsi="宋体" w:eastAsia="宋体" w:cs="宋体"/>
                <w:sz w:val="24"/>
                <w:szCs w:val="24"/>
                <w:highlight w:val="none"/>
                <w:lang w:bidi="ar"/>
              </w:rPr>
              <w:t>分</w:t>
            </w:r>
          </w:p>
        </w:tc>
        <w:tc>
          <w:tcPr>
            <w:tcW w:w="5471" w:type="dxa"/>
            <w:tcBorders>
              <w:top w:val="single" w:color="auto" w:sz="4" w:space="0"/>
              <w:left w:val="nil"/>
              <w:bottom w:val="single" w:color="auto" w:sz="4" w:space="0"/>
              <w:right w:val="single" w:color="auto" w:sz="4" w:space="0"/>
            </w:tcBorders>
            <w:noWrap w:val="0"/>
            <w:vAlign w:val="center"/>
          </w:tcPr>
          <w:p w14:paraId="169F9529">
            <w:pPr>
              <w:spacing w:line="440" w:lineRule="exact"/>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1、质量保证措施包括但不限于以下三项内容（每项2.0分，满分6.0分）：</w:t>
            </w:r>
          </w:p>
          <w:p w14:paraId="134953AD">
            <w:pPr>
              <w:spacing w:line="440" w:lineRule="exact"/>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（1）制定完整的质量保证体系；</w:t>
            </w:r>
          </w:p>
          <w:p w14:paraId="09A72717">
            <w:pPr>
              <w:spacing w:line="440" w:lineRule="exact"/>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（2）针对质量目标及质量控制的保证措施；</w:t>
            </w:r>
          </w:p>
          <w:p w14:paraId="3CF9741D">
            <w:pPr>
              <w:spacing w:line="440" w:lineRule="exact"/>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（3）制定质量管理制度及检查制度。</w:t>
            </w:r>
          </w:p>
          <w:p w14:paraId="1748A9C1">
            <w:pPr>
              <w:spacing w:line="440" w:lineRule="exact"/>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rPr>
              <w:t>以上内容全面完整、切实可行、满足本项目</w:t>
            </w:r>
            <w:r>
              <w:rPr>
                <w:rFonts w:hint="eastAsia" w:ascii="宋体" w:hAnsi="宋体" w:eastAsia="宋体" w:cs="宋体"/>
                <w:sz w:val="24"/>
                <w:szCs w:val="24"/>
                <w:highlight w:val="none"/>
                <w:lang w:val="en-US" w:eastAsia="zh-CN"/>
              </w:rPr>
              <w:t>质量要求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每项得0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2.0分。</w:t>
            </w:r>
          </w:p>
        </w:tc>
      </w:tr>
      <w:tr w14:paraId="46750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765" w:type="dxa"/>
            <w:vMerge w:val="continue"/>
            <w:tcBorders>
              <w:left w:val="single" w:color="auto" w:sz="4" w:space="0"/>
              <w:right w:val="single" w:color="auto" w:sz="4" w:space="0"/>
            </w:tcBorders>
            <w:noWrap w:val="0"/>
            <w:vAlign w:val="center"/>
          </w:tcPr>
          <w:p w14:paraId="6E24D6A7">
            <w:pPr>
              <w:spacing w:line="440" w:lineRule="exact"/>
              <w:jc w:val="center"/>
              <w:rPr>
                <w:rFonts w:hint="eastAsia" w:ascii="宋体" w:hAnsi="宋体" w:eastAsia="宋体" w:cs="宋体"/>
                <w:sz w:val="24"/>
                <w:szCs w:val="24"/>
                <w:highlight w:val="none"/>
              </w:rPr>
            </w:pPr>
          </w:p>
        </w:tc>
        <w:tc>
          <w:tcPr>
            <w:tcW w:w="1150" w:type="dxa"/>
            <w:vMerge w:val="continue"/>
            <w:tcBorders>
              <w:left w:val="single" w:color="auto" w:sz="4" w:space="0"/>
              <w:right w:val="single" w:color="auto" w:sz="4" w:space="0"/>
            </w:tcBorders>
            <w:noWrap w:val="0"/>
            <w:vAlign w:val="center"/>
          </w:tcPr>
          <w:p w14:paraId="5106945B">
            <w:pPr>
              <w:spacing w:line="440" w:lineRule="exact"/>
              <w:jc w:val="center"/>
              <w:rPr>
                <w:rFonts w:hint="eastAsia" w:ascii="宋体" w:hAnsi="宋体" w:eastAsia="宋体" w:cs="宋体"/>
                <w:sz w:val="24"/>
                <w:szCs w:val="24"/>
                <w:highlight w:val="none"/>
              </w:rPr>
            </w:pPr>
          </w:p>
        </w:tc>
        <w:tc>
          <w:tcPr>
            <w:tcW w:w="1130" w:type="dxa"/>
            <w:vMerge w:val="continue"/>
            <w:tcBorders>
              <w:left w:val="nil"/>
              <w:right w:val="single" w:color="auto" w:sz="4" w:space="0"/>
            </w:tcBorders>
            <w:noWrap w:val="0"/>
            <w:vAlign w:val="center"/>
          </w:tcPr>
          <w:p w14:paraId="536CAD80">
            <w:pPr>
              <w:spacing w:line="440" w:lineRule="exact"/>
              <w:jc w:val="center"/>
              <w:rPr>
                <w:rFonts w:hint="eastAsia" w:ascii="宋体" w:hAnsi="宋体" w:eastAsia="宋体" w:cs="宋体"/>
                <w:sz w:val="24"/>
                <w:szCs w:val="24"/>
                <w:highlight w:val="none"/>
                <w:lang w:val="zh-CN" w:bidi="ar"/>
              </w:rPr>
            </w:pPr>
          </w:p>
        </w:tc>
        <w:tc>
          <w:tcPr>
            <w:tcW w:w="766" w:type="dxa"/>
            <w:vMerge w:val="continue"/>
            <w:tcBorders>
              <w:left w:val="nil"/>
              <w:right w:val="single" w:color="auto" w:sz="4" w:space="0"/>
            </w:tcBorders>
            <w:noWrap w:val="0"/>
            <w:vAlign w:val="center"/>
          </w:tcPr>
          <w:p w14:paraId="2090BB7C">
            <w:pPr>
              <w:spacing w:line="440" w:lineRule="exact"/>
              <w:jc w:val="center"/>
              <w:rPr>
                <w:rFonts w:hint="eastAsia" w:ascii="宋体" w:hAnsi="宋体" w:eastAsia="宋体" w:cs="宋体"/>
                <w:sz w:val="24"/>
                <w:szCs w:val="24"/>
                <w:highlight w:val="none"/>
                <w:lang w:val="en-US" w:eastAsia="zh-CN" w:bidi="ar"/>
              </w:rPr>
            </w:pPr>
          </w:p>
        </w:tc>
        <w:tc>
          <w:tcPr>
            <w:tcW w:w="5471" w:type="dxa"/>
            <w:tcBorders>
              <w:top w:val="single" w:color="auto" w:sz="4" w:space="0"/>
              <w:left w:val="nil"/>
              <w:bottom w:val="single" w:color="auto" w:sz="4" w:space="0"/>
              <w:right w:val="single" w:color="auto" w:sz="4" w:space="0"/>
            </w:tcBorders>
            <w:noWrap w:val="0"/>
            <w:vAlign w:val="center"/>
          </w:tcPr>
          <w:p w14:paraId="2F78D161">
            <w:pPr>
              <w:spacing w:line="440" w:lineRule="exact"/>
              <w:jc w:val="left"/>
              <w:rPr>
                <w:rFonts w:hint="eastAsia" w:ascii="宋体" w:hAnsi="宋体" w:eastAsia="宋体" w:cs="宋体"/>
                <w:sz w:val="24"/>
                <w:szCs w:val="24"/>
                <w:highlight w:val="none"/>
              </w:rPr>
            </w:pPr>
            <w:r>
              <w:rPr>
                <w:rFonts w:hint="eastAsia" w:ascii="宋体" w:hAnsi="宋体" w:eastAsia="宋体" w:cs="宋体"/>
                <w:color w:val="auto"/>
                <w:kern w:val="2"/>
                <w:sz w:val="24"/>
                <w:szCs w:val="24"/>
                <w:highlight w:val="none"/>
                <w:lang w:val="en-US" w:eastAsia="zh-CN" w:bidi="ar-SA"/>
              </w:rPr>
              <w:t>2、供应商能够提供维保服务中所涉及的备品备件来源渠道合法的证明文件得</w:t>
            </w: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.0分。（不限于原厂制造商授权函、销售协议等证明材料</w:t>
            </w:r>
            <w:r>
              <w:rPr>
                <w:rFonts w:hint="eastAsia" w:ascii="宋体" w:hAnsi="宋体" w:eastAsia="宋体" w:cs="宋体"/>
                <w:color w:val="auto"/>
                <w:kern w:val="2"/>
                <w:sz w:val="24"/>
                <w:szCs w:val="24"/>
                <w:highlight w:val="none"/>
                <w:lang w:val="zh-CN" w:eastAsia="zh-CN" w:bidi="ar-SA"/>
              </w:rPr>
              <w:t>）未提供的不得分。</w:t>
            </w:r>
          </w:p>
        </w:tc>
      </w:tr>
      <w:tr w14:paraId="1D298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765" w:type="dxa"/>
            <w:vMerge w:val="continue"/>
            <w:tcBorders>
              <w:left w:val="single" w:color="auto" w:sz="4" w:space="0"/>
              <w:right w:val="single" w:color="auto" w:sz="4" w:space="0"/>
            </w:tcBorders>
            <w:noWrap w:val="0"/>
            <w:vAlign w:val="center"/>
          </w:tcPr>
          <w:p w14:paraId="505373B2">
            <w:pPr>
              <w:spacing w:line="440" w:lineRule="exact"/>
              <w:rPr>
                <w:rFonts w:hint="eastAsia" w:ascii="宋体" w:hAnsi="宋体" w:eastAsia="宋体" w:cs="宋体"/>
                <w:sz w:val="24"/>
                <w:szCs w:val="24"/>
                <w:highlight w:val="none"/>
              </w:rPr>
            </w:pPr>
          </w:p>
        </w:tc>
        <w:tc>
          <w:tcPr>
            <w:tcW w:w="1150" w:type="dxa"/>
            <w:vMerge w:val="continue"/>
            <w:tcBorders>
              <w:left w:val="single" w:color="auto" w:sz="4" w:space="0"/>
              <w:right w:val="single" w:color="auto" w:sz="4" w:space="0"/>
            </w:tcBorders>
            <w:noWrap w:val="0"/>
            <w:vAlign w:val="center"/>
          </w:tcPr>
          <w:p w14:paraId="3708F0B9">
            <w:pPr>
              <w:spacing w:line="440" w:lineRule="exact"/>
              <w:jc w:val="center"/>
              <w:rPr>
                <w:rFonts w:hint="eastAsia" w:ascii="宋体" w:hAnsi="宋体" w:eastAsia="宋体" w:cs="宋体"/>
                <w:sz w:val="24"/>
                <w:szCs w:val="24"/>
                <w:highlight w:val="none"/>
              </w:rPr>
            </w:pPr>
          </w:p>
        </w:tc>
        <w:tc>
          <w:tcPr>
            <w:tcW w:w="1130" w:type="dxa"/>
            <w:tcBorders>
              <w:top w:val="single" w:color="auto" w:sz="4" w:space="0"/>
              <w:left w:val="nil"/>
              <w:right w:val="single" w:color="auto" w:sz="4" w:space="0"/>
            </w:tcBorders>
            <w:noWrap w:val="0"/>
            <w:vAlign w:val="center"/>
          </w:tcPr>
          <w:p w14:paraId="66E7B42D">
            <w:pPr>
              <w:spacing w:line="440" w:lineRule="exact"/>
              <w:ind w:left="0" w:leftChars="0" w:firstLine="0" w:firstLineChars="0"/>
              <w:jc w:val="both"/>
              <w:rPr>
                <w:rFonts w:hint="eastAsia" w:ascii="宋体" w:hAnsi="宋体" w:eastAsia="宋体" w:cs="宋体"/>
                <w:sz w:val="24"/>
                <w:szCs w:val="24"/>
                <w:highlight w:val="none"/>
                <w:lang w:val="zh-CN" w:bidi="ar"/>
              </w:rPr>
            </w:pPr>
            <w:r>
              <w:rPr>
                <w:rFonts w:hint="eastAsia" w:ascii="宋体" w:hAnsi="宋体" w:eastAsia="宋体" w:cs="宋体"/>
                <w:b w:val="0"/>
                <w:bCs w:val="0"/>
                <w:kern w:val="0"/>
                <w:sz w:val="24"/>
                <w:szCs w:val="24"/>
                <w:highlight w:val="none"/>
                <w:lang w:val="zh-CN"/>
              </w:rPr>
              <w:t>安全保证措施</w:t>
            </w:r>
          </w:p>
        </w:tc>
        <w:tc>
          <w:tcPr>
            <w:tcW w:w="766" w:type="dxa"/>
            <w:tcBorders>
              <w:top w:val="single" w:color="auto" w:sz="4" w:space="0"/>
              <w:left w:val="nil"/>
              <w:bottom w:val="single" w:color="auto" w:sz="4" w:space="0"/>
              <w:right w:val="single" w:color="auto" w:sz="4" w:space="0"/>
            </w:tcBorders>
            <w:noWrap w:val="0"/>
            <w:vAlign w:val="center"/>
          </w:tcPr>
          <w:p w14:paraId="4F5514A6">
            <w:pPr>
              <w:spacing w:line="440" w:lineRule="exact"/>
              <w:ind w:left="0" w:leftChars="0" w:firstLine="0" w:firstLineChars="0"/>
              <w:jc w:val="both"/>
              <w:rPr>
                <w:rFonts w:hint="eastAsia" w:ascii="宋体" w:hAnsi="宋体" w:eastAsia="宋体" w:cs="宋体"/>
                <w:sz w:val="24"/>
                <w:szCs w:val="24"/>
                <w:highlight w:val="none"/>
                <w:lang w:bidi="ar"/>
              </w:rPr>
            </w:pPr>
            <w:r>
              <w:rPr>
                <w:rFonts w:hint="eastAsia" w:cs="宋体"/>
                <w:sz w:val="24"/>
                <w:szCs w:val="24"/>
                <w:highlight w:val="none"/>
                <w:lang w:val="en-US" w:eastAsia="zh-CN" w:bidi="ar"/>
              </w:rPr>
              <w:t>6</w:t>
            </w:r>
            <w:r>
              <w:rPr>
                <w:rFonts w:hint="eastAsia" w:ascii="宋体" w:hAnsi="宋体" w:eastAsia="宋体" w:cs="宋体"/>
                <w:sz w:val="24"/>
                <w:szCs w:val="24"/>
                <w:highlight w:val="none"/>
                <w:lang w:bidi="ar"/>
              </w:rPr>
              <w:t>分</w:t>
            </w:r>
          </w:p>
        </w:tc>
        <w:tc>
          <w:tcPr>
            <w:tcW w:w="5471" w:type="dxa"/>
            <w:tcBorders>
              <w:top w:val="single" w:color="auto" w:sz="4" w:space="0"/>
              <w:left w:val="nil"/>
              <w:right w:val="single" w:color="auto" w:sz="4" w:space="0"/>
            </w:tcBorders>
            <w:noWrap w:val="0"/>
            <w:vAlign w:val="center"/>
          </w:tcPr>
          <w:p w14:paraId="20180F06">
            <w:pPr>
              <w:tabs>
                <w:tab w:val="left" w:pos="0"/>
              </w:tabs>
              <w:adjustRightInd w:val="0"/>
              <w:snapToGrid w:val="0"/>
              <w:spacing w:line="420" w:lineRule="exact"/>
              <w:jc w:val="left"/>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zh-CN" w:eastAsia="zh-CN"/>
              </w:rPr>
              <w:t>供应商提供针对本项目的安全保证措施，</w:t>
            </w:r>
            <w:r>
              <w:rPr>
                <w:rFonts w:hint="eastAsia" w:ascii="宋体" w:hAnsi="宋体" w:eastAsia="宋体" w:cs="宋体"/>
                <w:sz w:val="24"/>
                <w:szCs w:val="24"/>
                <w:highlight w:val="none"/>
                <w:lang w:val="en-US" w:eastAsia="zh-CN"/>
              </w:rPr>
              <w:t>包括但不限于以下四项内容（每</w:t>
            </w:r>
            <w:r>
              <w:rPr>
                <w:rFonts w:hint="eastAsia" w:ascii="宋体" w:hAnsi="宋体" w:eastAsia="宋体" w:cs="宋体"/>
                <w:sz w:val="24"/>
                <w:szCs w:val="24"/>
                <w:highlight w:val="none"/>
                <w:lang w:eastAsia="zh-CN"/>
              </w:rPr>
              <w:t>项</w:t>
            </w:r>
            <w:r>
              <w:rPr>
                <w:rFonts w:hint="eastAsia" w:cs="宋体"/>
                <w:sz w:val="24"/>
                <w:szCs w:val="24"/>
                <w:highlight w:val="none"/>
                <w:lang w:val="en-US" w:eastAsia="zh-CN"/>
              </w:rPr>
              <w:t>1.5</w:t>
            </w:r>
            <w:r>
              <w:rPr>
                <w:rFonts w:hint="eastAsia" w:ascii="宋体" w:hAnsi="宋体" w:eastAsia="宋体" w:cs="宋体"/>
                <w:sz w:val="24"/>
                <w:szCs w:val="24"/>
                <w:highlight w:val="none"/>
                <w:lang w:val="en-US" w:eastAsia="zh-CN"/>
              </w:rPr>
              <w:t>分，满分</w:t>
            </w:r>
            <w:r>
              <w:rPr>
                <w:rFonts w:hint="eastAsia" w:cs="宋体"/>
                <w:sz w:val="24"/>
                <w:szCs w:val="24"/>
                <w:highlight w:val="none"/>
                <w:lang w:val="en-US" w:eastAsia="zh-CN"/>
              </w:rPr>
              <w:t>6</w:t>
            </w:r>
            <w:r>
              <w:rPr>
                <w:rFonts w:hint="eastAsia" w:ascii="宋体" w:hAnsi="宋体" w:eastAsia="宋体" w:cs="宋体"/>
                <w:sz w:val="24"/>
                <w:szCs w:val="24"/>
                <w:highlight w:val="none"/>
                <w:lang w:val="en-US" w:eastAsia="zh-CN"/>
              </w:rPr>
              <w:t>.0分）：</w:t>
            </w:r>
          </w:p>
          <w:p w14:paraId="045EEEFC">
            <w:pPr>
              <w:numPr>
                <w:ilvl w:val="0"/>
                <w:numId w:val="6"/>
              </w:numPr>
              <w:spacing w:line="440" w:lineRule="exact"/>
              <w:jc w:val="left"/>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zh-CN" w:eastAsia="zh-CN"/>
              </w:rPr>
              <w:t>维</w:t>
            </w:r>
            <w:r>
              <w:rPr>
                <w:rFonts w:hint="eastAsia" w:ascii="宋体" w:hAnsi="宋体" w:eastAsia="宋体" w:cs="宋体"/>
                <w:b w:val="0"/>
                <w:bCs w:val="0"/>
                <w:sz w:val="24"/>
                <w:szCs w:val="24"/>
                <w:highlight w:val="none"/>
                <w:lang w:val="en-US" w:eastAsia="zh-CN"/>
              </w:rPr>
              <w:t>修</w:t>
            </w:r>
            <w:r>
              <w:rPr>
                <w:rFonts w:hint="eastAsia" w:ascii="宋体" w:hAnsi="宋体" w:eastAsia="宋体" w:cs="宋体"/>
                <w:b w:val="0"/>
                <w:bCs w:val="0"/>
                <w:sz w:val="24"/>
                <w:szCs w:val="24"/>
                <w:highlight w:val="none"/>
                <w:lang w:val="zh-CN" w:eastAsia="zh-CN"/>
              </w:rPr>
              <w:t>安全责任制度和管理措施；</w:t>
            </w:r>
          </w:p>
          <w:p w14:paraId="53DEE885">
            <w:pPr>
              <w:numPr>
                <w:ilvl w:val="0"/>
                <w:numId w:val="6"/>
              </w:numPr>
              <w:spacing w:line="440" w:lineRule="exact"/>
              <w:jc w:val="left"/>
              <w:rPr>
                <w:rFonts w:hint="eastAsia" w:ascii="宋体" w:hAnsi="宋体" w:eastAsia="宋体" w:cs="宋体"/>
                <w:sz w:val="24"/>
                <w:szCs w:val="24"/>
                <w:highlight w:val="none"/>
                <w:lang w:val="zh-CN" w:bidi="ar"/>
              </w:rPr>
            </w:pPr>
            <w:r>
              <w:rPr>
                <w:rFonts w:hint="eastAsia" w:ascii="宋体" w:hAnsi="宋体" w:eastAsia="宋体" w:cs="宋体"/>
                <w:b w:val="0"/>
                <w:bCs w:val="0"/>
                <w:sz w:val="24"/>
                <w:szCs w:val="24"/>
                <w:highlight w:val="none"/>
                <w:lang w:val="en-US" w:eastAsia="zh-CN"/>
              </w:rPr>
              <w:t>隐患排查整改措施</w:t>
            </w:r>
            <w:r>
              <w:rPr>
                <w:rFonts w:hint="eastAsia" w:ascii="宋体" w:hAnsi="宋体" w:eastAsia="宋体" w:cs="宋体"/>
                <w:b w:val="0"/>
                <w:bCs w:val="0"/>
                <w:sz w:val="24"/>
                <w:szCs w:val="24"/>
                <w:highlight w:val="none"/>
                <w:lang w:val="zh-CN" w:eastAsia="zh-CN"/>
              </w:rPr>
              <w:t>；</w:t>
            </w:r>
          </w:p>
          <w:p w14:paraId="25A0D7EA">
            <w:pPr>
              <w:numPr>
                <w:ilvl w:val="0"/>
                <w:numId w:val="6"/>
              </w:numPr>
              <w:spacing w:line="440" w:lineRule="exact"/>
              <w:jc w:val="left"/>
              <w:rPr>
                <w:rFonts w:hint="eastAsia" w:ascii="宋体" w:hAnsi="宋体" w:eastAsia="宋体" w:cs="宋体"/>
                <w:sz w:val="24"/>
                <w:szCs w:val="24"/>
                <w:highlight w:val="none"/>
                <w:lang w:val="zh-CN" w:bidi="ar"/>
              </w:rPr>
            </w:pPr>
            <w:r>
              <w:rPr>
                <w:rFonts w:hint="eastAsia" w:ascii="宋体" w:hAnsi="宋体" w:eastAsia="宋体" w:cs="宋体"/>
                <w:b w:val="0"/>
                <w:bCs w:val="0"/>
                <w:sz w:val="24"/>
                <w:szCs w:val="24"/>
                <w:highlight w:val="none"/>
                <w:lang w:val="zh-CN" w:eastAsia="zh-CN"/>
              </w:rPr>
              <w:t>安全文明作业保障措施；</w:t>
            </w:r>
          </w:p>
          <w:p w14:paraId="65263D46">
            <w:pPr>
              <w:numPr>
                <w:ilvl w:val="0"/>
                <w:numId w:val="6"/>
              </w:numPr>
              <w:spacing w:line="440" w:lineRule="exact"/>
              <w:jc w:val="left"/>
              <w:rPr>
                <w:rFonts w:hint="eastAsia" w:ascii="宋体" w:hAnsi="宋体" w:eastAsia="宋体" w:cs="宋体"/>
                <w:sz w:val="24"/>
                <w:szCs w:val="24"/>
                <w:highlight w:val="none"/>
                <w:lang w:val="zh-CN" w:bidi="ar"/>
              </w:rPr>
            </w:pPr>
            <w:r>
              <w:rPr>
                <w:rFonts w:hint="eastAsia" w:ascii="宋体" w:hAnsi="宋体" w:eastAsia="宋体" w:cs="宋体"/>
                <w:b w:val="0"/>
                <w:bCs w:val="0"/>
                <w:sz w:val="24"/>
                <w:szCs w:val="24"/>
                <w:highlight w:val="none"/>
                <w:lang w:val="zh-CN" w:eastAsia="zh-CN"/>
              </w:rPr>
              <w:t>设备</w:t>
            </w:r>
            <w:r>
              <w:rPr>
                <w:rFonts w:hint="eastAsia" w:ascii="宋体" w:hAnsi="宋体" w:eastAsia="宋体" w:cs="宋体"/>
                <w:b w:val="0"/>
                <w:bCs w:val="0"/>
                <w:sz w:val="24"/>
                <w:szCs w:val="24"/>
                <w:highlight w:val="none"/>
                <w:lang w:val="en-US" w:eastAsia="zh-CN"/>
              </w:rPr>
              <w:t>设施</w:t>
            </w:r>
            <w:r>
              <w:rPr>
                <w:rFonts w:hint="eastAsia" w:ascii="宋体" w:hAnsi="宋体" w:eastAsia="宋体" w:cs="宋体"/>
                <w:b w:val="0"/>
                <w:bCs w:val="0"/>
                <w:sz w:val="24"/>
                <w:szCs w:val="24"/>
                <w:highlight w:val="none"/>
                <w:lang w:val="zh-CN" w:eastAsia="zh-CN"/>
              </w:rPr>
              <w:t>及时维修</w:t>
            </w:r>
            <w:r>
              <w:rPr>
                <w:rFonts w:hint="eastAsia" w:ascii="宋体" w:hAnsi="宋体" w:eastAsia="宋体" w:cs="宋体"/>
                <w:b w:val="0"/>
                <w:bCs w:val="0"/>
                <w:sz w:val="24"/>
                <w:szCs w:val="24"/>
                <w:highlight w:val="none"/>
                <w:lang w:val="en-US" w:eastAsia="zh-CN"/>
              </w:rPr>
              <w:t>措施</w:t>
            </w:r>
            <w:r>
              <w:rPr>
                <w:rFonts w:hint="eastAsia" w:ascii="宋体" w:hAnsi="宋体" w:eastAsia="宋体" w:cs="宋体"/>
                <w:b w:val="0"/>
                <w:bCs w:val="0"/>
                <w:sz w:val="24"/>
                <w:szCs w:val="24"/>
                <w:highlight w:val="none"/>
                <w:lang w:val="zh-CN" w:eastAsia="zh-CN"/>
              </w:rPr>
              <w:t>。</w:t>
            </w:r>
          </w:p>
          <w:p w14:paraId="1E09037F">
            <w:pPr>
              <w:numPr>
                <w:ilvl w:val="0"/>
                <w:numId w:val="0"/>
              </w:numPr>
              <w:spacing w:line="440" w:lineRule="exact"/>
              <w:jc w:val="left"/>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en-US" w:eastAsia="zh-CN" w:bidi="ar"/>
              </w:rPr>
              <w:t>以上内容全面完整、切实可行、满足本项目安全保障要求，每项得0-1.</w:t>
            </w:r>
            <w:r>
              <w:rPr>
                <w:rFonts w:hint="eastAsia" w:cs="宋体"/>
                <w:sz w:val="24"/>
                <w:szCs w:val="24"/>
                <w:highlight w:val="none"/>
                <w:lang w:val="en-US" w:eastAsia="zh-CN" w:bidi="ar"/>
              </w:rPr>
              <w:t>5</w:t>
            </w:r>
            <w:r>
              <w:rPr>
                <w:rFonts w:hint="eastAsia" w:ascii="宋体" w:hAnsi="宋体" w:eastAsia="宋体" w:cs="宋体"/>
                <w:sz w:val="24"/>
                <w:szCs w:val="24"/>
                <w:highlight w:val="none"/>
                <w:lang w:val="en-US" w:eastAsia="zh-CN" w:bidi="ar"/>
              </w:rPr>
              <w:t>分。</w:t>
            </w:r>
          </w:p>
        </w:tc>
      </w:tr>
      <w:tr w14:paraId="41E09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65" w:type="dxa"/>
            <w:vMerge w:val="continue"/>
            <w:tcBorders>
              <w:left w:val="single" w:color="auto" w:sz="4" w:space="0"/>
              <w:right w:val="single" w:color="auto" w:sz="4" w:space="0"/>
            </w:tcBorders>
            <w:noWrap w:val="0"/>
            <w:vAlign w:val="center"/>
          </w:tcPr>
          <w:p w14:paraId="48EC91E4">
            <w:pPr>
              <w:spacing w:line="440" w:lineRule="exact"/>
              <w:rPr>
                <w:rFonts w:hint="eastAsia" w:ascii="宋体" w:hAnsi="宋体" w:eastAsia="宋体" w:cs="宋体"/>
                <w:sz w:val="24"/>
                <w:szCs w:val="24"/>
                <w:highlight w:val="none"/>
              </w:rPr>
            </w:pPr>
          </w:p>
        </w:tc>
        <w:tc>
          <w:tcPr>
            <w:tcW w:w="1150" w:type="dxa"/>
            <w:vMerge w:val="continue"/>
            <w:tcBorders>
              <w:left w:val="single" w:color="auto" w:sz="4" w:space="0"/>
              <w:right w:val="single" w:color="auto" w:sz="4" w:space="0"/>
            </w:tcBorders>
            <w:noWrap w:val="0"/>
            <w:vAlign w:val="center"/>
          </w:tcPr>
          <w:p w14:paraId="50010198">
            <w:pPr>
              <w:spacing w:line="440" w:lineRule="exact"/>
              <w:jc w:val="center"/>
              <w:rPr>
                <w:rFonts w:hint="eastAsia" w:ascii="宋体" w:hAnsi="宋体" w:eastAsia="宋体" w:cs="宋体"/>
                <w:sz w:val="24"/>
                <w:szCs w:val="24"/>
                <w:highlight w:val="none"/>
              </w:rPr>
            </w:pPr>
          </w:p>
        </w:tc>
        <w:tc>
          <w:tcPr>
            <w:tcW w:w="1130" w:type="dxa"/>
            <w:tcBorders>
              <w:top w:val="single" w:color="auto" w:sz="4" w:space="0"/>
              <w:left w:val="nil"/>
              <w:right w:val="single" w:color="auto" w:sz="4" w:space="0"/>
            </w:tcBorders>
            <w:noWrap w:val="0"/>
            <w:vAlign w:val="center"/>
          </w:tcPr>
          <w:p w14:paraId="35EF9661">
            <w:pPr>
              <w:spacing w:line="440" w:lineRule="exact"/>
              <w:ind w:left="0" w:leftChars="0" w:firstLine="0" w:firstLineChars="0"/>
              <w:jc w:val="both"/>
              <w:rPr>
                <w:rFonts w:hint="eastAsia" w:ascii="宋体" w:hAnsi="宋体" w:eastAsia="宋体" w:cs="宋体"/>
                <w:b w:val="0"/>
                <w:bCs w:val="0"/>
                <w:kern w:val="0"/>
                <w:sz w:val="24"/>
                <w:szCs w:val="24"/>
                <w:highlight w:val="none"/>
                <w:lang w:val="zh-CN"/>
              </w:rPr>
            </w:pPr>
            <w:r>
              <w:rPr>
                <w:rFonts w:hint="eastAsia" w:ascii="宋体" w:hAnsi="宋体" w:eastAsia="宋体" w:cs="宋体"/>
                <w:b w:val="0"/>
                <w:bCs w:val="0"/>
                <w:kern w:val="0"/>
                <w:sz w:val="24"/>
                <w:szCs w:val="24"/>
                <w:highlight w:val="none"/>
                <w:lang w:val="zh-CN"/>
              </w:rPr>
              <w:t>应急预案</w:t>
            </w:r>
          </w:p>
        </w:tc>
        <w:tc>
          <w:tcPr>
            <w:tcW w:w="766" w:type="dxa"/>
            <w:tcBorders>
              <w:top w:val="single" w:color="auto" w:sz="4" w:space="0"/>
              <w:left w:val="nil"/>
              <w:bottom w:val="single" w:color="auto" w:sz="4" w:space="0"/>
              <w:right w:val="single" w:color="auto" w:sz="4" w:space="0"/>
            </w:tcBorders>
            <w:noWrap w:val="0"/>
            <w:vAlign w:val="center"/>
          </w:tcPr>
          <w:p w14:paraId="4EF3788E">
            <w:pPr>
              <w:spacing w:line="440" w:lineRule="exact"/>
              <w:ind w:left="0" w:leftChars="0" w:firstLine="0" w:firstLineChars="0"/>
              <w:jc w:val="both"/>
              <w:rPr>
                <w:rFonts w:hint="eastAsia" w:ascii="宋体" w:hAnsi="宋体" w:eastAsia="宋体" w:cs="宋体"/>
                <w:b w:val="0"/>
                <w:bCs w:val="0"/>
                <w:kern w:val="0"/>
                <w:sz w:val="24"/>
                <w:szCs w:val="24"/>
                <w:highlight w:val="none"/>
                <w:lang w:val="zh-CN"/>
              </w:rPr>
            </w:pPr>
            <w:r>
              <w:rPr>
                <w:rFonts w:hint="eastAsia" w:cs="宋体"/>
                <w:b w:val="0"/>
                <w:bCs w:val="0"/>
                <w:kern w:val="0"/>
                <w:sz w:val="24"/>
                <w:szCs w:val="24"/>
                <w:highlight w:val="none"/>
                <w:lang w:val="en-US" w:eastAsia="zh-CN"/>
              </w:rPr>
              <w:t>4</w:t>
            </w:r>
            <w:r>
              <w:rPr>
                <w:rFonts w:hint="eastAsia" w:ascii="宋体" w:hAnsi="宋体" w:eastAsia="宋体" w:cs="宋体"/>
                <w:b w:val="0"/>
                <w:bCs w:val="0"/>
                <w:kern w:val="0"/>
                <w:sz w:val="24"/>
                <w:szCs w:val="24"/>
                <w:highlight w:val="none"/>
                <w:lang w:val="zh-CN"/>
              </w:rPr>
              <w:t>分</w:t>
            </w:r>
          </w:p>
        </w:tc>
        <w:tc>
          <w:tcPr>
            <w:tcW w:w="5471" w:type="dxa"/>
            <w:tcBorders>
              <w:top w:val="single" w:color="auto" w:sz="4" w:space="0"/>
              <w:left w:val="nil"/>
              <w:right w:val="single" w:color="auto" w:sz="4" w:space="0"/>
            </w:tcBorders>
            <w:noWrap w:val="0"/>
            <w:vAlign w:val="center"/>
          </w:tcPr>
          <w:p w14:paraId="384EB269">
            <w:pPr>
              <w:spacing w:line="440" w:lineRule="exact"/>
              <w:jc w:val="left"/>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供应商应对或防范各种突发事件提供的预案包括但不限于以下两项内容（每项</w:t>
            </w:r>
            <w:r>
              <w:rPr>
                <w:rFonts w:hint="eastAsia" w:cs="宋体"/>
                <w:b w:val="0"/>
                <w:bCs w:val="0"/>
                <w:kern w:val="0"/>
                <w:sz w:val="24"/>
                <w:szCs w:val="24"/>
                <w:highlight w:val="none"/>
                <w:lang w:val="en-US" w:eastAsia="zh-CN"/>
              </w:rPr>
              <w:t>2</w:t>
            </w:r>
            <w:r>
              <w:rPr>
                <w:rFonts w:hint="eastAsia" w:ascii="宋体" w:hAnsi="宋体" w:eastAsia="宋体" w:cs="宋体"/>
                <w:b w:val="0"/>
                <w:bCs w:val="0"/>
                <w:kern w:val="0"/>
                <w:sz w:val="24"/>
                <w:szCs w:val="24"/>
                <w:highlight w:val="none"/>
                <w:lang w:val="en-US" w:eastAsia="zh-CN"/>
              </w:rPr>
              <w:t>分，满分</w:t>
            </w:r>
            <w:r>
              <w:rPr>
                <w:rFonts w:hint="eastAsia" w:cs="宋体"/>
                <w:b w:val="0"/>
                <w:bCs w:val="0"/>
                <w:kern w:val="0"/>
                <w:sz w:val="24"/>
                <w:szCs w:val="24"/>
                <w:highlight w:val="none"/>
                <w:lang w:val="en-US" w:eastAsia="zh-CN"/>
              </w:rPr>
              <w:t>4</w:t>
            </w:r>
            <w:r>
              <w:rPr>
                <w:rFonts w:hint="eastAsia" w:ascii="宋体" w:hAnsi="宋体" w:eastAsia="宋体" w:cs="宋体"/>
                <w:b w:val="0"/>
                <w:bCs w:val="0"/>
                <w:kern w:val="0"/>
                <w:sz w:val="24"/>
                <w:szCs w:val="24"/>
                <w:highlight w:val="none"/>
                <w:lang w:val="en-US" w:eastAsia="zh-CN"/>
              </w:rPr>
              <w:t>.0分）：</w:t>
            </w:r>
          </w:p>
          <w:p w14:paraId="40597699">
            <w:pPr>
              <w:numPr>
                <w:ilvl w:val="0"/>
                <w:numId w:val="0"/>
              </w:numPr>
              <w:spacing w:line="440" w:lineRule="exact"/>
              <w:ind w:firstLine="480" w:firstLineChars="200"/>
              <w:jc w:val="left"/>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1、应急管理制度；</w:t>
            </w:r>
          </w:p>
          <w:p w14:paraId="62DCC72B">
            <w:pPr>
              <w:spacing w:line="440" w:lineRule="exact"/>
              <w:jc w:val="left"/>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2、提供处理各种突发事件的具体措施。</w:t>
            </w:r>
          </w:p>
          <w:p w14:paraId="4B4749C6">
            <w:pPr>
              <w:spacing w:line="440" w:lineRule="exact"/>
              <w:jc w:val="left"/>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以上内容全面完整、切实可行、满足本项目应急措施要求，每项得0-</w:t>
            </w:r>
            <w:r>
              <w:rPr>
                <w:rFonts w:hint="eastAsia" w:cs="宋体"/>
                <w:b w:val="0"/>
                <w:bCs w:val="0"/>
                <w:kern w:val="0"/>
                <w:sz w:val="24"/>
                <w:szCs w:val="24"/>
                <w:highlight w:val="none"/>
                <w:lang w:val="en-US" w:eastAsia="zh-CN"/>
              </w:rPr>
              <w:t>2</w:t>
            </w:r>
            <w:r>
              <w:rPr>
                <w:rFonts w:hint="eastAsia" w:ascii="宋体" w:hAnsi="宋体" w:eastAsia="宋体" w:cs="宋体"/>
                <w:b w:val="0"/>
                <w:bCs w:val="0"/>
                <w:kern w:val="0"/>
                <w:sz w:val="24"/>
                <w:szCs w:val="24"/>
                <w:highlight w:val="none"/>
                <w:lang w:val="en-US" w:eastAsia="zh-CN"/>
              </w:rPr>
              <w:t>分。</w:t>
            </w:r>
          </w:p>
        </w:tc>
      </w:tr>
      <w:tr w14:paraId="300A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65" w:type="dxa"/>
            <w:vMerge w:val="continue"/>
            <w:tcBorders>
              <w:left w:val="single" w:color="auto" w:sz="4" w:space="0"/>
              <w:right w:val="single" w:color="auto" w:sz="4" w:space="0"/>
            </w:tcBorders>
            <w:noWrap w:val="0"/>
            <w:vAlign w:val="center"/>
          </w:tcPr>
          <w:p w14:paraId="1B0FDFD8">
            <w:pPr>
              <w:spacing w:line="440" w:lineRule="exact"/>
              <w:rPr>
                <w:rFonts w:hint="eastAsia" w:ascii="宋体" w:hAnsi="宋体" w:eastAsia="宋体" w:cs="宋体"/>
                <w:sz w:val="24"/>
                <w:szCs w:val="24"/>
                <w:highlight w:val="none"/>
              </w:rPr>
            </w:pPr>
          </w:p>
        </w:tc>
        <w:tc>
          <w:tcPr>
            <w:tcW w:w="1150" w:type="dxa"/>
            <w:vMerge w:val="continue"/>
            <w:tcBorders>
              <w:left w:val="single" w:color="auto" w:sz="4" w:space="0"/>
              <w:right w:val="single" w:color="auto" w:sz="4" w:space="0"/>
            </w:tcBorders>
            <w:noWrap w:val="0"/>
            <w:vAlign w:val="center"/>
          </w:tcPr>
          <w:p w14:paraId="3F7CAC3C">
            <w:pPr>
              <w:spacing w:line="440" w:lineRule="exact"/>
              <w:jc w:val="center"/>
              <w:rPr>
                <w:rFonts w:hint="eastAsia" w:ascii="宋体" w:hAnsi="宋体" w:eastAsia="宋体" w:cs="宋体"/>
                <w:sz w:val="24"/>
                <w:szCs w:val="24"/>
                <w:highlight w:val="none"/>
              </w:rPr>
            </w:pPr>
          </w:p>
        </w:tc>
        <w:tc>
          <w:tcPr>
            <w:tcW w:w="1130" w:type="dxa"/>
            <w:tcBorders>
              <w:top w:val="single" w:color="auto" w:sz="4" w:space="0"/>
              <w:left w:val="nil"/>
              <w:right w:val="single" w:color="auto" w:sz="4" w:space="0"/>
            </w:tcBorders>
            <w:noWrap w:val="0"/>
            <w:vAlign w:val="center"/>
          </w:tcPr>
          <w:p w14:paraId="6B30FC32">
            <w:pPr>
              <w:spacing w:line="460" w:lineRule="exact"/>
              <w:ind w:left="0" w:leftChars="0" w:firstLine="0" w:firstLineChars="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rPr>
              <w:t>服务</w:t>
            </w:r>
            <w:r>
              <w:rPr>
                <w:rFonts w:hint="eastAsia" w:ascii="宋体" w:hAnsi="宋体" w:eastAsia="宋体" w:cs="宋体"/>
                <w:sz w:val="24"/>
                <w:szCs w:val="24"/>
                <w:highlight w:val="none"/>
                <w:lang w:val="en-US" w:eastAsia="zh-CN"/>
              </w:rPr>
              <w:t>响应</w:t>
            </w:r>
          </w:p>
        </w:tc>
        <w:tc>
          <w:tcPr>
            <w:tcW w:w="766" w:type="dxa"/>
            <w:tcBorders>
              <w:top w:val="single" w:color="auto" w:sz="4" w:space="0"/>
              <w:left w:val="nil"/>
              <w:right w:val="single" w:color="auto" w:sz="4" w:space="0"/>
            </w:tcBorders>
            <w:noWrap w:val="0"/>
            <w:vAlign w:val="center"/>
          </w:tcPr>
          <w:p w14:paraId="30B9533B">
            <w:pPr>
              <w:spacing w:line="460" w:lineRule="exact"/>
              <w:ind w:left="0" w:leftChars="0" w:firstLine="0" w:firstLineChars="0"/>
              <w:jc w:val="both"/>
              <w:rPr>
                <w:rFonts w:hint="eastAsia" w:ascii="宋体" w:hAnsi="宋体" w:eastAsia="宋体" w:cs="宋体"/>
                <w:sz w:val="24"/>
                <w:szCs w:val="24"/>
                <w:highlight w:val="none"/>
              </w:rPr>
            </w:pPr>
            <w:r>
              <w:rPr>
                <w:rFonts w:hint="eastAsia" w:cs="宋体"/>
                <w:sz w:val="24"/>
                <w:szCs w:val="24"/>
                <w:highlight w:val="none"/>
                <w:lang w:val="en-US" w:eastAsia="zh-CN"/>
              </w:rPr>
              <w:t>2</w:t>
            </w:r>
            <w:r>
              <w:rPr>
                <w:rFonts w:hint="eastAsia" w:ascii="宋体" w:hAnsi="宋体" w:eastAsia="宋体" w:cs="宋体"/>
                <w:sz w:val="24"/>
                <w:szCs w:val="24"/>
                <w:highlight w:val="none"/>
              </w:rPr>
              <w:t>分</w:t>
            </w:r>
          </w:p>
        </w:tc>
        <w:tc>
          <w:tcPr>
            <w:tcW w:w="5471" w:type="dxa"/>
            <w:tcBorders>
              <w:top w:val="single" w:color="auto" w:sz="4" w:space="0"/>
              <w:left w:val="nil"/>
              <w:bottom w:val="single" w:color="auto" w:sz="4" w:space="0"/>
              <w:right w:val="single" w:color="auto" w:sz="4" w:space="0"/>
            </w:tcBorders>
            <w:noWrap w:val="0"/>
            <w:vAlign w:val="center"/>
          </w:tcPr>
          <w:p w14:paraId="1086C774">
            <w:pPr>
              <w:spacing w:line="46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1、故障响应到场时间在采购文件要求的基础上，每提前0.5小时得0.</w:t>
            </w:r>
            <w:r>
              <w:rPr>
                <w:rFonts w:hint="eastAsia" w:cs="宋体"/>
                <w:sz w:val="24"/>
                <w:szCs w:val="24"/>
                <w:highlight w:val="none"/>
                <w:lang w:val="en-US" w:eastAsia="zh-CN"/>
              </w:rPr>
              <w:t>2</w:t>
            </w:r>
            <w:r>
              <w:rPr>
                <w:rFonts w:hint="eastAsia" w:ascii="宋体" w:hAnsi="宋体" w:eastAsia="宋体" w:cs="宋体"/>
                <w:sz w:val="24"/>
                <w:szCs w:val="24"/>
                <w:highlight w:val="none"/>
                <w:lang w:val="en-US" w:eastAsia="zh-CN"/>
              </w:rPr>
              <w:t>分，最高得</w:t>
            </w:r>
            <w:r>
              <w:rPr>
                <w:rFonts w:hint="eastAsia" w:cs="宋体"/>
                <w:sz w:val="24"/>
                <w:szCs w:val="24"/>
                <w:highlight w:val="none"/>
                <w:lang w:val="en-US" w:eastAsia="zh-CN"/>
              </w:rPr>
              <w:t>1</w:t>
            </w:r>
            <w:r>
              <w:rPr>
                <w:rFonts w:hint="eastAsia" w:ascii="宋体" w:hAnsi="宋体" w:eastAsia="宋体" w:cs="宋体"/>
                <w:sz w:val="24"/>
                <w:szCs w:val="24"/>
                <w:highlight w:val="none"/>
                <w:lang w:val="en-US" w:eastAsia="zh-CN"/>
              </w:rPr>
              <w:t>.0分；</w:t>
            </w:r>
          </w:p>
          <w:p w14:paraId="2621EEDA">
            <w:pPr>
              <w:spacing w:line="46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2、零备件</w:t>
            </w:r>
            <w:r>
              <w:rPr>
                <w:rFonts w:hint="eastAsia" w:cs="宋体"/>
                <w:sz w:val="24"/>
                <w:szCs w:val="24"/>
                <w:highlight w:val="none"/>
                <w:lang w:val="en-US" w:eastAsia="zh-CN"/>
              </w:rPr>
              <w:t>送达</w:t>
            </w:r>
            <w:r>
              <w:rPr>
                <w:rFonts w:hint="eastAsia" w:ascii="宋体" w:hAnsi="宋体" w:eastAsia="宋体" w:cs="宋体"/>
                <w:sz w:val="24"/>
                <w:szCs w:val="24"/>
                <w:highlight w:val="none"/>
                <w:lang w:val="en-US" w:eastAsia="zh-CN"/>
              </w:rPr>
              <w:t>时间在采购文件要求的基础上，每提前1小时得0.2分，最高得</w:t>
            </w:r>
            <w:r>
              <w:rPr>
                <w:rFonts w:hint="eastAsia" w:cs="宋体"/>
                <w:sz w:val="24"/>
                <w:szCs w:val="24"/>
                <w:highlight w:val="none"/>
                <w:lang w:val="en-US" w:eastAsia="zh-CN"/>
              </w:rPr>
              <w:t>1</w:t>
            </w:r>
            <w:r>
              <w:rPr>
                <w:rFonts w:hint="eastAsia" w:ascii="宋体" w:hAnsi="宋体" w:eastAsia="宋体" w:cs="宋体"/>
                <w:sz w:val="24"/>
                <w:szCs w:val="24"/>
                <w:highlight w:val="none"/>
                <w:lang w:val="en-US" w:eastAsia="zh-CN"/>
              </w:rPr>
              <w:t>.0分；</w:t>
            </w:r>
          </w:p>
          <w:p w14:paraId="409897A4">
            <w:pPr>
              <w:spacing w:line="46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依据供应</w:t>
            </w:r>
            <w:r>
              <w:rPr>
                <w:rFonts w:hint="eastAsia" w:cs="宋体"/>
                <w:sz w:val="24"/>
                <w:szCs w:val="24"/>
                <w:highlight w:val="none"/>
                <w:lang w:val="en-US" w:eastAsia="zh-CN"/>
              </w:rPr>
              <w:t>商</w:t>
            </w:r>
            <w:r>
              <w:rPr>
                <w:rFonts w:hint="eastAsia" w:ascii="宋体" w:hAnsi="宋体" w:eastAsia="宋体" w:cs="宋体"/>
                <w:sz w:val="24"/>
                <w:szCs w:val="24"/>
                <w:highlight w:val="none"/>
                <w:lang w:val="en-US" w:eastAsia="zh-CN"/>
              </w:rPr>
              <w:t>技术偏离表中此部分响应情况进行评审。</w:t>
            </w:r>
          </w:p>
        </w:tc>
      </w:tr>
      <w:tr w14:paraId="10A75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65" w:type="dxa"/>
            <w:vMerge w:val="continue"/>
            <w:tcBorders>
              <w:left w:val="single" w:color="auto" w:sz="4" w:space="0"/>
              <w:right w:val="single" w:color="auto" w:sz="4" w:space="0"/>
            </w:tcBorders>
            <w:noWrap w:val="0"/>
            <w:vAlign w:val="center"/>
          </w:tcPr>
          <w:p w14:paraId="56030AA7">
            <w:pPr>
              <w:spacing w:line="440" w:lineRule="exact"/>
              <w:rPr>
                <w:rFonts w:hint="eastAsia" w:ascii="宋体" w:hAnsi="宋体" w:eastAsia="宋体" w:cs="宋体"/>
                <w:sz w:val="24"/>
                <w:szCs w:val="24"/>
                <w:highlight w:val="none"/>
              </w:rPr>
            </w:pPr>
          </w:p>
        </w:tc>
        <w:tc>
          <w:tcPr>
            <w:tcW w:w="1150" w:type="dxa"/>
            <w:vMerge w:val="continue"/>
            <w:tcBorders>
              <w:left w:val="single" w:color="auto" w:sz="4" w:space="0"/>
              <w:right w:val="single" w:color="auto" w:sz="4" w:space="0"/>
            </w:tcBorders>
            <w:noWrap w:val="0"/>
            <w:vAlign w:val="center"/>
          </w:tcPr>
          <w:p w14:paraId="01562818">
            <w:pPr>
              <w:spacing w:line="440" w:lineRule="exact"/>
              <w:jc w:val="center"/>
              <w:rPr>
                <w:rFonts w:hint="eastAsia" w:ascii="宋体" w:hAnsi="宋体" w:eastAsia="宋体" w:cs="宋体"/>
                <w:sz w:val="24"/>
                <w:szCs w:val="24"/>
                <w:highlight w:val="none"/>
              </w:rPr>
            </w:pPr>
          </w:p>
        </w:tc>
        <w:tc>
          <w:tcPr>
            <w:tcW w:w="1130" w:type="dxa"/>
            <w:tcBorders>
              <w:top w:val="single" w:color="auto" w:sz="4" w:space="0"/>
              <w:left w:val="nil"/>
              <w:right w:val="single" w:color="auto" w:sz="4" w:space="0"/>
            </w:tcBorders>
            <w:noWrap w:val="0"/>
            <w:vAlign w:val="center"/>
          </w:tcPr>
          <w:p w14:paraId="23D036EB">
            <w:pPr>
              <w:spacing w:line="460" w:lineRule="exact"/>
              <w:ind w:left="0" w:leftChars="0" w:firstLine="0" w:firstLineChars="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备品备件清单</w:t>
            </w:r>
          </w:p>
        </w:tc>
        <w:tc>
          <w:tcPr>
            <w:tcW w:w="766" w:type="dxa"/>
            <w:tcBorders>
              <w:top w:val="single" w:color="auto" w:sz="4" w:space="0"/>
              <w:left w:val="nil"/>
              <w:right w:val="single" w:color="auto" w:sz="4" w:space="0"/>
            </w:tcBorders>
            <w:noWrap w:val="0"/>
            <w:vAlign w:val="center"/>
          </w:tcPr>
          <w:p w14:paraId="508F09D3">
            <w:pPr>
              <w:spacing w:line="460" w:lineRule="exact"/>
              <w:ind w:left="0" w:leftChars="0" w:firstLine="0" w:firstLineChars="0"/>
              <w:jc w:val="both"/>
              <w:rPr>
                <w:rFonts w:hint="eastAsia" w:ascii="宋体" w:hAnsi="宋体" w:eastAsia="宋体" w:cs="宋体"/>
                <w:sz w:val="24"/>
                <w:szCs w:val="24"/>
                <w:highlight w:val="none"/>
                <w:lang w:val="en-US" w:eastAsia="zh-CN"/>
              </w:rPr>
            </w:pPr>
            <w:r>
              <w:rPr>
                <w:rFonts w:hint="eastAsia" w:cs="宋体"/>
                <w:sz w:val="24"/>
                <w:szCs w:val="24"/>
                <w:highlight w:val="none"/>
                <w:lang w:val="en-US" w:eastAsia="zh-CN"/>
              </w:rPr>
              <w:t>2</w:t>
            </w:r>
            <w:r>
              <w:rPr>
                <w:rFonts w:hint="eastAsia" w:ascii="宋体" w:hAnsi="宋体" w:eastAsia="宋体" w:cs="宋体"/>
                <w:sz w:val="24"/>
                <w:szCs w:val="24"/>
                <w:highlight w:val="none"/>
                <w:lang w:val="en-US" w:eastAsia="zh-CN"/>
              </w:rPr>
              <w:t>分</w:t>
            </w:r>
          </w:p>
        </w:tc>
        <w:tc>
          <w:tcPr>
            <w:tcW w:w="5471" w:type="dxa"/>
            <w:tcBorders>
              <w:top w:val="single" w:color="auto" w:sz="4" w:space="0"/>
              <w:left w:val="nil"/>
              <w:bottom w:val="single" w:color="auto" w:sz="4" w:space="0"/>
              <w:right w:val="single" w:color="auto" w:sz="4" w:space="0"/>
            </w:tcBorders>
            <w:noWrap w:val="0"/>
            <w:vAlign w:val="center"/>
          </w:tcPr>
          <w:p w14:paraId="24387640">
            <w:pPr>
              <w:spacing w:line="46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供应商针对本项目提供维保所需备品备件清单并标明价格得</w:t>
            </w:r>
            <w:r>
              <w:rPr>
                <w:rFonts w:hint="eastAsia" w:cs="宋体"/>
                <w:sz w:val="24"/>
                <w:szCs w:val="24"/>
                <w:highlight w:val="none"/>
                <w:lang w:val="en-US" w:eastAsia="zh-CN"/>
              </w:rPr>
              <w:t>2</w:t>
            </w:r>
            <w:r>
              <w:rPr>
                <w:rFonts w:hint="eastAsia" w:ascii="宋体" w:hAnsi="宋体" w:eastAsia="宋体" w:cs="宋体"/>
                <w:sz w:val="24"/>
                <w:szCs w:val="24"/>
                <w:highlight w:val="none"/>
                <w:lang w:val="en-US" w:eastAsia="zh-CN"/>
              </w:rPr>
              <w:t>.0分，不提供不得分。</w:t>
            </w:r>
          </w:p>
        </w:tc>
      </w:tr>
      <w:tr w14:paraId="2F2F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5" w:type="dxa"/>
            <w:vMerge w:val="continue"/>
            <w:tcBorders>
              <w:left w:val="single" w:color="auto" w:sz="4" w:space="0"/>
              <w:right w:val="single" w:color="auto" w:sz="4" w:space="0"/>
            </w:tcBorders>
            <w:noWrap w:val="0"/>
            <w:vAlign w:val="center"/>
          </w:tcPr>
          <w:p w14:paraId="119C9A4D">
            <w:pPr>
              <w:spacing w:line="440" w:lineRule="exact"/>
              <w:jc w:val="center"/>
              <w:rPr>
                <w:rFonts w:hint="eastAsia" w:ascii="宋体" w:hAnsi="宋体" w:eastAsia="宋体" w:cs="宋体"/>
                <w:sz w:val="24"/>
                <w:szCs w:val="24"/>
                <w:highlight w:val="none"/>
              </w:rPr>
            </w:pPr>
          </w:p>
        </w:tc>
        <w:tc>
          <w:tcPr>
            <w:tcW w:w="1150" w:type="dxa"/>
            <w:vMerge w:val="continue"/>
            <w:tcBorders>
              <w:left w:val="single" w:color="auto" w:sz="4" w:space="0"/>
              <w:right w:val="single" w:color="auto" w:sz="4" w:space="0"/>
            </w:tcBorders>
            <w:noWrap w:val="0"/>
            <w:vAlign w:val="center"/>
          </w:tcPr>
          <w:p w14:paraId="53BF5A40">
            <w:pPr>
              <w:spacing w:line="440" w:lineRule="exact"/>
              <w:jc w:val="center"/>
              <w:rPr>
                <w:rFonts w:hint="eastAsia" w:ascii="宋体" w:hAnsi="宋体" w:eastAsia="宋体" w:cs="宋体"/>
                <w:sz w:val="24"/>
                <w:szCs w:val="24"/>
                <w:highlight w:val="none"/>
              </w:rPr>
            </w:pPr>
          </w:p>
        </w:tc>
        <w:tc>
          <w:tcPr>
            <w:tcW w:w="1130" w:type="dxa"/>
            <w:tcBorders>
              <w:top w:val="single" w:color="auto" w:sz="4" w:space="0"/>
              <w:left w:val="nil"/>
              <w:bottom w:val="single" w:color="auto" w:sz="4" w:space="0"/>
              <w:right w:val="single" w:color="auto" w:sz="4" w:space="0"/>
            </w:tcBorders>
            <w:shd w:val="clear" w:color="auto" w:fill="auto"/>
            <w:noWrap w:val="0"/>
            <w:vAlign w:val="center"/>
          </w:tcPr>
          <w:p w14:paraId="5778688D">
            <w:pPr>
              <w:spacing w:line="460" w:lineRule="exact"/>
              <w:ind w:left="0" w:leftChars="0" w:firstLine="0" w:firstLineChars="0"/>
              <w:jc w:val="both"/>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履约能力</w:t>
            </w:r>
          </w:p>
        </w:tc>
        <w:tc>
          <w:tcPr>
            <w:tcW w:w="766" w:type="dxa"/>
            <w:tcBorders>
              <w:top w:val="single" w:color="auto" w:sz="4" w:space="0"/>
              <w:left w:val="nil"/>
              <w:right w:val="single" w:color="auto" w:sz="4" w:space="0"/>
            </w:tcBorders>
            <w:shd w:val="clear" w:color="auto" w:fill="auto"/>
            <w:noWrap w:val="0"/>
            <w:vAlign w:val="center"/>
          </w:tcPr>
          <w:p w14:paraId="1F8F92F3">
            <w:pPr>
              <w:spacing w:line="460" w:lineRule="exact"/>
              <w:ind w:left="0" w:leftChars="0" w:firstLine="0" w:firstLineChars="0"/>
              <w:jc w:val="both"/>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1</w:t>
            </w:r>
            <w:r>
              <w:rPr>
                <w:rFonts w:hint="eastAsia" w:cs="宋体"/>
                <w:sz w:val="24"/>
                <w:szCs w:val="24"/>
                <w:highlight w:val="none"/>
                <w:lang w:val="en-US" w:eastAsia="zh-CN"/>
              </w:rPr>
              <w:t>5</w:t>
            </w:r>
            <w:r>
              <w:rPr>
                <w:rFonts w:hint="eastAsia" w:ascii="宋体" w:hAnsi="宋体" w:eastAsia="宋体" w:cs="宋体"/>
                <w:sz w:val="24"/>
                <w:szCs w:val="24"/>
                <w:highlight w:val="none"/>
                <w:lang w:val="zh-CN"/>
              </w:rPr>
              <w:t>分</w:t>
            </w:r>
          </w:p>
        </w:tc>
        <w:tc>
          <w:tcPr>
            <w:tcW w:w="5471" w:type="dxa"/>
            <w:tcBorders>
              <w:top w:val="single" w:color="auto" w:sz="4" w:space="0"/>
              <w:left w:val="nil"/>
              <w:bottom w:val="single" w:color="auto" w:sz="4" w:space="0"/>
              <w:right w:val="single" w:color="auto" w:sz="4" w:space="0"/>
            </w:tcBorders>
            <w:shd w:val="clear" w:color="auto" w:fill="auto"/>
            <w:noWrap w:val="0"/>
            <w:vAlign w:val="center"/>
          </w:tcPr>
          <w:p w14:paraId="4777E2E2">
            <w:pPr>
              <w:spacing w:line="460" w:lineRule="exact"/>
              <w:jc w:val="lef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具体包括本地化服务、人员资质、备品配件仓储设施和设备维修工具等方面内容:</w:t>
            </w:r>
          </w:p>
          <w:p w14:paraId="38FE94E4">
            <w:pPr>
              <w:spacing w:line="460" w:lineRule="exact"/>
              <w:jc w:val="lef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1、</w:t>
            </w:r>
            <w:r>
              <w:rPr>
                <w:rFonts w:hint="eastAsia" w:ascii="宋体" w:hAnsi="宋体" w:eastAsia="宋体" w:cs="宋体"/>
                <w:color w:val="auto"/>
                <w:sz w:val="24"/>
                <w:szCs w:val="24"/>
                <w:highlight w:val="none"/>
                <w:lang w:val="zh-CN" w:eastAsia="zh-CN"/>
              </w:rPr>
              <w:t>在本</w:t>
            </w:r>
            <w:r>
              <w:rPr>
                <w:rFonts w:hint="eastAsia" w:ascii="宋体" w:hAnsi="宋体" w:eastAsia="宋体" w:cs="宋体"/>
                <w:color w:val="auto"/>
                <w:sz w:val="24"/>
                <w:szCs w:val="24"/>
                <w:highlight w:val="none"/>
                <w:lang w:val="en-US" w:eastAsia="zh-CN"/>
              </w:rPr>
              <w:t>省内或至少在西安</w:t>
            </w:r>
            <w:r>
              <w:rPr>
                <w:rFonts w:hint="eastAsia" w:ascii="宋体" w:hAnsi="宋体" w:eastAsia="宋体" w:cs="宋体"/>
                <w:color w:val="auto"/>
                <w:sz w:val="24"/>
                <w:szCs w:val="24"/>
                <w:highlight w:val="none"/>
                <w:lang w:val="zh-CN" w:eastAsia="zh-CN"/>
              </w:rPr>
              <w:t>设立维修服务站</w:t>
            </w:r>
            <w:r>
              <w:rPr>
                <w:rFonts w:hint="eastAsia" w:ascii="宋体" w:hAnsi="宋体" w:eastAsia="宋体" w:cs="宋体"/>
                <w:color w:val="auto"/>
                <w:sz w:val="24"/>
                <w:szCs w:val="24"/>
                <w:highlight w:val="none"/>
                <w:lang w:val="en-US" w:eastAsia="zh-CN"/>
              </w:rPr>
              <w:t>和备件库</w:t>
            </w:r>
            <w:r>
              <w:rPr>
                <w:rFonts w:hint="eastAsia" w:ascii="宋体" w:hAnsi="宋体" w:eastAsia="宋体" w:cs="宋体"/>
                <w:color w:val="auto"/>
                <w:sz w:val="24"/>
                <w:szCs w:val="24"/>
                <w:highlight w:val="none"/>
                <w:lang w:val="zh-CN" w:eastAsia="zh-CN"/>
              </w:rPr>
              <w:t>得</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分，</w:t>
            </w:r>
            <w:r>
              <w:rPr>
                <w:rFonts w:hint="eastAsia" w:ascii="宋体" w:hAnsi="宋体" w:eastAsia="宋体" w:cs="宋体"/>
                <w:color w:val="auto"/>
                <w:sz w:val="24"/>
                <w:szCs w:val="24"/>
                <w:highlight w:val="none"/>
                <w:lang w:val="en-US" w:eastAsia="zh-CN"/>
              </w:rPr>
              <w:t>本省以外</w:t>
            </w:r>
            <w:r>
              <w:rPr>
                <w:rFonts w:hint="eastAsia" w:ascii="宋体" w:hAnsi="宋体" w:eastAsia="宋体" w:cs="宋体"/>
                <w:color w:val="auto"/>
                <w:sz w:val="24"/>
                <w:szCs w:val="24"/>
                <w:highlight w:val="none"/>
                <w:lang w:val="zh-CN" w:eastAsia="zh-CN"/>
              </w:rPr>
              <w:t>设立维修服务站</w:t>
            </w:r>
            <w:r>
              <w:rPr>
                <w:rFonts w:hint="eastAsia" w:ascii="宋体" w:hAnsi="宋体" w:eastAsia="宋体" w:cs="宋体"/>
                <w:color w:val="auto"/>
                <w:sz w:val="24"/>
                <w:szCs w:val="24"/>
                <w:highlight w:val="none"/>
                <w:lang w:val="en-US" w:eastAsia="zh-CN"/>
              </w:rPr>
              <w:t>和备件库得3分，</w:t>
            </w:r>
            <w:r>
              <w:rPr>
                <w:rFonts w:hint="eastAsia" w:ascii="宋体" w:hAnsi="宋体" w:eastAsia="宋体" w:cs="宋体"/>
                <w:color w:val="auto"/>
                <w:sz w:val="24"/>
                <w:szCs w:val="24"/>
                <w:highlight w:val="none"/>
                <w:lang w:val="zh-CN" w:eastAsia="zh-CN"/>
              </w:rPr>
              <w:t>须提供相关证明资料，未提供不</w:t>
            </w:r>
            <w:r>
              <w:rPr>
                <w:rFonts w:hint="eastAsia" w:ascii="宋体" w:hAnsi="宋体" w:eastAsia="宋体" w:cs="宋体"/>
                <w:sz w:val="24"/>
                <w:szCs w:val="24"/>
                <w:highlight w:val="none"/>
                <w:lang w:val="zh-CN" w:eastAsia="zh-CN"/>
              </w:rPr>
              <w:t>得分；</w:t>
            </w:r>
          </w:p>
          <w:p w14:paraId="082AC299">
            <w:pPr>
              <w:spacing w:line="460" w:lineRule="exact"/>
              <w:jc w:val="left"/>
              <w:rPr>
                <w:rFonts w:hint="eastAsia" w:ascii="宋体" w:hAnsi="宋体" w:eastAsia="宋体" w:cs="宋体"/>
                <w:sz w:val="24"/>
                <w:szCs w:val="24"/>
                <w:highlight w:val="none"/>
                <w:lang w:val="zh-CN" w:eastAsia="zh-CN"/>
              </w:rPr>
            </w:pPr>
            <w:r>
              <w:rPr>
                <w:rFonts w:hint="eastAsia" w:ascii="宋体" w:hAnsi="宋体" w:eastAsia="宋体" w:cs="宋体"/>
                <w:color w:val="auto"/>
                <w:sz w:val="24"/>
                <w:szCs w:val="24"/>
                <w:highlight w:val="none"/>
                <w:lang w:val="zh-CN" w:eastAsia="zh-CN"/>
              </w:rPr>
              <w:t>2、</w:t>
            </w:r>
            <w:r>
              <w:rPr>
                <w:rFonts w:hint="eastAsia" w:cs="宋体"/>
                <w:color w:val="auto"/>
                <w:sz w:val="24"/>
                <w:szCs w:val="24"/>
                <w:highlight w:val="none"/>
                <w:lang w:val="en-US" w:eastAsia="zh-CN"/>
              </w:rPr>
              <w:t>不少于</w:t>
            </w:r>
            <w:r>
              <w:rPr>
                <w:rFonts w:hint="eastAsia" w:ascii="宋体" w:hAnsi="宋体" w:eastAsia="宋体" w:cs="宋体"/>
                <w:b w:val="0"/>
                <w:bCs w:val="0"/>
                <w:color w:val="auto"/>
                <w:kern w:val="0"/>
                <w:sz w:val="24"/>
                <w:szCs w:val="24"/>
                <w:highlight w:val="none"/>
                <w:lang w:val="en-US" w:eastAsia="zh-CN" w:bidi="ar-SA"/>
              </w:rPr>
              <w:t>3名全职、经原厂资格认证的大孔径CT常驻售后工程师</w:t>
            </w:r>
            <w:r>
              <w:rPr>
                <w:rFonts w:hint="eastAsia" w:ascii="宋体" w:hAnsi="宋体" w:eastAsia="宋体" w:cs="宋体"/>
                <w:sz w:val="24"/>
                <w:szCs w:val="24"/>
                <w:highlight w:val="none"/>
                <w:lang w:val="zh-CN" w:eastAsia="zh-CN"/>
              </w:rPr>
              <w:t>，每多1人取得</w:t>
            </w:r>
            <w:r>
              <w:rPr>
                <w:rFonts w:hint="eastAsia" w:cs="宋体"/>
                <w:sz w:val="24"/>
                <w:szCs w:val="24"/>
                <w:highlight w:val="none"/>
                <w:lang w:val="en-US" w:eastAsia="zh-CN"/>
              </w:rPr>
              <w:t>资格认证</w:t>
            </w:r>
            <w:r>
              <w:rPr>
                <w:rFonts w:hint="eastAsia" w:ascii="宋体" w:hAnsi="宋体" w:eastAsia="宋体" w:cs="宋体"/>
                <w:sz w:val="24"/>
                <w:szCs w:val="24"/>
                <w:highlight w:val="none"/>
                <w:lang w:val="zh-CN" w:eastAsia="zh-CN"/>
              </w:rPr>
              <w:t>证书的得</w:t>
            </w:r>
            <w:r>
              <w:rPr>
                <w:rFonts w:hint="eastAsia" w:cs="宋体"/>
                <w:sz w:val="24"/>
                <w:szCs w:val="24"/>
                <w:highlight w:val="none"/>
                <w:lang w:val="en-US" w:eastAsia="zh-CN"/>
              </w:rPr>
              <w:t>3</w:t>
            </w:r>
            <w:r>
              <w:rPr>
                <w:rFonts w:hint="eastAsia" w:ascii="宋体" w:hAnsi="宋体" w:eastAsia="宋体" w:cs="宋体"/>
                <w:sz w:val="24"/>
                <w:szCs w:val="24"/>
                <w:highlight w:val="none"/>
                <w:lang w:val="zh-CN" w:eastAsia="zh-CN"/>
              </w:rPr>
              <w:t>分,最高得</w:t>
            </w:r>
            <w:r>
              <w:rPr>
                <w:rFonts w:hint="eastAsia" w:cs="宋体"/>
                <w:sz w:val="24"/>
                <w:szCs w:val="24"/>
                <w:highlight w:val="none"/>
                <w:lang w:val="en-US" w:eastAsia="zh-CN"/>
              </w:rPr>
              <w:t>6</w:t>
            </w:r>
            <w:r>
              <w:rPr>
                <w:rFonts w:hint="eastAsia" w:ascii="宋体" w:hAnsi="宋体" w:eastAsia="宋体" w:cs="宋体"/>
                <w:sz w:val="24"/>
                <w:szCs w:val="24"/>
                <w:highlight w:val="none"/>
                <w:lang w:val="zh-CN" w:eastAsia="zh-CN"/>
              </w:rPr>
              <w:t>.0分(须提供人员身份证、培训证书、劳动合同或社保缴纳证明，未提供或提供不全的不得分。)</w:t>
            </w:r>
          </w:p>
          <w:p w14:paraId="058425E6">
            <w:pPr>
              <w:spacing w:line="46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3、提供备品配件仓储设施、设备维修工具等得</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lang w:val="zh-CN" w:eastAsia="zh-CN"/>
              </w:rPr>
              <w:t>分，未提供不得分。</w:t>
            </w:r>
          </w:p>
        </w:tc>
      </w:tr>
      <w:tr w14:paraId="2C067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65" w:type="dxa"/>
            <w:vMerge w:val="continue"/>
            <w:tcBorders>
              <w:left w:val="single" w:color="auto" w:sz="4" w:space="0"/>
              <w:right w:val="single" w:color="auto" w:sz="4" w:space="0"/>
            </w:tcBorders>
            <w:noWrap w:val="0"/>
            <w:vAlign w:val="center"/>
          </w:tcPr>
          <w:p w14:paraId="26DE1848">
            <w:pPr>
              <w:spacing w:line="440" w:lineRule="exact"/>
              <w:jc w:val="center"/>
              <w:rPr>
                <w:rFonts w:hint="eastAsia" w:ascii="宋体" w:hAnsi="宋体" w:eastAsia="宋体" w:cs="宋体"/>
                <w:sz w:val="24"/>
                <w:szCs w:val="24"/>
                <w:highlight w:val="none"/>
              </w:rPr>
            </w:pPr>
          </w:p>
        </w:tc>
        <w:tc>
          <w:tcPr>
            <w:tcW w:w="1150" w:type="dxa"/>
            <w:vMerge w:val="continue"/>
            <w:tcBorders>
              <w:left w:val="single" w:color="auto" w:sz="4" w:space="0"/>
              <w:right w:val="single" w:color="auto" w:sz="4" w:space="0"/>
            </w:tcBorders>
            <w:noWrap w:val="0"/>
            <w:vAlign w:val="center"/>
          </w:tcPr>
          <w:p w14:paraId="49A7EF8F">
            <w:pPr>
              <w:spacing w:line="440" w:lineRule="exact"/>
              <w:jc w:val="center"/>
              <w:rPr>
                <w:rFonts w:hint="eastAsia" w:ascii="宋体" w:hAnsi="宋体" w:eastAsia="宋体" w:cs="宋体"/>
                <w:sz w:val="24"/>
                <w:szCs w:val="24"/>
                <w:highlight w:val="none"/>
              </w:rPr>
            </w:pPr>
          </w:p>
        </w:tc>
        <w:tc>
          <w:tcPr>
            <w:tcW w:w="1130" w:type="dxa"/>
            <w:tcBorders>
              <w:top w:val="single" w:color="auto" w:sz="4" w:space="0"/>
              <w:left w:val="nil"/>
              <w:bottom w:val="single" w:color="auto" w:sz="4" w:space="0"/>
              <w:right w:val="single" w:color="auto" w:sz="4" w:space="0"/>
            </w:tcBorders>
            <w:shd w:val="clear" w:color="auto" w:fill="auto"/>
            <w:noWrap w:val="0"/>
            <w:vAlign w:val="center"/>
          </w:tcPr>
          <w:p w14:paraId="6BBB4719">
            <w:pPr>
              <w:spacing w:line="460" w:lineRule="exact"/>
              <w:ind w:left="0" w:leftChars="0" w:firstLine="0" w:firstLineChars="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sz w:val="24"/>
                <w:szCs w:val="24"/>
                <w:highlight w:val="none"/>
                <w:lang w:val="zh-CN"/>
              </w:rPr>
              <w:t>增值服务</w:t>
            </w:r>
          </w:p>
        </w:tc>
        <w:tc>
          <w:tcPr>
            <w:tcW w:w="766" w:type="dxa"/>
            <w:tcBorders>
              <w:top w:val="single" w:color="auto" w:sz="4" w:space="0"/>
              <w:left w:val="nil"/>
              <w:right w:val="single" w:color="auto" w:sz="4" w:space="0"/>
            </w:tcBorders>
            <w:shd w:val="clear" w:color="auto" w:fill="auto"/>
            <w:noWrap w:val="0"/>
            <w:vAlign w:val="center"/>
          </w:tcPr>
          <w:p w14:paraId="68B3F831">
            <w:pPr>
              <w:spacing w:line="460" w:lineRule="exact"/>
              <w:ind w:left="0" w:leftChars="0" w:firstLine="0" w:firstLineChars="0"/>
              <w:jc w:val="both"/>
              <w:rPr>
                <w:rFonts w:hint="eastAsia" w:ascii="宋体" w:hAnsi="宋体" w:eastAsia="宋体" w:cs="宋体"/>
                <w:kern w:val="2"/>
                <w:sz w:val="24"/>
                <w:szCs w:val="24"/>
                <w:highlight w:val="none"/>
                <w:lang w:val="en-US" w:eastAsia="zh-CN" w:bidi="ar-SA"/>
              </w:rPr>
            </w:pPr>
            <w:r>
              <w:rPr>
                <w:rFonts w:hint="eastAsia" w:cs="宋体"/>
                <w:sz w:val="24"/>
                <w:szCs w:val="24"/>
                <w:highlight w:val="none"/>
                <w:lang w:val="en-US" w:eastAsia="zh-CN"/>
              </w:rPr>
              <w:t>4</w:t>
            </w:r>
            <w:r>
              <w:rPr>
                <w:rFonts w:hint="eastAsia" w:ascii="宋体" w:hAnsi="宋体" w:eastAsia="宋体" w:cs="宋体"/>
                <w:sz w:val="24"/>
                <w:szCs w:val="24"/>
                <w:highlight w:val="none"/>
                <w:lang w:val="zh-CN"/>
              </w:rPr>
              <w:t>分</w:t>
            </w:r>
          </w:p>
        </w:tc>
        <w:tc>
          <w:tcPr>
            <w:tcW w:w="5471" w:type="dxa"/>
            <w:tcBorders>
              <w:top w:val="single" w:color="auto" w:sz="4" w:space="0"/>
              <w:left w:val="nil"/>
              <w:bottom w:val="single" w:color="auto" w:sz="4" w:space="0"/>
              <w:right w:val="single" w:color="auto" w:sz="4" w:space="0"/>
            </w:tcBorders>
            <w:shd w:val="clear" w:color="auto" w:fill="auto"/>
            <w:noWrap w:val="0"/>
            <w:vAlign w:val="center"/>
          </w:tcPr>
          <w:p w14:paraId="6B6DC088">
            <w:pPr>
              <w:spacing w:line="460" w:lineRule="exact"/>
              <w:jc w:val="left"/>
              <w:rPr>
                <w:rFonts w:hint="eastAsia" w:ascii="宋体" w:hAnsi="宋体" w:eastAsia="宋体" w:cs="宋体"/>
                <w:kern w:val="2"/>
                <w:sz w:val="24"/>
                <w:szCs w:val="24"/>
                <w:highlight w:val="none"/>
                <w:lang w:val="zh-CN" w:eastAsia="zh-CN" w:bidi="ar-SA"/>
              </w:rPr>
            </w:pPr>
            <w:r>
              <w:rPr>
                <w:rFonts w:hint="eastAsia" w:ascii="宋体" w:hAnsi="宋体" w:eastAsia="宋体" w:cs="宋体"/>
                <w:sz w:val="24"/>
                <w:szCs w:val="24"/>
                <w:highlight w:val="none"/>
                <w:lang w:val="zh-CN"/>
              </w:rPr>
              <w:t>根据供应商提供的增值服务内容</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zh-CN"/>
              </w:rPr>
              <w:t>全面性、</w:t>
            </w:r>
            <w:r>
              <w:rPr>
                <w:rFonts w:hint="eastAsia" w:ascii="宋体" w:hAnsi="宋体" w:eastAsia="宋体" w:cs="宋体"/>
                <w:sz w:val="24"/>
                <w:szCs w:val="24"/>
                <w:highlight w:val="none"/>
              </w:rPr>
              <w:t>可行性及</w:t>
            </w:r>
            <w:r>
              <w:rPr>
                <w:rFonts w:hint="eastAsia" w:ascii="宋体" w:hAnsi="宋体" w:eastAsia="宋体" w:cs="宋体"/>
                <w:sz w:val="24"/>
                <w:szCs w:val="24"/>
                <w:highlight w:val="none"/>
                <w:lang w:val="zh-CN"/>
              </w:rPr>
              <w:t>详细程度计</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val="zh-CN"/>
              </w:rPr>
              <w:t>-</w:t>
            </w:r>
            <w:r>
              <w:rPr>
                <w:rFonts w:hint="eastAsia" w:cs="宋体"/>
                <w:sz w:val="24"/>
                <w:szCs w:val="24"/>
                <w:highlight w:val="none"/>
                <w:lang w:val="en-US" w:eastAsia="zh-CN"/>
              </w:rPr>
              <w:t>4</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val="zh-CN"/>
              </w:rPr>
              <w:t>分。</w:t>
            </w:r>
          </w:p>
        </w:tc>
      </w:tr>
      <w:tr w14:paraId="47414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765" w:type="dxa"/>
            <w:tcBorders>
              <w:left w:val="single" w:color="auto" w:sz="4" w:space="0"/>
              <w:bottom w:val="single" w:color="auto" w:sz="4" w:space="0"/>
              <w:right w:val="single" w:color="auto" w:sz="4" w:space="0"/>
            </w:tcBorders>
            <w:noWrap w:val="0"/>
            <w:vAlign w:val="center"/>
          </w:tcPr>
          <w:p w14:paraId="39234B53">
            <w:pPr>
              <w:spacing w:line="440" w:lineRule="exact"/>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50" w:type="dxa"/>
            <w:tcBorders>
              <w:left w:val="nil"/>
              <w:bottom w:val="single" w:color="auto" w:sz="4" w:space="0"/>
              <w:right w:val="single" w:color="auto" w:sz="4" w:space="0"/>
            </w:tcBorders>
            <w:noWrap w:val="0"/>
            <w:vAlign w:val="center"/>
          </w:tcPr>
          <w:p w14:paraId="6462E6D1">
            <w:pPr>
              <w:spacing w:line="440" w:lineRule="exact"/>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商务得分（</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tc>
        <w:tc>
          <w:tcPr>
            <w:tcW w:w="1130" w:type="dxa"/>
            <w:tcBorders>
              <w:top w:val="single" w:color="auto" w:sz="4" w:space="0"/>
              <w:left w:val="nil"/>
              <w:bottom w:val="single" w:color="auto" w:sz="4" w:space="0"/>
              <w:right w:val="single" w:color="auto" w:sz="4" w:space="0"/>
            </w:tcBorders>
            <w:noWrap w:val="0"/>
            <w:vAlign w:val="center"/>
          </w:tcPr>
          <w:p w14:paraId="29C3C906">
            <w:pPr>
              <w:spacing w:line="460" w:lineRule="exact"/>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业绩</w:t>
            </w:r>
          </w:p>
        </w:tc>
        <w:tc>
          <w:tcPr>
            <w:tcW w:w="766" w:type="dxa"/>
            <w:tcBorders>
              <w:top w:val="single" w:color="auto" w:sz="4" w:space="0"/>
              <w:left w:val="nil"/>
              <w:bottom w:val="single" w:color="auto" w:sz="4" w:space="0"/>
              <w:right w:val="single" w:color="auto" w:sz="4" w:space="0"/>
            </w:tcBorders>
            <w:noWrap w:val="0"/>
            <w:vAlign w:val="center"/>
          </w:tcPr>
          <w:p w14:paraId="141F4F7A">
            <w:pPr>
              <w:spacing w:line="460" w:lineRule="exact"/>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val="zh-CN"/>
              </w:rPr>
              <w:t>分</w:t>
            </w:r>
          </w:p>
        </w:tc>
        <w:tc>
          <w:tcPr>
            <w:tcW w:w="5471" w:type="dxa"/>
            <w:tcBorders>
              <w:top w:val="single" w:color="auto" w:sz="4" w:space="0"/>
              <w:left w:val="nil"/>
              <w:bottom w:val="single" w:color="auto" w:sz="4" w:space="0"/>
              <w:right w:val="single" w:color="auto" w:sz="4" w:space="0"/>
            </w:tcBorders>
            <w:noWrap w:val="0"/>
            <w:vAlign w:val="bottom"/>
          </w:tcPr>
          <w:p w14:paraId="50A05FFE">
            <w:pPr>
              <w:pStyle w:val="18"/>
              <w:keepNext w:val="0"/>
              <w:keepLines w:val="0"/>
              <w:pageBreakBefore w:val="0"/>
              <w:widowControl w:val="0"/>
              <w:kinsoku/>
              <w:wordWrap/>
              <w:overflowPunct/>
              <w:topLinePunct w:val="0"/>
              <w:autoSpaceDE/>
              <w:autoSpaceDN/>
              <w:bidi w:val="0"/>
              <w:adjustRightInd/>
              <w:snapToGrid/>
              <w:spacing w:line="460" w:lineRule="exact"/>
              <w:ind w:firstLine="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供应商提供</w:t>
            </w:r>
            <w:r>
              <w:rPr>
                <w:rFonts w:hint="eastAsia" w:ascii="宋体" w:hAnsi="宋体" w:eastAsia="宋体" w:cs="宋体"/>
                <w:sz w:val="24"/>
                <w:szCs w:val="24"/>
                <w:highlight w:val="none"/>
              </w:rPr>
              <w:t>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01</w:t>
            </w:r>
            <w:r>
              <w:rPr>
                <w:rFonts w:hint="eastAsia" w:ascii="宋体" w:hAnsi="宋体" w:eastAsia="宋体" w:cs="宋体"/>
                <w:sz w:val="24"/>
                <w:szCs w:val="24"/>
                <w:highlight w:val="none"/>
              </w:rPr>
              <w:t>月至今已完成的</w:t>
            </w:r>
            <w:r>
              <w:rPr>
                <w:rFonts w:hint="eastAsia" w:ascii="宋体" w:hAnsi="宋体" w:eastAsia="宋体" w:cs="宋体"/>
                <w:sz w:val="24"/>
                <w:szCs w:val="24"/>
                <w:highlight w:val="none"/>
                <w:lang w:val="en-US" w:eastAsia="zh-CN"/>
              </w:rPr>
              <w:t>同产品服务</w:t>
            </w:r>
            <w:r>
              <w:rPr>
                <w:rFonts w:hint="eastAsia" w:ascii="宋体" w:hAnsi="宋体" w:eastAsia="宋体" w:cs="宋体"/>
                <w:sz w:val="24"/>
                <w:szCs w:val="24"/>
                <w:highlight w:val="none"/>
              </w:rPr>
              <w:t>项目业绩，每提供一份得</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分，最高得</w:t>
            </w:r>
            <w:r>
              <w:rPr>
                <w:rFonts w:hint="eastAsia" w:ascii="宋体" w:hAnsi="宋体" w:eastAsia="宋体" w:cs="宋体"/>
                <w:sz w:val="24"/>
                <w:szCs w:val="24"/>
                <w:highlight w:val="none"/>
                <w:lang w:val="en-US" w:eastAsia="zh-CN"/>
              </w:rPr>
              <w:t>10.0</w:t>
            </w:r>
            <w:r>
              <w:rPr>
                <w:rFonts w:hint="eastAsia" w:ascii="宋体" w:hAnsi="宋体" w:eastAsia="宋体" w:cs="宋体"/>
                <w:sz w:val="24"/>
                <w:szCs w:val="24"/>
                <w:highlight w:val="none"/>
              </w:rPr>
              <w:t>分；（提</w:t>
            </w:r>
            <w:r>
              <w:rPr>
                <w:rFonts w:hint="eastAsia" w:ascii="宋体" w:hAnsi="宋体" w:eastAsia="宋体" w:cs="宋体"/>
                <w:sz w:val="24"/>
                <w:szCs w:val="24"/>
                <w:highlight w:val="none"/>
                <w:lang w:val="zh-CN"/>
              </w:rPr>
              <w:t>供加盖公章的合同复印件）</w:t>
            </w:r>
          </w:p>
        </w:tc>
      </w:tr>
    </w:tbl>
    <w:p w14:paraId="2D45AA29">
      <w:pPr>
        <w:rPr>
          <w:rFonts w:hint="eastAsia" w:ascii="宋体" w:hAnsi="宋体" w:eastAsia="宋体" w:cs="宋体"/>
          <w:color w:val="auto"/>
          <w:kern w:val="0"/>
          <w:highlight w:val="none"/>
        </w:rPr>
      </w:pPr>
    </w:p>
    <w:p w14:paraId="16AD2DB4">
      <w:pPr>
        <w:rPr>
          <w:rFonts w:hint="eastAsia" w:ascii="宋体" w:hAnsi="宋体" w:eastAsia="宋体" w:cs="宋体"/>
          <w:b/>
          <w:bCs/>
          <w:color w:val="auto"/>
          <w:kern w:val="0"/>
          <w:sz w:val="44"/>
          <w:szCs w:val="44"/>
          <w:highlight w:val="none"/>
          <w:lang w:val="en-US" w:eastAsia="zh-CN" w:bidi="ar-SA"/>
        </w:rPr>
      </w:pPr>
      <w:bookmarkStart w:id="25" w:name="_Toc8732"/>
      <w:r>
        <w:rPr>
          <w:rFonts w:ascii="宋体" w:hAnsi="宋体" w:eastAsia="宋体" w:cs="宋体"/>
          <w:spacing w:val="2"/>
          <w:sz w:val="24"/>
          <w:szCs w:val="24"/>
        </w:rPr>
        <w:t>以上内容，报价部分直接计算得分；其他部分</w:t>
      </w:r>
      <w:r>
        <w:rPr>
          <w:rFonts w:ascii="宋体" w:hAnsi="宋体" w:eastAsia="宋体" w:cs="宋体"/>
          <w:spacing w:val="1"/>
          <w:sz w:val="24"/>
          <w:szCs w:val="24"/>
        </w:rPr>
        <w:t>由磋商小组在充分评议的基础上自</w:t>
      </w:r>
      <w:r>
        <w:rPr>
          <w:rFonts w:ascii="宋体" w:hAnsi="宋体" w:eastAsia="宋体" w:cs="宋体"/>
          <w:sz w:val="24"/>
          <w:szCs w:val="24"/>
        </w:rPr>
        <w:t xml:space="preserve"> </w:t>
      </w:r>
      <w:r>
        <w:rPr>
          <w:rFonts w:ascii="宋体" w:hAnsi="宋体" w:eastAsia="宋体" w:cs="宋体"/>
          <w:spacing w:val="-3"/>
          <w:sz w:val="24"/>
          <w:szCs w:val="24"/>
        </w:rPr>
        <w:t>行打分，计算出的平均得分为各供应商的评议得分；评议得分与报价分相加得到各供应</w:t>
      </w:r>
      <w:r>
        <w:rPr>
          <w:rFonts w:ascii="宋体" w:hAnsi="宋体" w:eastAsia="宋体" w:cs="宋体"/>
          <w:spacing w:val="10"/>
          <w:sz w:val="24"/>
          <w:szCs w:val="24"/>
        </w:rPr>
        <w:t xml:space="preserve"> </w:t>
      </w:r>
      <w:r>
        <w:rPr>
          <w:rFonts w:ascii="宋体" w:hAnsi="宋体" w:eastAsia="宋体" w:cs="宋体"/>
          <w:spacing w:val="-3"/>
          <w:sz w:val="24"/>
          <w:szCs w:val="24"/>
        </w:rPr>
        <w:t>商的汇总得分(得分四舍五入，保留</w:t>
      </w:r>
      <w:r>
        <w:rPr>
          <w:rFonts w:ascii="宋体" w:hAnsi="宋体" w:eastAsia="宋体" w:cs="宋体"/>
          <w:spacing w:val="-48"/>
          <w:sz w:val="24"/>
          <w:szCs w:val="24"/>
        </w:rPr>
        <w:t xml:space="preserve"> </w:t>
      </w:r>
      <w:r>
        <w:rPr>
          <w:rFonts w:ascii="宋体" w:hAnsi="宋体" w:eastAsia="宋体" w:cs="宋体"/>
          <w:spacing w:val="-3"/>
          <w:sz w:val="24"/>
          <w:szCs w:val="24"/>
        </w:rPr>
        <w:t>2</w:t>
      </w:r>
      <w:r>
        <w:rPr>
          <w:rFonts w:ascii="宋体" w:hAnsi="宋体" w:eastAsia="宋体" w:cs="宋体"/>
          <w:spacing w:val="-51"/>
          <w:sz w:val="24"/>
          <w:szCs w:val="24"/>
        </w:rPr>
        <w:t xml:space="preserve"> </w:t>
      </w:r>
      <w:r>
        <w:rPr>
          <w:rFonts w:ascii="宋体" w:hAnsi="宋体" w:eastAsia="宋体" w:cs="宋体"/>
          <w:spacing w:val="-3"/>
          <w:sz w:val="24"/>
          <w:szCs w:val="24"/>
        </w:rPr>
        <w:t>位小数)。按汇总分值由高到低</w:t>
      </w:r>
      <w:r>
        <w:rPr>
          <w:rFonts w:ascii="宋体" w:hAnsi="宋体" w:eastAsia="宋体" w:cs="宋体"/>
          <w:spacing w:val="-4"/>
          <w:sz w:val="24"/>
          <w:szCs w:val="24"/>
        </w:rPr>
        <w:t>进行排序，取得分</w:t>
      </w:r>
      <w:r>
        <w:rPr>
          <w:rFonts w:ascii="宋体" w:hAnsi="宋体" w:eastAsia="宋体" w:cs="宋体"/>
          <w:sz w:val="24"/>
          <w:szCs w:val="24"/>
        </w:rPr>
        <w:t xml:space="preserve"> </w:t>
      </w:r>
      <w:r>
        <w:rPr>
          <w:rFonts w:ascii="宋体" w:hAnsi="宋体" w:eastAsia="宋体" w:cs="宋体"/>
          <w:spacing w:val="-3"/>
          <w:sz w:val="24"/>
          <w:szCs w:val="24"/>
        </w:rPr>
        <w:t>最高者为成交供应商。若出现两家或两家以上的供应商得分均为最高分的情况，取报价</w:t>
      </w:r>
      <w:r>
        <w:rPr>
          <w:rFonts w:ascii="宋体" w:hAnsi="宋体" w:eastAsia="宋体" w:cs="宋体"/>
          <w:spacing w:val="10"/>
          <w:sz w:val="24"/>
          <w:szCs w:val="24"/>
        </w:rPr>
        <w:t xml:space="preserve"> </w:t>
      </w:r>
      <w:r>
        <w:rPr>
          <w:rFonts w:ascii="宋体" w:hAnsi="宋体" w:eastAsia="宋体" w:cs="宋体"/>
          <w:spacing w:val="-3"/>
          <w:sz w:val="24"/>
          <w:szCs w:val="24"/>
        </w:rPr>
        <w:t>低者为成交供应商；若报价也相同，按照技术部分得分高低顺序推荐；若技术部分得分</w:t>
      </w:r>
      <w:r>
        <w:rPr>
          <w:rFonts w:ascii="宋体" w:hAnsi="宋体" w:eastAsia="宋体" w:cs="宋体"/>
          <w:spacing w:val="10"/>
          <w:sz w:val="24"/>
          <w:szCs w:val="24"/>
        </w:rPr>
        <w:t xml:space="preserve"> </w:t>
      </w:r>
      <w:r>
        <w:rPr>
          <w:rFonts w:ascii="宋体" w:hAnsi="宋体" w:eastAsia="宋体" w:cs="宋体"/>
          <w:spacing w:val="-1"/>
          <w:sz w:val="24"/>
          <w:szCs w:val="24"/>
        </w:rPr>
        <w:t>也相同，由磋商小组投票决定成交供应商。</w:t>
      </w:r>
      <w:r>
        <w:rPr>
          <w:rFonts w:hint="eastAsia" w:ascii="宋体" w:hAnsi="宋体" w:eastAsia="宋体" w:cs="宋体"/>
          <w:b/>
          <w:bCs/>
          <w:color w:val="auto"/>
          <w:kern w:val="0"/>
          <w:sz w:val="44"/>
          <w:szCs w:val="44"/>
          <w:highlight w:val="none"/>
          <w:lang w:val="en-US" w:eastAsia="zh-CN" w:bidi="ar-SA"/>
        </w:rPr>
        <w:br w:type="page"/>
      </w:r>
    </w:p>
    <w:p w14:paraId="6C799F22">
      <w:pPr>
        <w:keepNext w:val="0"/>
        <w:keepLines w:val="0"/>
        <w:pageBreakBefore w:val="0"/>
        <w:widowControl w:val="0"/>
        <w:shd w:val="clear"/>
        <w:kinsoku/>
        <w:wordWrap/>
        <w:overflowPunct/>
        <w:topLinePunct w:val="0"/>
        <w:autoSpaceDE/>
        <w:autoSpaceDN/>
        <w:bidi w:val="0"/>
        <w:adjustRightInd w:val="0"/>
        <w:snapToGrid/>
        <w:spacing w:line="360" w:lineRule="auto"/>
        <w:ind w:firstLine="883" w:firstLineChars="200"/>
        <w:jc w:val="center"/>
        <w:textAlignment w:val="auto"/>
        <w:outlineLvl w:val="0"/>
        <w:rPr>
          <w:rFonts w:hint="eastAsia" w:ascii="宋体" w:hAnsi="宋体" w:eastAsia="宋体" w:cs="宋体"/>
          <w:b/>
          <w:bCs/>
          <w:color w:val="auto"/>
          <w:kern w:val="0"/>
          <w:sz w:val="44"/>
          <w:szCs w:val="44"/>
          <w:highlight w:val="none"/>
          <w:lang w:val="en-US" w:eastAsia="zh-CN" w:bidi="ar-SA"/>
        </w:rPr>
        <w:sectPr>
          <w:headerReference r:id="rId16" w:type="default"/>
          <w:footerReference r:id="rId17" w:type="default"/>
          <w:pgSz w:w="11906" w:h="16839"/>
          <w:pgMar w:top="1100" w:right="1418" w:bottom="1139" w:left="1397" w:header="882" w:footer="895" w:gutter="0"/>
          <w:pgNumType w:fmt="decimal"/>
          <w:cols w:space="720" w:num="1"/>
        </w:sectPr>
      </w:pPr>
    </w:p>
    <w:p w14:paraId="335544BA">
      <w:pPr>
        <w:keepNext w:val="0"/>
        <w:keepLines w:val="0"/>
        <w:pageBreakBefore w:val="0"/>
        <w:widowControl w:val="0"/>
        <w:shd w:val="clear"/>
        <w:kinsoku/>
        <w:wordWrap/>
        <w:overflowPunct/>
        <w:topLinePunct w:val="0"/>
        <w:autoSpaceDE/>
        <w:autoSpaceDN/>
        <w:bidi w:val="0"/>
        <w:adjustRightInd w:val="0"/>
        <w:snapToGrid/>
        <w:spacing w:line="360" w:lineRule="auto"/>
        <w:ind w:left="0" w:leftChars="0" w:firstLine="0" w:firstLineChars="0"/>
        <w:jc w:val="center"/>
        <w:textAlignment w:val="auto"/>
        <w:outlineLvl w:val="0"/>
        <w:rPr>
          <w:rFonts w:hint="eastAsia" w:ascii="宋体" w:hAnsi="宋体" w:eastAsia="宋体" w:cs="宋体"/>
          <w:color w:val="auto"/>
          <w:kern w:val="0"/>
          <w:highlight w:val="none"/>
        </w:rPr>
      </w:pPr>
      <w:r>
        <w:rPr>
          <w:rFonts w:hint="eastAsia" w:ascii="宋体" w:hAnsi="宋体" w:eastAsia="宋体" w:cs="宋体"/>
          <w:b/>
          <w:bCs/>
          <w:color w:val="auto"/>
          <w:kern w:val="0"/>
          <w:sz w:val="44"/>
          <w:szCs w:val="44"/>
          <w:highlight w:val="none"/>
          <w:lang w:val="en-US" w:eastAsia="zh-CN" w:bidi="ar-SA"/>
        </w:rPr>
        <w:t>第四章  采购内容及要求</w:t>
      </w:r>
      <w:bookmarkEnd w:id="25"/>
    </w:p>
    <w:p w14:paraId="5D203C5A">
      <w:pPr>
        <w:keepNext w:val="0"/>
        <w:keepLines w:val="0"/>
        <w:widowControl/>
        <w:suppressLineNumbers w:val="0"/>
        <w:jc w:val="both"/>
        <w:textAlignment w:val="center"/>
        <w:rPr>
          <w:rFonts w:hint="eastAsia" w:cs="宋体"/>
          <w:b/>
          <w:bCs/>
          <w:i w:val="0"/>
          <w:iCs w:val="0"/>
          <w:color w:val="000000"/>
          <w:kern w:val="0"/>
          <w:sz w:val="32"/>
          <w:szCs w:val="32"/>
          <w:u w:val="none"/>
          <w:lang w:val="en-US" w:eastAsia="zh-CN" w:bidi="ar"/>
        </w:rPr>
      </w:pPr>
      <w:bookmarkStart w:id="26" w:name="_Toc21691"/>
      <w:r>
        <w:rPr>
          <w:rFonts w:hint="eastAsia" w:ascii="宋体" w:hAnsi="宋体" w:eastAsia="宋体" w:cs="宋体"/>
          <w:b/>
          <w:bCs/>
          <w:i w:val="0"/>
          <w:iCs w:val="0"/>
          <w:color w:val="000000"/>
          <w:kern w:val="0"/>
          <w:sz w:val="32"/>
          <w:szCs w:val="32"/>
          <w:u w:val="none"/>
          <w:lang w:val="en-US" w:eastAsia="zh-CN" w:bidi="ar"/>
        </w:rPr>
        <w:t>一、</w:t>
      </w:r>
      <w:r>
        <w:rPr>
          <w:rFonts w:hint="eastAsia" w:cs="宋体"/>
          <w:b/>
          <w:bCs/>
          <w:i w:val="0"/>
          <w:iCs w:val="0"/>
          <w:color w:val="000000"/>
          <w:kern w:val="0"/>
          <w:sz w:val="32"/>
          <w:szCs w:val="32"/>
          <w:u w:val="none"/>
          <w:lang w:val="en-US" w:eastAsia="zh-CN" w:bidi="ar"/>
        </w:rPr>
        <w:t>设备信息</w:t>
      </w:r>
    </w:p>
    <w:tbl>
      <w:tblPr>
        <w:tblStyle w:val="20"/>
        <w:tblW w:w="8958" w:type="dxa"/>
        <w:jc w:val="center"/>
        <w:tblLayout w:type="fixed"/>
        <w:tblCellMar>
          <w:top w:w="0" w:type="dxa"/>
          <w:left w:w="108" w:type="dxa"/>
          <w:bottom w:w="0" w:type="dxa"/>
          <w:right w:w="108" w:type="dxa"/>
        </w:tblCellMar>
      </w:tblPr>
      <w:tblGrid>
        <w:gridCol w:w="1812"/>
        <w:gridCol w:w="1609"/>
        <w:gridCol w:w="995"/>
        <w:gridCol w:w="1432"/>
        <w:gridCol w:w="3110"/>
      </w:tblGrid>
      <w:tr w14:paraId="3A9D8006">
        <w:tblPrEx>
          <w:tblCellMar>
            <w:top w:w="0" w:type="dxa"/>
            <w:left w:w="108" w:type="dxa"/>
            <w:bottom w:w="0" w:type="dxa"/>
            <w:right w:w="108" w:type="dxa"/>
          </w:tblCellMar>
        </w:tblPrEx>
        <w:trPr>
          <w:trHeight w:val="970" w:hRule="atLeast"/>
          <w:jc w:val="center"/>
        </w:trPr>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DAF3">
            <w:pPr>
              <w:widowControl/>
              <w:ind w:left="0" w:leftChars="0" w:firstLine="0" w:firstLineChars="0"/>
              <w:jc w:val="center"/>
              <w:textAlignment w:val="center"/>
              <w:rPr>
                <w:rFonts w:hint="eastAsia" w:asciiTheme="minorEastAsia" w:hAnsiTheme="minorEastAsia" w:eastAsiaTheme="minorEastAsia" w:cstheme="minorEastAsia"/>
                <w:sz w:val="24"/>
                <w:szCs w:val="24"/>
              </w:rPr>
            </w:pPr>
            <w:bookmarkStart w:id="27" w:name="_Hlk208213671"/>
            <w:bookmarkStart w:id="28" w:name="_Hlk208214145"/>
            <w:r>
              <w:rPr>
                <w:rFonts w:hint="eastAsia" w:asciiTheme="minorEastAsia" w:hAnsiTheme="minorEastAsia" w:eastAsiaTheme="minorEastAsia" w:cstheme="minorEastAsia"/>
                <w:sz w:val="24"/>
                <w:szCs w:val="24"/>
              </w:rPr>
              <w:t>设备名称</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AC73">
            <w:pPr>
              <w:widowControl/>
              <w:ind w:left="0" w:leftChars="0" w:firstLine="0" w:firstLineChars="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规格型号</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DC81">
            <w:pPr>
              <w:widowControl/>
              <w:ind w:left="0" w:leftChars="0" w:firstLine="0" w:firstLineChars="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C0155">
            <w:pPr>
              <w:widowControl/>
              <w:ind w:left="0" w:leftChars="0" w:firstLine="0" w:firstLineChars="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w:t>
            </w:r>
            <w:r>
              <w:rPr>
                <w:rFonts w:hint="eastAsia" w:asciiTheme="minorEastAsia" w:hAnsiTheme="minorEastAsia" w:eastAsiaTheme="minorEastAsia" w:cstheme="minorEastAsia"/>
                <w:sz w:val="24"/>
                <w:szCs w:val="24"/>
                <w:lang w:val="en-US" w:eastAsia="zh-CN"/>
              </w:rPr>
              <w:t>期</w:t>
            </w:r>
          </w:p>
        </w:tc>
        <w:tc>
          <w:tcPr>
            <w:tcW w:w="3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6A1A">
            <w:pPr>
              <w:widowControl/>
              <w:ind w:left="0" w:leftChars="0" w:firstLine="0" w:firstLineChars="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维保范围</w:t>
            </w:r>
          </w:p>
        </w:tc>
      </w:tr>
      <w:tr w14:paraId="7CF2188A">
        <w:tblPrEx>
          <w:tblCellMar>
            <w:top w:w="0" w:type="dxa"/>
            <w:left w:w="108" w:type="dxa"/>
            <w:bottom w:w="0" w:type="dxa"/>
            <w:right w:w="108" w:type="dxa"/>
          </w:tblCellMar>
        </w:tblPrEx>
        <w:trPr>
          <w:trHeight w:val="499" w:hRule="atLeast"/>
          <w:jc w:val="center"/>
        </w:trPr>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D1178">
            <w:pPr>
              <w:pStyle w:val="3"/>
              <w:tabs>
                <w:tab w:val="left" w:pos="1021"/>
              </w:tabs>
              <w:jc w:val="center"/>
              <w:rPr>
                <w:rFonts w:hint="eastAsia" w:asciiTheme="minorEastAsia" w:hAnsiTheme="minorEastAsia" w:eastAsiaTheme="minorEastAsia" w:cstheme="minorEastAsia"/>
                <w:b w:val="0"/>
                <w:bCs w:val="0"/>
                <w:kern w:val="2"/>
                <w:sz w:val="24"/>
                <w:szCs w:val="24"/>
              </w:rPr>
            </w:pPr>
            <w:r>
              <w:rPr>
                <w:rFonts w:hint="eastAsia" w:ascii="宋体" w:hAnsi="宋体" w:eastAsia="宋体" w:cs="宋体"/>
                <w:b w:val="0"/>
                <w:bCs w:val="0"/>
                <w:sz w:val="24"/>
                <w:szCs w:val="24"/>
                <w:lang w:val="en-US" w:eastAsia="zh-CN"/>
              </w:rPr>
              <w:t>飞利浦（Philips CT Big Bore）大孔径CT</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D897">
            <w:pPr>
              <w:pStyle w:val="3"/>
              <w:tabs>
                <w:tab w:val="left" w:pos="1021"/>
              </w:tabs>
              <w:jc w:val="center"/>
              <w:rPr>
                <w:rFonts w:hint="eastAsia" w:asciiTheme="minorEastAsia" w:hAnsiTheme="minorEastAsia" w:eastAsiaTheme="minorEastAsia" w:cstheme="minorEastAsia"/>
                <w:b w:val="0"/>
                <w:bCs w:val="0"/>
                <w:kern w:val="2"/>
                <w:sz w:val="24"/>
                <w:szCs w:val="24"/>
              </w:rPr>
            </w:pPr>
            <w:r>
              <w:rPr>
                <w:rFonts w:hint="default" w:ascii="Times New Roman" w:hAnsi="Times New Roman" w:cs="Times New Roman"/>
                <w:color w:val="000000"/>
                <w:kern w:val="0"/>
                <w:sz w:val="24"/>
                <w:szCs w:val="24"/>
              </w:rPr>
              <w:t>Philips CT Big Bore</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2465A">
            <w:pPr>
              <w:pStyle w:val="3"/>
              <w:tabs>
                <w:tab w:val="left" w:pos="1021"/>
              </w:tabs>
              <w:jc w:val="center"/>
              <w:rPr>
                <w:rFonts w:hint="eastAsia" w:asciiTheme="minorEastAsia" w:hAnsiTheme="minorEastAsia" w:eastAsiaTheme="minorEastAsia" w:cstheme="minorEastAsia"/>
                <w:b w:val="0"/>
                <w:bCs w:val="0"/>
                <w:kern w:val="2"/>
                <w:sz w:val="24"/>
                <w:szCs w:val="24"/>
                <w:lang w:val="en-US" w:eastAsia="zh-CN"/>
              </w:rPr>
            </w:pPr>
            <w:r>
              <w:rPr>
                <w:rFonts w:hint="eastAsia" w:asciiTheme="minorEastAsia" w:hAnsiTheme="minorEastAsia" w:eastAsiaTheme="minorEastAsia" w:cstheme="minorEastAsia"/>
                <w:b w:val="0"/>
                <w:bCs w:val="0"/>
                <w:kern w:val="2"/>
                <w:sz w:val="24"/>
                <w:szCs w:val="24"/>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2DA79">
            <w:pPr>
              <w:pStyle w:val="3"/>
              <w:tabs>
                <w:tab w:val="left" w:pos="1021"/>
              </w:tabs>
              <w:jc w:val="center"/>
              <w:rPr>
                <w:rFonts w:hint="default" w:asciiTheme="minorEastAsia" w:hAnsiTheme="minorEastAsia" w:eastAsiaTheme="minorEastAsia" w:cstheme="minorEastAsia"/>
                <w:b w:val="0"/>
                <w:bCs w:val="0"/>
                <w:kern w:val="2"/>
                <w:sz w:val="24"/>
                <w:szCs w:val="24"/>
                <w:lang w:val="en-US" w:eastAsia="zh-CN"/>
              </w:rPr>
            </w:pPr>
            <w:r>
              <w:rPr>
                <w:rFonts w:hint="eastAsia" w:asciiTheme="minorEastAsia" w:hAnsiTheme="minorEastAsia" w:eastAsiaTheme="minorEastAsia" w:cstheme="minorEastAsia"/>
                <w:b w:val="0"/>
                <w:bCs w:val="0"/>
                <w:kern w:val="2"/>
                <w:sz w:val="24"/>
                <w:szCs w:val="24"/>
                <w:lang w:val="en-US" w:eastAsia="zh-CN"/>
              </w:rPr>
              <w:t>1年</w:t>
            </w:r>
          </w:p>
        </w:tc>
        <w:tc>
          <w:tcPr>
            <w:tcW w:w="3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AF25">
            <w:pPr>
              <w:pStyle w:val="3"/>
              <w:tabs>
                <w:tab w:val="left" w:pos="1021"/>
              </w:tabs>
              <w:jc w:val="left"/>
              <w:rPr>
                <w:rFonts w:hint="eastAsia" w:asciiTheme="minorEastAsia" w:hAnsiTheme="minorEastAsia" w:eastAsiaTheme="minorEastAsia" w:cstheme="minorEastAsia"/>
                <w:b w:val="0"/>
                <w:bCs w:val="0"/>
                <w:kern w:val="2"/>
                <w:sz w:val="24"/>
                <w:szCs w:val="24"/>
              </w:rPr>
            </w:pPr>
            <w:r>
              <w:rPr>
                <w:rFonts w:hint="eastAsia" w:ascii="宋体" w:hAnsi="宋体" w:eastAsia="宋体" w:cs="宋体"/>
                <w:b w:val="0"/>
                <w:bCs w:val="0"/>
                <w:sz w:val="24"/>
                <w:szCs w:val="24"/>
                <w:lang w:val="en-US" w:eastAsia="zh-CN"/>
              </w:rPr>
              <w:t>飞利浦（Philips CT Big Bore）大孔径CT（不含球管）整套设备软、硬件全保服务，含探测器系统、高压注射器、激光定位灯、电源、长杆电离室及射线报警仪等，含工时、差旅、备件等的全部费用。</w:t>
            </w:r>
          </w:p>
        </w:tc>
      </w:tr>
      <w:bookmarkEnd w:id="27"/>
      <w:bookmarkEnd w:id="28"/>
    </w:tbl>
    <w:p w14:paraId="46B54D22">
      <w:pPr>
        <w:pStyle w:val="18"/>
        <w:rPr>
          <w:rFonts w:hint="eastAsia" w:ascii="宋体" w:hAnsi="宋体" w:eastAsia="宋体" w:cs="宋体"/>
          <w:sz w:val="24"/>
          <w:szCs w:val="24"/>
          <w:lang w:val="en-US" w:eastAsia="zh-CN"/>
        </w:rPr>
      </w:pPr>
    </w:p>
    <w:p w14:paraId="6689A2A8">
      <w:pPr>
        <w:pStyle w:val="10"/>
        <w:rPr>
          <w:rFonts w:hint="default" w:ascii="宋体" w:hAnsi="宋体" w:eastAsia="宋体" w:cs="宋体"/>
          <w:b/>
          <w:bCs/>
          <w:i w:val="0"/>
          <w:iCs w:val="0"/>
          <w:color w:val="000000"/>
          <w:kern w:val="0"/>
          <w:sz w:val="32"/>
          <w:szCs w:val="32"/>
          <w:u w:val="none"/>
          <w:lang w:val="en-US" w:eastAsia="zh-CN" w:bidi="ar"/>
        </w:rPr>
      </w:pPr>
      <w:r>
        <w:rPr>
          <w:rFonts w:hint="eastAsia" w:ascii="宋体" w:hAnsi="宋体" w:eastAsia="宋体" w:cs="宋体"/>
          <w:b/>
          <w:bCs/>
          <w:i w:val="0"/>
          <w:iCs w:val="0"/>
          <w:color w:val="000000"/>
          <w:kern w:val="0"/>
          <w:sz w:val="32"/>
          <w:szCs w:val="32"/>
          <w:u w:val="none"/>
          <w:lang w:val="en-US" w:eastAsia="zh-CN" w:bidi="ar"/>
        </w:rPr>
        <w:t>二、服务</w:t>
      </w:r>
      <w:r>
        <w:rPr>
          <w:rFonts w:hint="eastAsia" w:hAnsi="宋体" w:cs="宋体"/>
          <w:b/>
          <w:bCs/>
          <w:i w:val="0"/>
          <w:iCs w:val="0"/>
          <w:color w:val="000000"/>
          <w:kern w:val="0"/>
          <w:sz w:val="32"/>
          <w:szCs w:val="32"/>
          <w:u w:val="none"/>
          <w:lang w:val="en-US" w:eastAsia="zh-CN" w:bidi="ar"/>
        </w:rPr>
        <w:t>技术</w:t>
      </w:r>
      <w:r>
        <w:rPr>
          <w:rFonts w:hint="eastAsia" w:ascii="宋体" w:hAnsi="宋体" w:eastAsia="宋体" w:cs="宋体"/>
          <w:b/>
          <w:bCs/>
          <w:i w:val="0"/>
          <w:iCs w:val="0"/>
          <w:color w:val="000000"/>
          <w:kern w:val="0"/>
          <w:sz w:val="32"/>
          <w:szCs w:val="32"/>
          <w:u w:val="none"/>
          <w:lang w:val="en-US" w:eastAsia="zh-CN" w:bidi="ar"/>
        </w:rPr>
        <w:t>要求</w:t>
      </w:r>
    </w:p>
    <w:p w14:paraId="5B527999">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1.必须符合国家（行业）标准，以及本项目的标准要求。</w:t>
      </w:r>
    </w:p>
    <w:p w14:paraId="04A2A1EE">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▲2.所更换的零备件必须为原厂认证或测试合格的原厂原装备件，满足设备运行要求，且备件来源合法、可追溯；进口零备件需提供报关单；所有零备件需现场拆封，所有关键备件需有独立的序列号。</w:t>
      </w:r>
    </w:p>
    <w:p w14:paraId="5D1BBD17">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3.需在国内设有专业、充足的设备零备件仓库。</w:t>
      </w:r>
    </w:p>
    <w:p w14:paraId="625B9CA2">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4.投标人须配备≥3名全职、经原厂资格认证的大孔径CT常驻售后工程师。</w:t>
      </w:r>
    </w:p>
    <w:p w14:paraId="433FB5E9">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5.提供设备维修保养需使用的特殊精密专业工具列表；需计量检定的工具提供计量检定合格证书。</w:t>
      </w:r>
    </w:p>
    <w:p w14:paraId="2C2727BE">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6.具备全年365天开通的并有专人接听客服专线，客服专线保证24小时有人接听。</w:t>
      </w:r>
    </w:p>
    <w:p w14:paraId="010F6DFB">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7.接到采购人报修电话后（包括节假日）应在≤2小时作出响应、≤24小时工程师到场、≤48小时排除故障，因天气等不可抗力因素无法按要求到现场，需要提前与采购人沟通协商；若从故障报修起48小时内无法及时修复故障设备的（包含遇到不可抗拒的因素），应迅速向采购方说明原因，并提出解决方案；常用零配件≤24小时送达医院。</w:t>
      </w:r>
    </w:p>
    <w:p w14:paraId="664FB135">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▲8.设备开机率全年≥95%（以365天计算），如果开机率低于95%，停机时间每超过1天，按合同服务期顺延5天。</w:t>
      </w:r>
    </w:p>
    <w:p w14:paraId="6EBC8413">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9.服务内容包括但不限于如下项目：</w:t>
      </w:r>
    </w:p>
    <w:p w14:paraId="6E0E6D07">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9.1无限次免费紧急维修服务，所有零备件（不含球管）无限次免费更换，且采购人享有服务及备件优先使用权。</w:t>
      </w:r>
    </w:p>
    <w:p w14:paraId="52A6DCF7">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9.2系统性能测试及校准。</w:t>
      </w:r>
    </w:p>
    <w:p w14:paraId="14E55DFE">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9.3设备及系统的定期安全检查。</w:t>
      </w:r>
    </w:p>
    <w:p w14:paraId="751DD161">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9.4设备运行状态的定期检查。</w:t>
      </w:r>
    </w:p>
    <w:p w14:paraId="6CA1101B">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9.5影像质量的定期检查（确保图像质量能够达到临床质控需求）。</w:t>
      </w:r>
    </w:p>
    <w:p w14:paraId="179445D9">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9.6球管的检查和维护：定期检查高压电缆插头插座，校正球管灯丝电流；定期清洁球管、散热器、油泵、风扇的灰尘，保证良好的通风散热状态。</w:t>
      </w:r>
    </w:p>
    <w:p w14:paraId="44462EBC">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9.7滑环的检查和维护：定期检查滑环中碳刷的长度，当达到极限长度时要及时更换，以保证系统工作的稳定；定期清理碳粉。</w:t>
      </w:r>
    </w:p>
    <w:p w14:paraId="654E6973">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9.8设备外观检查、定期清洁、除尘保养服务。</w:t>
      </w:r>
    </w:p>
    <w:p w14:paraId="4C4A216C">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9.9定期备份设备数据。</w:t>
      </w:r>
    </w:p>
    <w:p w14:paraId="7EC9398E">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9.10免费提供设备的系统软件升级补丁和技术支持，保证所有系统软件为最新版本；</w:t>
      </w:r>
    </w:p>
    <w:p w14:paraId="44E47C83">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9.11免费提供设备维修、维保所需损耗品。</w:t>
      </w:r>
    </w:p>
    <w:p w14:paraId="4216F128">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10.服务期内，每年提供≥4次的定期现场维护保养及≥4次的不定期巡检；所有设备定期维护保养后，须提供符合原厂技术要求的维护保养服务报告，出具的服务报告，不得侵害他人的知识产权；服务期开始时，提供设备服务期内的巡检及维护保养计划；服务期结束时，汇总提供一次服务期内的巡检、维护保养及质量管理报告，报告需体现设备的运行状态、开机率、故障问题、故障时间、解决问题时间、维修内容和更换零配件等信息。</w:t>
      </w:r>
    </w:p>
    <w:p w14:paraId="59B2FA19">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▲11.在医院与设备具有宽带网络接入功能前提下，可通过专用路由器与远程服务器系统24小时不间断监测设备运行健康状况，提供自动预警、主动预防型保障。</w:t>
      </w:r>
    </w:p>
    <w:p w14:paraId="64059381">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12.能及时合法获取原厂系统安全性完善性软硬件升级通知，并可提供原厂系统安全性完善软硬件升级服务，及不限次数培训至科室能熟练使用；提供的所有升级软件须为正版软件，因投标人提供的产品或因软件版权而致的侵权、纠纷、损失与赔偿等，投标人应承担一切相关责任。（提供承诺函）</w:t>
      </w:r>
    </w:p>
    <w:p w14:paraId="538C403B">
      <w:pPr>
        <w:keepNext w:val="0"/>
        <w:keepLines w:val="0"/>
        <w:widowControl/>
        <w:suppressLineNumbers w:val="0"/>
        <w:ind w:firstLine="480" w:firstLineChars="20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13.长杆电离室保修及送检服务（包含运费及检测费），检测机构需通过国家认证，提供有效期内的检测证书。</w:t>
      </w:r>
    </w:p>
    <w:p w14:paraId="4700D07B">
      <w:pPr>
        <w:keepNext w:val="0"/>
        <w:keepLines w:val="0"/>
        <w:widowControl/>
        <w:suppressLineNumbers w:val="0"/>
        <w:ind w:firstLine="480" w:firstLineChars="20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14.射线报警仪保修服务。</w:t>
      </w:r>
      <w:r>
        <w:rPr>
          <w:rFonts w:hint="eastAsia" w:ascii="宋体" w:hAnsi="宋体" w:eastAsia="宋体" w:cs="宋体"/>
          <w:b/>
          <w:bCs/>
          <w:color w:val="auto"/>
          <w:kern w:val="0"/>
          <w:sz w:val="24"/>
          <w:szCs w:val="24"/>
          <w:highlight w:val="none"/>
          <w:lang w:val="en-US" w:eastAsia="zh-CN" w:bidi="ar-SA"/>
        </w:rPr>
        <w:br w:type="page"/>
      </w:r>
    </w:p>
    <w:p w14:paraId="4B1E8603">
      <w:pPr>
        <w:keepNext w:val="0"/>
        <w:keepLines w:val="0"/>
        <w:pageBreakBefore w:val="0"/>
        <w:widowControl w:val="0"/>
        <w:kinsoku/>
        <w:wordWrap/>
        <w:overflowPunct/>
        <w:topLinePunct w:val="0"/>
        <w:autoSpaceDE/>
        <w:autoSpaceDN/>
        <w:bidi w:val="0"/>
        <w:adjustRightInd w:val="0"/>
        <w:snapToGrid/>
        <w:spacing w:line="360" w:lineRule="auto"/>
        <w:ind w:firstLine="883" w:firstLineChars="200"/>
        <w:jc w:val="center"/>
        <w:textAlignment w:val="auto"/>
        <w:outlineLvl w:val="0"/>
        <w:rPr>
          <w:rFonts w:hint="eastAsia" w:ascii="宋体" w:hAnsi="宋体" w:eastAsia="宋体" w:cs="宋体"/>
          <w:b/>
          <w:bCs/>
          <w:color w:val="auto"/>
          <w:kern w:val="0"/>
          <w:sz w:val="44"/>
          <w:szCs w:val="44"/>
          <w:highlight w:val="none"/>
          <w:lang w:val="en-US" w:eastAsia="zh-CN" w:bidi="ar-SA"/>
        </w:rPr>
        <w:sectPr>
          <w:pgSz w:w="11905" w:h="16838"/>
          <w:pgMar w:top="1100" w:right="1417" w:bottom="1140" w:left="1395" w:header="884" w:footer="896" w:gutter="0"/>
          <w:pgNumType w:fmt="decimal"/>
          <w:cols w:space="0" w:num="1"/>
          <w:rtlGutter w:val="0"/>
          <w:docGrid w:linePitch="0" w:charSpace="0"/>
        </w:sectPr>
      </w:pPr>
    </w:p>
    <w:p w14:paraId="43A3D044">
      <w:pPr>
        <w:keepNext w:val="0"/>
        <w:keepLines w:val="0"/>
        <w:pageBreakBefore w:val="0"/>
        <w:widowControl w:val="0"/>
        <w:kinsoku/>
        <w:wordWrap/>
        <w:overflowPunct/>
        <w:topLinePunct w:val="0"/>
        <w:autoSpaceDE/>
        <w:autoSpaceDN/>
        <w:bidi w:val="0"/>
        <w:adjustRightInd w:val="0"/>
        <w:snapToGrid/>
        <w:spacing w:line="360" w:lineRule="auto"/>
        <w:ind w:firstLine="883" w:firstLineChars="200"/>
        <w:jc w:val="center"/>
        <w:textAlignment w:val="auto"/>
        <w:outlineLvl w:val="0"/>
        <w:rPr>
          <w:rFonts w:hint="eastAsia" w:ascii="宋体" w:hAnsi="宋体" w:eastAsia="宋体" w:cs="宋体"/>
          <w:b/>
          <w:bCs/>
          <w:color w:val="auto"/>
          <w:kern w:val="0"/>
          <w:sz w:val="44"/>
          <w:szCs w:val="44"/>
          <w:highlight w:val="none"/>
          <w:lang w:val="en-US" w:eastAsia="zh-CN" w:bidi="ar-SA"/>
        </w:rPr>
      </w:pPr>
      <w:r>
        <w:rPr>
          <w:rFonts w:hint="eastAsia" w:ascii="宋体" w:hAnsi="宋体" w:eastAsia="宋体" w:cs="宋体"/>
          <w:b/>
          <w:bCs/>
          <w:color w:val="auto"/>
          <w:kern w:val="0"/>
          <w:sz w:val="44"/>
          <w:szCs w:val="44"/>
          <w:highlight w:val="none"/>
          <w:lang w:val="en-US" w:eastAsia="zh-CN" w:bidi="ar-SA"/>
        </w:rPr>
        <w:t>第五章  商务要求</w:t>
      </w:r>
      <w:bookmarkEnd w:id="26"/>
    </w:p>
    <w:p w14:paraId="4F7195D0">
      <w:pPr>
        <w:spacing w:line="500" w:lineRule="exact"/>
        <w:ind w:firstLine="482" w:firstLineChars="200"/>
        <w:rPr>
          <w:rFonts w:hint="eastAsia" w:ascii="宋体" w:hAnsi="宋体" w:eastAsia="宋体" w:cs="宋体"/>
          <w:sz w:val="24"/>
          <w:highlight w:val="none"/>
        </w:rPr>
      </w:pPr>
      <w:r>
        <w:rPr>
          <w:rFonts w:hint="eastAsia" w:ascii="宋体" w:hAnsi="宋体" w:eastAsia="宋体" w:cs="宋体"/>
          <w:b/>
          <w:sz w:val="24"/>
          <w:highlight w:val="none"/>
          <w:lang w:val="en-US" w:eastAsia="zh-CN"/>
        </w:rPr>
        <w:t>1</w:t>
      </w:r>
      <w:r>
        <w:rPr>
          <w:rFonts w:hint="eastAsia" w:ascii="宋体" w:hAnsi="宋体" w:eastAsia="宋体" w:cs="宋体"/>
          <w:b/>
          <w:sz w:val="24"/>
          <w:highlight w:val="none"/>
        </w:rPr>
        <w:t>、服务期限、服务地点</w:t>
      </w:r>
    </w:p>
    <w:p w14:paraId="37AE3EE1">
      <w:pPr>
        <w:pStyle w:val="10"/>
        <w:spacing w:line="5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服务期：</w:t>
      </w:r>
      <w:r>
        <w:rPr>
          <w:rFonts w:hint="eastAsia" w:hAnsi="宋体" w:cs="宋体"/>
          <w:color w:val="000000" w:themeColor="text1"/>
          <w:sz w:val="24"/>
          <w:szCs w:val="24"/>
          <w:highlight w:val="none"/>
          <w:lang w:val="en-US" w:eastAsia="zh-CN"/>
          <w14:textFill>
            <w14:solidFill>
              <w14:schemeClr w14:val="tx1"/>
            </w14:solidFill>
          </w14:textFill>
        </w:rPr>
        <w:t>1年</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185E4334">
      <w:pPr>
        <w:pStyle w:val="10"/>
        <w:spacing w:line="500" w:lineRule="exact"/>
        <w:ind w:firstLine="480" w:firstLineChars="200"/>
        <w:rPr>
          <w:rFonts w:hint="eastAsia" w:ascii="宋体" w:hAnsi="宋体" w:eastAsia="宋体" w:cs="宋体"/>
          <w:b/>
          <w:sz w:val="24"/>
          <w:lang w:val="en-US" w:eastAsia="zh-CN"/>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服务地点：</w:t>
      </w:r>
      <w:r>
        <w:rPr>
          <w:rFonts w:hint="eastAsia" w:ascii="宋体" w:hAnsi="宋体" w:eastAsia="宋体" w:cs="宋体"/>
          <w:sz w:val="24"/>
        </w:rPr>
        <w:t>采购人指定地点</w:t>
      </w:r>
      <w:r>
        <w:rPr>
          <w:rFonts w:hint="eastAsia" w:ascii="宋体" w:hAnsi="宋体" w:eastAsia="宋体" w:cs="宋体"/>
          <w:color w:val="000000" w:themeColor="text1"/>
          <w:sz w:val="24"/>
          <w:szCs w:val="24"/>
          <w:lang w:eastAsia="zh-CN"/>
          <w14:textFill>
            <w14:solidFill>
              <w14:schemeClr w14:val="tx1"/>
            </w14:solidFill>
          </w14:textFill>
        </w:rPr>
        <w:t>。</w:t>
      </w:r>
    </w:p>
    <w:p w14:paraId="55732176">
      <w:pPr>
        <w:tabs>
          <w:tab w:val="left" w:pos="480"/>
        </w:tabs>
        <w:spacing w:line="500" w:lineRule="exact"/>
        <w:ind w:firstLine="482" w:firstLineChars="200"/>
        <w:rPr>
          <w:rFonts w:hint="eastAsia" w:ascii="宋体" w:hAnsi="宋体" w:eastAsia="宋体" w:cs="宋体"/>
          <w:b/>
          <w:sz w:val="24"/>
        </w:rPr>
      </w:pPr>
      <w:r>
        <w:rPr>
          <w:rFonts w:hint="eastAsia" w:ascii="宋体" w:hAnsi="宋体" w:eastAsia="宋体" w:cs="宋体"/>
          <w:b/>
          <w:sz w:val="24"/>
          <w:lang w:val="en-US" w:eastAsia="zh-CN"/>
        </w:rPr>
        <w:t>2</w:t>
      </w:r>
      <w:r>
        <w:rPr>
          <w:rFonts w:hint="eastAsia" w:ascii="宋体" w:hAnsi="宋体" w:eastAsia="宋体" w:cs="宋体"/>
          <w:b/>
          <w:sz w:val="24"/>
        </w:rPr>
        <w:t>、合同价款</w:t>
      </w:r>
    </w:p>
    <w:p w14:paraId="44A77BF0">
      <w:pPr>
        <w:tabs>
          <w:tab w:val="left" w:pos="480"/>
        </w:tabs>
        <w:spacing w:line="500" w:lineRule="exact"/>
        <w:ind w:firstLine="480" w:firstLineChars="200"/>
        <w:rPr>
          <w:rFonts w:hint="eastAsia" w:ascii="宋体" w:hAnsi="宋体" w:eastAsia="宋体" w:cs="宋体"/>
          <w:bCs/>
          <w:sz w:val="24"/>
        </w:rPr>
      </w:pPr>
      <w:r>
        <w:rPr>
          <w:rFonts w:hint="eastAsia" w:ascii="宋体" w:hAnsi="宋体" w:eastAsia="宋体" w:cs="宋体"/>
          <w:kern w:val="2"/>
          <w:sz w:val="24"/>
          <w:szCs w:val="22"/>
          <w:lang w:val="en-US" w:eastAsia="zh-CN" w:bidi="ar-SA"/>
        </w:rPr>
        <w:t>合同总价包括供应商完成本项目所需提供全部服务费、备品备件及耗材费、运费、税费等与完成本项目有关费用。</w:t>
      </w:r>
    </w:p>
    <w:p w14:paraId="22E5E3BB">
      <w:pPr>
        <w:tabs>
          <w:tab w:val="left" w:pos="480"/>
        </w:tabs>
        <w:spacing w:line="500" w:lineRule="exact"/>
        <w:ind w:firstLine="482" w:firstLineChars="200"/>
        <w:rPr>
          <w:rFonts w:hint="eastAsia" w:ascii="宋体" w:hAnsi="宋体" w:eastAsia="宋体" w:cs="宋体"/>
          <w:sz w:val="24"/>
        </w:rPr>
      </w:pPr>
      <w:r>
        <w:rPr>
          <w:rFonts w:hint="eastAsia" w:ascii="宋体" w:hAnsi="宋体" w:eastAsia="宋体" w:cs="宋体"/>
          <w:b/>
          <w:sz w:val="24"/>
          <w:lang w:val="en-US" w:eastAsia="zh-CN"/>
        </w:rPr>
        <w:t>3</w:t>
      </w:r>
      <w:r>
        <w:rPr>
          <w:rFonts w:hint="eastAsia" w:ascii="宋体" w:hAnsi="宋体" w:eastAsia="宋体" w:cs="宋体"/>
          <w:b/>
          <w:sz w:val="24"/>
        </w:rPr>
        <w:t>、合同结算</w:t>
      </w:r>
    </w:p>
    <w:p w14:paraId="7D49C6AE">
      <w:pPr>
        <w:adjustRightInd w:val="0"/>
        <w:snapToGrid w:val="0"/>
        <w:spacing w:line="360" w:lineRule="auto"/>
        <w:ind w:firstLine="480" w:firstLineChars="200"/>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1</w:t>
      </w:r>
      <w:r>
        <w:rPr>
          <w:rFonts w:hint="eastAsia" w:ascii="宋体" w:hAnsi="宋体" w:eastAsia="宋体" w:cs="宋体"/>
          <w:bCs/>
          <w:sz w:val="24"/>
          <w:highlight w:val="none"/>
          <w:lang w:eastAsia="zh-CN"/>
        </w:rPr>
        <w:t>）</w:t>
      </w:r>
      <w:r>
        <w:rPr>
          <w:rFonts w:hint="eastAsia" w:ascii="宋体" w:hAnsi="宋体" w:eastAsia="宋体" w:cs="宋体"/>
          <w:sz w:val="24"/>
          <w:szCs w:val="24"/>
          <w:highlight w:val="none"/>
        </w:rPr>
        <w:t>付款方</w:t>
      </w:r>
      <w:r>
        <w:rPr>
          <w:rFonts w:hint="eastAsia" w:ascii="宋体" w:hAnsi="宋体" w:eastAsia="宋体" w:cs="宋体"/>
          <w:kern w:val="28"/>
          <w:sz w:val="24"/>
          <w:highlight w:val="none"/>
          <w:u w:val="none"/>
          <w:lang w:eastAsia="zh-CN"/>
        </w:rPr>
        <w:t>式：</w:t>
      </w:r>
      <w:r>
        <w:rPr>
          <w:rFonts w:hint="eastAsia" w:ascii="宋体" w:hAnsi="宋体" w:eastAsia="宋体" w:cs="宋体"/>
          <w:color w:val="000000"/>
          <w:kern w:val="0"/>
          <w:sz w:val="24"/>
          <w:szCs w:val="24"/>
          <w:highlight w:val="none"/>
          <w:lang w:val="en-US" w:eastAsia="zh-CN" w:bidi="ar"/>
        </w:rPr>
        <w:t>本合同签订之日起30日内，采购人向成交供应商支付合同总价款的40%；成交供应商按合同约定提供维保服务，并确保设备开机率达到合同约定标准。履约满半年，由采购人对成交供应商服务进行半年度考核；成交供应商完整提交维保记录、维保报告等全套资料，经采购人验收合格并签字确认、归档形成正式验收文件后，采购人支付合同总价款的50%；合同履约年度最后一个月开展年度服务考核，成交供应商完成全年维保服务并提交全部维保记录、维保报告等资料，经采购人验收合格、签字确认并形成正式验收文件，合同履约期满且收到成交供应商开具的合法合规等额正规发票之日起30日内，采购人支付合同总价款剩余10%尾款。</w:t>
      </w:r>
    </w:p>
    <w:p w14:paraId="51A3600C">
      <w:pPr>
        <w:autoSpaceDE w:val="0"/>
        <w:autoSpaceDN w:val="0"/>
        <w:adjustRightInd w:val="0"/>
        <w:spacing w:line="50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支付方式：银行转账。</w:t>
      </w:r>
    </w:p>
    <w:p w14:paraId="47AA0D96">
      <w:pPr>
        <w:tabs>
          <w:tab w:val="left" w:pos="480"/>
        </w:tabs>
        <w:spacing w:line="500" w:lineRule="exact"/>
        <w:ind w:firstLine="480" w:firstLineChars="200"/>
        <w:rPr>
          <w:rFonts w:hint="eastAsia" w:ascii="宋体" w:hAnsi="宋体" w:eastAsia="宋体" w:cs="宋体"/>
          <w:b/>
          <w:sz w:val="24"/>
          <w:highlight w:val="none"/>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结算方式：采购人负责结算，成交供应商开具足额发票</w:t>
      </w:r>
      <w:r>
        <w:rPr>
          <w:rFonts w:hint="eastAsia" w:ascii="宋体" w:hAnsi="宋体" w:eastAsia="宋体" w:cs="宋体"/>
          <w:sz w:val="24"/>
          <w:highlight w:val="none"/>
        </w:rPr>
        <w:t>。</w:t>
      </w:r>
    </w:p>
    <w:p w14:paraId="691E7408">
      <w:pPr>
        <w:spacing w:line="540" w:lineRule="exact"/>
        <w:ind w:firstLine="482" w:firstLineChars="200"/>
        <w:rPr>
          <w:rFonts w:hint="eastAsia" w:ascii="宋体" w:hAnsi="宋体" w:eastAsia="宋体" w:cs="宋体"/>
          <w:b/>
          <w:bCs/>
          <w:sz w:val="24"/>
        </w:rPr>
      </w:pPr>
      <w:r>
        <w:rPr>
          <w:rFonts w:hint="eastAsia" w:ascii="宋体" w:hAnsi="宋体" w:eastAsia="宋体" w:cs="宋体"/>
          <w:b/>
          <w:bCs/>
          <w:sz w:val="24"/>
          <w:lang w:val="en-US" w:eastAsia="zh-CN"/>
        </w:rPr>
        <w:t>4</w:t>
      </w:r>
      <w:r>
        <w:rPr>
          <w:rFonts w:hint="eastAsia" w:ascii="宋体" w:hAnsi="宋体" w:eastAsia="宋体" w:cs="宋体"/>
          <w:b/>
          <w:bCs/>
          <w:sz w:val="24"/>
        </w:rPr>
        <w:t>、服务质量保证</w:t>
      </w:r>
    </w:p>
    <w:p w14:paraId="59B23183">
      <w:pPr>
        <w:pStyle w:val="45"/>
        <w:spacing w:line="560" w:lineRule="exact"/>
        <w:ind w:firstLine="480"/>
        <w:rPr>
          <w:rFonts w:hint="eastAsia" w:ascii="宋体" w:hAnsi="宋体" w:eastAsia="宋体" w:cs="宋体"/>
          <w:kern w:val="2"/>
          <w:sz w:val="24"/>
          <w:szCs w:val="22"/>
          <w:lang w:val="en-US" w:eastAsia="zh-CN" w:bidi="ar-SA"/>
        </w:rPr>
      </w:pPr>
      <w:r>
        <w:rPr>
          <w:rFonts w:hint="eastAsia" w:ascii="宋体" w:hAnsi="宋体" w:eastAsia="宋体" w:cs="宋体"/>
          <w:kern w:val="2"/>
          <w:sz w:val="24"/>
          <w:szCs w:val="22"/>
          <w:lang w:val="en-US" w:eastAsia="zh-CN" w:bidi="ar-SA"/>
        </w:rPr>
        <w:t xml:space="preserve">（1）供应商保证所供应的更换配件为合格产品，且进货渠道正规，因所用原材料或加工工艺造成的质量和内外观缺陷问题，给采购人造成损失的由供应商负责解决并承担相关费用。 </w:t>
      </w:r>
    </w:p>
    <w:p w14:paraId="0860EE86">
      <w:pPr>
        <w:autoSpaceDE w:val="0"/>
        <w:autoSpaceDN w:val="0"/>
        <w:adjustRightInd w:val="0"/>
        <w:spacing w:line="500" w:lineRule="exact"/>
        <w:ind w:firstLine="480" w:firstLineChars="200"/>
        <w:rPr>
          <w:rFonts w:hint="eastAsia" w:ascii="宋体" w:hAnsi="宋体" w:eastAsia="宋体" w:cs="宋体"/>
          <w:sz w:val="24"/>
          <w:szCs w:val="22"/>
        </w:rPr>
      </w:pPr>
      <w:r>
        <w:rPr>
          <w:rFonts w:hint="eastAsia" w:ascii="宋体" w:hAnsi="宋体" w:eastAsia="宋体" w:cs="宋体"/>
          <w:kern w:val="2"/>
          <w:sz w:val="24"/>
          <w:szCs w:val="22"/>
          <w:lang w:val="en-US" w:eastAsia="zh-CN" w:bidi="ar-SA"/>
        </w:rPr>
        <w:t>（2）服务期内全年提供</w:t>
      </w:r>
      <w:r>
        <w:rPr>
          <w:rFonts w:hint="eastAsia" w:ascii="宋体" w:hAnsi="宋体" w:eastAsia="宋体" w:cs="宋体"/>
          <w:sz w:val="24"/>
          <w:szCs w:val="22"/>
        </w:rPr>
        <w:t>技术服务，服务形式包括工程师到场服务和24小时远程服务（负责解答用户在设备使用中遇到的问题，并及时提出解决问题的建议和操作方法。技术服务热线支持中文）。</w:t>
      </w:r>
    </w:p>
    <w:p w14:paraId="47CA2F99">
      <w:pPr>
        <w:spacing w:line="480" w:lineRule="exact"/>
        <w:rPr>
          <w:rFonts w:hint="eastAsia" w:ascii="宋体" w:hAnsi="宋体" w:eastAsia="宋体" w:cs="宋体"/>
          <w:b/>
          <w:bCs w:val="0"/>
          <w:sz w:val="24"/>
          <w:highlight w:val="none"/>
          <w:lang w:val="en-US" w:eastAsia="zh-CN"/>
        </w:rPr>
      </w:pPr>
      <w:r>
        <w:rPr>
          <w:rFonts w:hint="eastAsia" w:ascii="宋体" w:hAnsi="宋体" w:eastAsia="宋体" w:cs="宋体"/>
          <w:kern w:val="2"/>
          <w:sz w:val="24"/>
          <w:szCs w:val="22"/>
          <w:highlight w:val="none"/>
          <w:lang w:val="en-US" w:eastAsia="zh-CN" w:bidi="ar-SA"/>
        </w:rPr>
        <w:t>（3）服务期内遇到故障供</w:t>
      </w:r>
      <w:r>
        <w:rPr>
          <w:rFonts w:hint="eastAsia" w:ascii="宋体" w:hAnsi="宋体" w:eastAsia="宋体" w:cs="宋体"/>
          <w:sz w:val="24"/>
          <w:szCs w:val="22"/>
          <w:highlight w:val="none"/>
        </w:rPr>
        <w:t>应商</w:t>
      </w:r>
      <w:r>
        <w:rPr>
          <w:rFonts w:hint="eastAsia" w:ascii="宋体" w:hAnsi="宋体" w:eastAsia="宋体" w:cs="宋体"/>
          <w:kern w:val="2"/>
          <w:sz w:val="24"/>
          <w:szCs w:val="22"/>
          <w:highlight w:val="none"/>
          <w:lang w:val="en-US" w:eastAsia="zh-CN" w:bidi="ar-SA"/>
        </w:rPr>
        <w:t>无法及时修复，采购人</w:t>
      </w:r>
      <w:r>
        <w:rPr>
          <w:rFonts w:hint="eastAsia" w:ascii="宋体" w:hAnsi="宋体" w:eastAsia="宋体" w:cs="宋体"/>
          <w:sz w:val="24"/>
          <w:szCs w:val="22"/>
          <w:highlight w:val="none"/>
        </w:rPr>
        <w:t>有权委托第三方</w:t>
      </w:r>
      <w:r>
        <w:rPr>
          <w:rFonts w:hint="eastAsia" w:ascii="宋体" w:hAnsi="宋体" w:eastAsia="宋体" w:cs="宋体"/>
          <w:sz w:val="24"/>
          <w:szCs w:val="22"/>
          <w:highlight w:val="none"/>
          <w:lang w:val="en-US" w:eastAsia="zh-CN"/>
        </w:rPr>
        <w:t>进行</w:t>
      </w:r>
      <w:r>
        <w:rPr>
          <w:rFonts w:hint="eastAsia" w:ascii="宋体" w:hAnsi="宋体" w:eastAsia="宋体" w:cs="宋体"/>
          <w:sz w:val="24"/>
          <w:szCs w:val="22"/>
          <w:highlight w:val="none"/>
        </w:rPr>
        <w:t>处理，由此产生的费用和后果由供应商</w:t>
      </w:r>
      <w:r>
        <w:rPr>
          <w:rFonts w:hint="eastAsia" w:ascii="宋体" w:hAnsi="宋体" w:eastAsia="宋体" w:cs="宋体"/>
          <w:sz w:val="24"/>
          <w:szCs w:val="22"/>
          <w:highlight w:val="none"/>
          <w:lang w:val="en-US" w:eastAsia="zh-CN"/>
        </w:rPr>
        <w:t>承担，服务期内供应商若不能履行合同或违背合同，采购人有权单方面终止合同，供应商承担相应赔偿及责任。</w:t>
      </w:r>
    </w:p>
    <w:p w14:paraId="75A0B147">
      <w:pPr>
        <w:shd w:val="clear"/>
        <w:bidi w:val="0"/>
        <w:rPr>
          <w:rFonts w:hint="eastAsia"/>
          <w:lang w:val="en-US" w:eastAsia="zh-CN"/>
        </w:rPr>
      </w:pPr>
    </w:p>
    <w:p w14:paraId="374CD8B1">
      <w:pPr>
        <w:keepNext w:val="0"/>
        <w:keepLines w:val="0"/>
        <w:widowControl/>
        <w:suppressLineNumbers w:val="0"/>
        <w:jc w:val="left"/>
        <w:rPr>
          <w:rFonts w:hint="eastAsia" w:ascii="宋体" w:hAnsi="宋体" w:eastAsia="宋体" w:cs="宋体"/>
        </w:rPr>
      </w:pPr>
      <w:r>
        <w:rPr>
          <w:rFonts w:hint="eastAsia" w:ascii="宋体" w:hAnsi="宋体" w:eastAsia="宋体" w:cs="宋体"/>
          <w:b/>
          <w:bCs/>
          <w:color w:val="000000"/>
          <w:kern w:val="0"/>
          <w:sz w:val="24"/>
          <w:szCs w:val="24"/>
          <w:lang w:val="en-US" w:eastAsia="zh-CN" w:bidi="ar"/>
        </w:rPr>
        <w:t>注：商务要求为实质性要求，不得负偏离。</w:t>
      </w:r>
    </w:p>
    <w:p w14:paraId="2238E762">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宋体" w:hAnsi="宋体" w:eastAsia="宋体" w:cs="宋体"/>
          <w:color w:val="auto"/>
          <w:kern w:val="0"/>
          <w:highlight w:val="none"/>
          <w:lang w:val="en-US" w:eastAsia="zh-CN"/>
        </w:rPr>
      </w:pPr>
      <w:r>
        <w:rPr>
          <w:rFonts w:hint="eastAsia" w:ascii="宋体" w:hAnsi="宋体" w:eastAsia="宋体" w:cs="宋体"/>
          <w:color w:val="auto"/>
          <w:kern w:val="0"/>
          <w:highlight w:val="none"/>
        </w:rPr>
        <w:br w:type="page"/>
      </w:r>
      <w:bookmarkStart w:id="29" w:name="_Toc12101"/>
      <w:r>
        <w:rPr>
          <w:rFonts w:hint="eastAsia" w:ascii="宋体" w:hAnsi="宋体" w:eastAsia="宋体" w:cs="宋体"/>
          <w:color w:val="auto"/>
          <w:kern w:val="0"/>
          <w:highlight w:val="none"/>
        </w:rPr>
        <w:t>第</w:t>
      </w:r>
      <w:r>
        <w:rPr>
          <w:rFonts w:hint="eastAsia" w:ascii="宋体" w:hAnsi="宋体" w:eastAsia="宋体" w:cs="宋体"/>
          <w:color w:val="auto"/>
          <w:kern w:val="0"/>
          <w:highlight w:val="none"/>
          <w:lang w:val="en-US" w:eastAsia="zh-CN"/>
        </w:rPr>
        <w:t>六</w:t>
      </w:r>
      <w:r>
        <w:rPr>
          <w:rFonts w:hint="eastAsia" w:ascii="宋体" w:hAnsi="宋体" w:eastAsia="宋体" w:cs="宋体"/>
          <w:color w:val="auto"/>
          <w:kern w:val="0"/>
          <w:highlight w:val="none"/>
        </w:rPr>
        <w:t xml:space="preserve">章  </w:t>
      </w:r>
      <w:bookmarkEnd w:id="29"/>
      <w:r>
        <w:rPr>
          <w:rFonts w:hint="eastAsia" w:cs="宋体"/>
          <w:color w:val="auto"/>
          <w:kern w:val="0"/>
          <w:highlight w:val="none"/>
          <w:lang w:val="en-US" w:eastAsia="zh-CN"/>
        </w:rPr>
        <w:t>采购合同</w:t>
      </w:r>
    </w:p>
    <w:p w14:paraId="3C9824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宝鸡市人民医院</w:t>
      </w:r>
    </w:p>
    <w:p w14:paraId="29A9414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医疗设备维保</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服务合同</w:t>
      </w:r>
    </w:p>
    <w:p w14:paraId="16F28AB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p>
    <w:p w14:paraId="1129BE5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b/>
          <w:sz w:val="24"/>
          <w:szCs w:val="24"/>
        </w:rPr>
        <w:t xml:space="preserve">项目名称： </w:t>
      </w:r>
    </w:p>
    <w:p w14:paraId="2184408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b/>
          <w:sz w:val="24"/>
          <w:szCs w:val="24"/>
        </w:rPr>
        <w:t>甲    方：宝鸡市人民医院</w:t>
      </w:r>
    </w:p>
    <w:p w14:paraId="496EAEA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b/>
          <w:sz w:val="24"/>
          <w:szCs w:val="24"/>
        </w:rPr>
        <w:t xml:space="preserve">乙    方： </w:t>
      </w:r>
    </w:p>
    <w:p w14:paraId="42EC7784">
      <w:pPr>
        <w:keepNext w:val="0"/>
        <w:keepLines w:val="0"/>
        <w:pageBreakBefore w:val="0"/>
        <w:widowControl w:val="0"/>
        <w:kinsoku/>
        <w:wordWrap/>
        <w:overflowPunct/>
        <w:topLinePunct w:val="0"/>
        <w:autoSpaceDE/>
        <w:autoSpaceDN/>
        <w:bidi w:val="0"/>
        <w:adjustRightInd/>
        <w:snapToGrid/>
        <w:spacing w:line="560" w:lineRule="exact"/>
        <w:ind w:firstLine="600" w:firstLineChars="25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依据《民法典》相关法律规定，</w:t>
      </w:r>
      <w:r>
        <w:rPr>
          <w:rFonts w:hint="eastAsia" w:ascii="宋体" w:hAnsi="宋体" w:eastAsia="宋体" w:cs="宋体"/>
          <w:sz w:val="24"/>
          <w:szCs w:val="24"/>
        </w:rPr>
        <w:t>甲乙双方经友好协商，就</w:t>
      </w:r>
      <w:r>
        <w:rPr>
          <w:rFonts w:hint="eastAsia" w:ascii="宋体" w:hAnsi="宋体" w:eastAsia="宋体" w:cs="宋体"/>
          <w:sz w:val="24"/>
          <w:szCs w:val="24"/>
          <w:highlight w:val="none"/>
          <w:u w:val="single"/>
          <w:lang w:val="en-US" w:eastAsia="zh-CN"/>
        </w:rPr>
        <w:t xml:space="preserve">   科   </w:t>
      </w:r>
      <w:r>
        <w:rPr>
          <w:rFonts w:hint="eastAsia" w:ascii="宋体" w:hAnsi="宋体" w:eastAsia="宋体" w:cs="宋体"/>
          <w:sz w:val="24"/>
          <w:szCs w:val="24"/>
          <w:highlight w:val="none"/>
          <w:u w:val="single"/>
        </w:rPr>
        <w:t>维</w:t>
      </w:r>
      <w:r>
        <w:rPr>
          <w:rFonts w:hint="eastAsia" w:ascii="宋体" w:hAnsi="宋体" w:eastAsia="宋体" w:cs="宋体"/>
          <w:sz w:val="24"/>
          <w:szCs w:val="24"/>
          <w:highlight w:val="none"/>
          <w:u w:val="single"/>
          <w:lang w:val="en-US" w:eastAsia="zh-CN"/>
        </w:rPr>
        <w:t>保</w:t>
      </w:r>
      <w:r>
        <w:rPr>
          <w:rFonts w:hint="eastAsia" w:ascii="宋体" w:hAnsi="宋体" w:eastAsia="宋体" w:cs="宋体"/>
          <w:sz w:val="24"/>
          <w:szCs w:val="24"/>
          <w:highlight w:val="none"/>
        </w:rPr>
        <w:t>事宜制定此</w:t>
      </w:r>
      <w:r>
        <w:rPr>
          <w:rFonts w:hint="eastAsia" w:ascii="宋体" w:hAnsi="宋体" w:eastAsia="宋体" w:cs="宋体"/>
          <w:sz w:val="24"/>
          <w:szCs w:val="24"/>
          <w:highlight w:val="none"/>
          <w:lang w:val="en-US" w:eastAsia="zh-CN"/>
        </w:rPr>
        <w:t>协议</w:t>
      </w:r>
      <w:r>
        <w:rPr>
          <w:rFonts w:hint="eastAsia" w:ascii="宋体" w:hAnsi="宋体" w:eastAsia="宋体" w:cs="宋体"/>
          <w:sz w:val="24"/>
          <w:szCs w:val="24"/>
          <w:highlight w:val="none"/>
        </w:rPr>
        <w:t>，</w:t>
      </w:r>
      <w:r>
        <w:rPr>
          <w:rFonts w:hint="eastAsia" w:ascii="宋体" w:hAnsi="宋体" w:eastAsia="宋体" w:cs="宋体"/>
          <w:color w:val="auto"/>
          <w:sz w:val="24"/>
          <w:szCs w:val="24"/>
          <w:highlight w:val="none"/>
          <w:lang w:val="en-US" w:eastAsia="zh-CN"/>
        </w:rPr>
        <w:t>共同遵守。</w:t>
      </w:r>
    </w:p>
    <w:p w14:paraId="7066E5E8">
      <w:pPr>
        <w:keepNext w:val="0"/>
        <w:keepLines w:val="0"/>
        <w:pageBreakBefore w:val="0"/>
        <w:widowControl w:val="0"/>
        <w:tabs>
          <w:tab w:val="left" w:pos="2152"/>
        </w:tabs>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一、维保服务内容</w:t>
      </w:r>
    </w:p>
    <w:p w14:paraId="3DEBC3F0">
      <w:pPr>
        <w:keepNext w:val="0"/>
        <w:keepLines w:val="0"/>
        <w:pageBreakBefore w:val="0"/>
        <w:widowControl w:val="0"/>
        <w:tabs>
          <w:tab w:val="left" w:pos="2152"/>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rPr>
        <w:t>甲乙双方约定，由乙方为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提供</w:t>
      </w:r>
      <w:r>
        <w:rPr>
          <w:rFonts w:hint="eastAsia" w:ascii="宋体" w:hAnsi="宋体" w:eastAsia="宋体" w:cs="宋体"/>
          <w:sz w:val="24"/>
          <w:szCs w:val="24"/>
        </w:rPr>
        <w:t>维护保养服务。维保标的基本信息</w:t>
      </w:r>
      <w:r>
        <w:rPr>
          <w:rFonts w:hint="eastAsia" w:ascii="宋体" w:hAnsi="宋体" w:eastAsia="宋体" w:cs="宋体"/>
          <w:sz w:val="24"/>
          <w:szCs w:val="24"/>
          <w:lang w:val="en-US" w:eastAsia="zh-CN"/>
        </w:rPr>
        <w:t>详见下表</w:t>
      </w:r>
      <w:r>
        <w:rPr>
          <w:rFonts w:hint="eastAsia" w:ascii="宋体" w:hAnsi="宋体" w:eastAsia="宋体" w:cs="宋体"/>
          <w:sz w:val="24"/>
          <w:szCs w:val="24"/>
        </w:rPr>
        <w:t>：</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7"/>
        <w:gridCol w:w="1220"/>
        <w:gridCol w:w="1843"/>
        <w:gridCol w:w="2924"/>
        <w:gridCol w:w="1665"/>
      </w:tblGrid>
      <w:tr w14:paraId="2724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noWrap w:val="0"/>
            <w:vAlign w:val="top"/>
          </w:tcPr>
          <w:p w14:paraId="467DCA82">
            <w:pPr>
              <w:pStyle w:val="18"/>
              <w:numPr>
                <w:ilvl w:val="0"/>
                <w:numId w:val="0"/>
              </w:num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设备名称</w:t>
            </w:r>
          </w:p>
        </w:tc>
        <w:tc>
          <w:tcPr>
            <w:tcW w:w="1220" w:type="dxa"/>
            <w:noWrap w:val="0"/>
            <w:vAlign w:val="top"/>
          </w:tcPr>
          <w:p w14:paraId="35BF6FF4">
            <w:pPr>
              <w:pStyle w:val="18"/>
              <w:numPr>
                <w:ilvl w:val="0"/>
                <w:numId w:val="0"/>
              </w:num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设备品牌</w:t>
            </w:r>
          </w:p>
        </w:tc>
        <w:tc>
          <w:tcPr>
            <w:tcW w:w="1843" w:type="dxa"/>
            <w:noWrap w:val="0"/>
            <w:vAlign w:val="top"/>
          </w:tcPr>
          <w:p w14:paraId="2711525E">
            <w:pPr>
              <w:pStyle w:val="18"/>
              <w:numPr>
                <w:ilvl w:val="0"/>
                <w:numId w:val="0"/>
              </w:num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设备型号</w:t>
            </w:r>
          </w:p>
        </w:tc>
        <w:tc>
          <w:tcPr>
            <w:tcW w:w="2924" w:type="dxa"/>
            <w:noWrap w:val="0"/>
            <w:vAlign w:val="top"/>
          </w:tcPr>
          <w:p w14:paraId="111A77AC">
            <w:pPr>
              <w:pStyle w:val="18"/>
              <w:numPr>
                <w:ilvl w:val="0"/>
                <w:numId w:val="0"/>
              </w:num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设备编码</w:t>
            </w:r>
          </w:p>
        </w:tc>
        <w:tc>
          <w:tcPr>
            <w:tcW w:w="1665" w:type="dxa"/>
            <w:noWrap w:val="0"/>
            <w:vAlign w:val="top"/>
          </w:tcPr>
          <w:p w14:paraId="6BFD3F88">
            <w:pPr>
              <w:pStyle w:val="18"/>
              <w:numPr>
                <w:ilvl w:val="0"/>
                <w:numId w:val="0"/>
              </w:numPr>
              <w:ind w:left="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合计</w:t>
            </w:r>
            <w:r>
              <w:rPr>
                <w:rFonts w:hint="eastAsia" w:ascii="宋体" w:hAnsi="宋体" w:eastAsia="宋体" w:cs="宋体"/>
                <w:sz w:val="24"/>
                <w:szCs w:val="24"/>
                <w:highlight w:val="none"/>
                <w:lang w:eastAsia="zh-CN"/>
              </w:rPr>
              <w:t>价格（元）</w:t>
            </w:r>
          </w:p>
        </w:tc>
      </w:tr>
      <w:tr w14:paraId="7C92F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7" w:type="dxa"/>
            <w:noWrap w:val="0"/>
            <w:vAlign w:val="top"/>
          </w:tcPr>
          <w:p w14:paraId="65D99F55">
            <w:pPr>
              <w:tabs>
                <w:tab w:val="left" w:pos="2152"/>
              </w:tabs>
              <w:spacing w:line="540" w:lineRule="exact"/>
              <w:jc w:val="center"/>
              <w:rPr>
                <w:rFonts w:hint="eastAsia" w:ascii="宋体" w:hAnsi="宋体" w:eastAsia="宋体" w:cs="宋体"/>
                <w:sz w:val="24"/>
                <w:szCs w:val="24"/>
                <w:lang w:val="en-US" w:eastAsia="zh-CN"/>
              </w:rPr>
            </w:pPr>
          </w:p>
        </w:tc>
        <w:tc>
          <w:tcPr>
            <w:tcW w:w="1220" w:type="dxa"/>
            <w:noWrap w:val="0"/>
            <w:vAlign w:val="top"/>
          </w:tcPr>
          <w:p w14:paraId="40A1C45B">
            <w:pPr>
              <w:tabs>
                <w:tab w:val="left" w:pos="2152"/>
              </w:tabs>
              <w:spacing w:line="540" w:lineRule="exact"/>
              <w:jc w:val="center"/>
              <w:rPr>
                <w:rFonts w:hint="eastAsia" w:ascii="宋体" w:hAnsi="宋体" w:eastAsia="宋体" w:cs="宋体"/>
                <w:sz w:val="24"/>
                <w:szCs w:val="24"/>
                <w:lang w:val="en-US" w:eastAsia="zh-CN"/>
              </w:rPr>
            </w:pPr>
          </w:p>
        </w:tc>
        <w:tc>
          <w:tcPr>
            <w:tcW w:w="1843" w:type="dxa"/>
            <w:noWrap w:val="0"/>
            <w:vAlign w:val="top"/>
          </w:tcPr>
          <w:p w14:paraId="488222F1">
            <w:pPr>
              <w:tabs>
                <w:tab w:val="left" w:pos="2152"/>
              </w:tabs>
              <w:spacing w:line="540" w:lineRule="exact"/>
              <w:jc w:val="center"/>
              <w:rPr>
                <w:rFonts w:hint="eastAsia" w:ascii="宋体" w:hAnsi="宋体" w:eastAsia="宋体" w:cs="宋体"/>
                <w:sz w:val="24"/>
                <w:szCs w:val="24"/>
                <w:lang w:val="en-US" w:eastAsia="zh-CN"/>
              </w:rPr>
            </w:pPr>
          </w:p>
        </w:tc>
        <w:tc>
          <w:tcPr>
            <w:tcW w:w="2924" w:type="dxa"/>
            <w:noWrap w:val="0"/>
            <w:vAlign w:val="top"/>
          </w:tcPr>
          <w:p w14:paraId="292DB3D4">
            <w:pPr>
              <w:tabs>
                <w:tab w:val="left" w:pos="2152"/>
              </w:tabs>
              <w:spacing w:line="540" w:lineRule="exact"/>
              <w:jc w:val="center"/>
              <w:rPr>
                <w:rFonts w:hint="eastAsia" w:ascii="宋体" w:hAnsi="宋体" w:eastAsia="宋体" w:cs="宋体"/>
                <w:sz w:val="24"/>
                <w:szCs w:val="24"/>
                <w:lang w:val="en-US" w:eastAsia="zh-CN"/>
              </w:rPr>
            </w:pPr>
          </w:p>
        </w:tc>
        <w:tc>
          <w:tcPr>
            <w:tcW w:w="1665" w:type="dxa"/>
            <w:noWrap w:val="0"/>
            <w:vAlign w:val="top"/>
          </w:tcPr>
          <w:p w14:paraId="616CAC3D">
            <w:pPr>
              <w:tabs>
                <w:tab w:val="left" w:pos="2152"/>
              </w:tabs>
              <w:spacing w:line="540" w:lineRule="exact"/>
              <w:jc w:val="center"/>
              <w:rPr>
                <w:rFonts w:hint="eastAsia" w:ascii="宋体" w:hAnsi="宋体" w:eastAsia="宋体" w:cs="宋体"/>
                <w:sz w:val="24"/>
                <w:szCs w:val="24"/>
                <w:lang w:val="en-US" w:eastAsia="zh-CN"/>
              </w:rPr>
            </w:pPr>
          </w:p>
        </w:tc>
      </w:tr>
    </w:tbl>
    <w:p w14:paraId="3FF4664C">
      <w:pPr>
        <w:keepNext w:val="0"/>
        <w:keepLines w:val="0"/>
        <w:pageBreakBefore w:val="0"/>
        <w:widowControl w:val="0"/>
        <w:tabs>
          <w:tab w:val="left" w:pos="2152"/>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一）</w:t>
      </w:r>
      <w:r>
        <w:rPr>
          <w:rFonts w:hint="eastAsia" w:ascii="宋体" w:hAnsi="宋体" w:eastAsia="宋体" w:cs="宋体"/>
          <w:sz w:val="24"/>
          <w:szCs w:val="24"/>
        </w:rPr>
        <w:t>服务内容：</w:t>
      </w:r>
    </w:p>
    <w:p w14:paraId="3D0EF9E2">
      <w:pPr>
        <w:keepNext w:val="0"/>
        <w:keepLines w:val="0"/>
        <w:pageBreakBefore w:val="0"/>
        <w:widowControl w:val="0"/>
        <w:tabs>
          <w:tab w:val="left" w:pos="2152"/>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（二）维护保养标准：</w:t>
      </w:r>
    </w:p>
    <w:p w14:paraId="0B9611AE">
      <w:pPr>
        <w:tabs>
          <w:tab w:val="left" w:pos="2152"/>
        </w:tabs>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1.服务期内，提供无限定次数的故障维修，并按照国家、地方、行业的现行标准、规范和厂商设备标准、维修手册、使用说明等技术资料完成安全检查与预防性保养。</w:t>
      </w:r>
    </w:p>
    <w:p w14:paraId="7F443ACF">
      <w:pPr>
        <w:tabs>
          <w:tab w:val="left" w:pos="2152"/>
        </w:tabs>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2.维保项目的服务需要达到甲方相应的考核要求。</w:t>
      </w:r>
    </w:p>
    <w:p w14:paraId="0401FBE7">
      <w:pPr>
        <w:tabs>
          <w:tab w:val="left" w:pos="2152"/>
        </w:tabs>
        <w:spacing w:line="5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3.承诺开机率：按每年度365个日历日计算，开机率要达到95%以上，开机率=1-出现</w:t>
      </w:r>
      <w:r>
        <w:rPr>
          <w:rFonts w:hint="eastAsia" w:ascii="宋体" w:hAnsi="宋体" w:eastAsia="宋体" w:cs="宋体"/>
          <w:sz w:val="24"/>
          <w:szCs w:val="24"/>
          <w:highlight w:val="none"/>
          <w:lang w:val="en-US" w:eastAsia="zh-CN"/>
        </w:rPr>
        <w:t>设备故障造成</w:t>
      </w:r>
      <w:r>
        <w:rPr>
          <w:rFonts w:hint="eastAsia" w:ascii="宋体" w:hAnsi="宋体" w:eastAsia="宋体" w:cs="宋体"/>
          <w:sz w:val="24"/>
          <w:szCs w:val="24"/>
        </w:rPr>
        <w:t>停机状况的日历日（累计）/365日*100%。未达到的天数，按</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rPr>
        <w:t>顺延维保时间（即按天算，开机日每减少一天，维保期限顺延</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rPr>
        <w:t>天，</w:t>
      </w:r>
      <w:r>
        <w:rPr>
          <w:rFonts w:hint="eastAsia" w:ascii="宋体" w:hAnsi="宋体" w:eastAsia="宋体" w:cs="宋体"/>
          <w:sz w:val="24"/>
          <w:szCs w:val="24"/>
        </w:rPr>
        <w:t>顺延期限不计费），并且由乙方负担由于停机造成的一切损失</w:t>
      </w:r>
      <w:r>
        <w:rPr>
          <w:rFonts w:hint="eastAsia" w:ascii="宋体" w:hAnsi="宋体" w:eastAsia="宋体" w:cs="宋体"/>
          <w:sz w:val="24"/>
          <w:szCs w:val="24"/>
          <w:lang w:eastAsia="zh-CN"/>
        </w:rPr>
        <w:t>。</w:t>
      </w:r>
    </w:p>
    <w:p w14:paraId="01FE8CB4">
      <w:pPr>
        <w:keepNext w:val="0"/>
        <w:keepLines w:val="0"/>
        <w:pageBreakBefore w:val="0"/>
        <w:widowControl w:val="0"/>
        <w:tabs>
          <w:tab w:val="left" w:pos="2152"/>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4.人员要求：（如有，</w:t>
      </w:r>
      <w:r>
        <w:rPr>
          <w:rFonts w:hint="eastAsia" w:ascii="宋体" w:hAnsi="宋体" w:eastAsia="宋体"/>
          <w:sz w:val="24"/>
          <w:szCs w:val="24"/>
        </w:rPr>
        <w:t>乙方应保证提供的服务人员具备相应的服务能力和服务资质，是否需要入驻及入驻管理要求等。）</w:t>
      </w:r>
      <w:r>
        <w:rPr>
          <w:rFonts w:hint="eastAsia" w:ascii="宋体" w:hAnsi="宋体" w:eastAsia="宋体" w:cs="宋体"/>
          <w:sz w:val="24"/>
          <w:szCs w:val="24"/>
          <w:lang w:val="en-US" w:eastAsia="zh-CN"/>
        </w:rPr>
        <w:t>如乙方更换指定工程师的，应提前10</w:t>
      </w:r>
      <w:r>
        <w:rPr>
          <w:rFonts w:hint="eastAsia" w:ascii="宋体" w:hAnsi="宋体" w:eastAsia="宋体" w:cs="宋体"/>
          <w:sz w:val="24"/>
          <w:szCs w:val="24"/>
        </w:rPr>
        <w:t>个工作日告知甲方，经甲方书面同意后方可更换。如乙方指定的工程师工作不符合本合同要求的，甲方有权要求更换，乙方应自甲方提出更换要求之日起3个工作日内更换资质不低于原指定工程师资质并符合本合同其他要求的工程师提供服务</w:t>
      </w:r>
      <w:r>
        <w:rPr>
          <w:rFonts w:hint="eastAsia" w:ascii="宋体" w:hAnsi="宋体" w:eastAsia="宋体" w:cs="宋体"/>
          <w:sz w:val="24"/>
          <w:szCs w:val="24"/>
          <w:lang w:eastAsia="zh-CN"/>
        </w:rPr>
        <w:t>。</w:t>
      </w:r>
    </w:p>
    <w:p w14:paraId="403CBD65">
      <w:pPr>
        <w:keepNext w:val="0"/>
        <w:keepLines w:val="0"/>
        <w:pageBreakBefore w:val="0"/>
        <w:widowControl w:val="0"/>
        <w:tabs>
          <w:tab w:val="left" w:pos="2152"/>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（三）维护保养期限：共（）个月，自  年  月  日起至  年  月  日止。</w:t>
      </w:r>
    </w:p>
    <w:p w14:paraId="0CD9B4E7">
      <w:pPr>
        <w:keepNext w:val="0"/>
        <w:keepLines w:val="0"/>
        <w:pageBreakBefore w:val="0"/>
        <w:widowControl w:val="0"/>
        <w:tabs>
          <w:tab w:val="left" w:pos="2152"/>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（四）服务地点：</w:t>
      </w:r>
    </w:p>
    <w:p w14:paraId="79A6E8A7">
      <w:pPr>
        <w:keepNext w:val="0"/>
        <w:keepLines w:val="0"/>
        <w:pageBreakBefore w:val="0"/>
        <w:widowControl w:val="0"/>
        <w:tabs>
          <w:tab w:val="left" w:pos="2152"/>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（五）乙方维保的专职人员及联系方式</w:t>
      </w:r>
    </w:p>
    <w:p w14:paraId="4DCDCC93">
      <w:pPr>
        <w:keepNext w:val="0"/>
        <w:keepLines w:val="0"/>
        <w:pageBreakBefore w:val="0"/>
        <w:widowControl w:val="0"/>
        <w:tabs>
          <w:tab w:val="left" w:pos="3228"/>
        </w:tabs>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b/>
          <w:sz w:val="24"/>
          <w:szCs w:val="24"/>
        </w:rPr>
        <w:t>二、</w:t>
      </w:r>
      <w:r>
        <w:rPr>
          <w:rFonts w:hint="eastAsia" w:ascii="宋体" w:hAnsi="宋体" w:eastAsia="宋体" w:cs="宋体"/>
          <w:b/>
          <w:sz w:val="24"/>
          <w:szCs w:val="24"/>
          <w:lang w:val="en-US" w:eastAsia="zh-CN"/>
        </w:rPr>
        <w:t>维护保养方式</w:t>
      </w:r>
      <w:r>
        <w:rPr>
          <w:rFonts w:hint="eastAsia" w:ascii="宋体" w:hAnsi="宋体" w:eastAsia="宋体" w:cs="宋体"/>
          <w:b/>
          <w:sz w:val="24"/>
          <w:szCs w:val="24"/>
        </w:rPr>
        <w:tab/>
      </w:r>
    </w:p>
    <w:p w14:paraId="24965CE2">
      <w:pPr>
        <w:pStyle w:val="46"/>
        <w:keepNext w:val="0"/>
        <w:keepLines w:val="0"/>
        <w:pageBreakBefore w:val="0"/>
        <w:widowControl w:val="0"/>
        <w:tabs>
          <w:tab w:val="left" w:pos="3228"/>
        </w:tabs>
        <w:kinsoku/>
        <w:wordWrap/>
        <w:overflowPunct/>
        <w:topLinePunct w:val="0"/>
        <w:autoSpaceDE/>
        <w:autoSpaceDN/>
        <w:bidi w:val="0"/>
        <w:adjustRightInd/>
        <w:snapToGrid/>
        <w:spacing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一）维护保养方式：</w:t>
      </w:r>
    </w:p>
    <w:p w14:paraId="1D0C3F83">
      <w:pPr>
        <w:pStyle w:val="46"/>
        <w:keepNext w:val="0"/>
        <w:keepLines w:val="0"/>
        <w:pageBreakBefore w:val="0"/>
        <w:widowControl w:val="0"/>
        <w:tabs>
          <w:tab w:val="left" w:pos="3228"/>
        </w:tabs>
        <w:kinsoku/>
        <w:wordWrap/>
        <w:overflowPunct/>
        <w:topLinePunct w:val="0"/>
        <w:autoSpaceDE/>
        <w:autoSpaceDN/>
        <w:bidi w:val="0"/>
        <w:adjustRightInd/>
        <w:snapToGrid/>
        <w:spacing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sym w:font="Wingdings 2" w:char="00A3"/>
      </w:r>
      <w:r>
        <w:rPr>
          <w:rFonts w:hint="eastAsia" w:ascii="宋体" w:hAnsi="宋体" w:eastAsia="宋体" w:cs="宋体"/>
          <w:sz w:val="24"/>
          <w:szCs w:val="24"/>
          <w:lang w:val="en-US" w:eastAsia="zh-CN"/>
        </w:rPr>
        <w:t>只提供劳务，不提供任何维修部件；</w:t>
      </w:r>
    </w:p>
    <w:p w14:paraId="74CE090E">
      <w:pPr>
        <w:pStyle w:val="46"/>
        <w:keepNext w:val="0"/>
        <w:keepLines w:val="0"/>
        <w:pageBreakBefore w:val="0"/>
        <w:widowControl w:val="0"/>
        <w:tabs>
          <w:tab w:val="left" w:pos="3228"/>
        </w:tabs>
        <w:kinsoku/>
        <w:wordWrap/>
        <w:overflowPunct/>
        <w:topLinePunct w:val="0"/>
        <w:autoSpaceDE/>
        <w:autoSpaceDN/>
        <w:bidi w:val="0"/>
        <w:adjustRightInd/>
        <w:snapToGrid/>
        <w:spacing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sym w:font="Wingdings 2" w:char="00A3"/>
      </w:r>
      <w:r>
        <w:rPr>
          <w:rFonts w:hint="eastAsia" w:ascii="宋体" w:hAnsi="宋体" w:eastAsia="宋体" w:cs="宋体"/>
          <w:sz w:val="24"/>
          <w:szCs w:val="24"/>
          <w:lang w:val="en-US" w:eastAsia="zh-CN"/>
        </w:rPr>
        <w:t>既提供劳务，并免费提供单价在（）元以下的零部件；</w:t>
      </w:r>
    </w:p>
    <w:p w14:paraId="3AD84603">
      <w:pPr>
        <w:pStyle w:val="46"/>
        <w:keepNext w:val="0"/>
        <w:keepLines w:val="0"/>
        <w:pageBreakBefore w:val="0"/>
        <w:widowControl w:val="0"/>
        <w:tabs>
          <w:tab w:val="left" w:pos="3228"/>
        </w:tabs>
        <w:kinsoku/>
        <w:wordWrap/>
        <w:overflowPunct/>
        <w:topLinePunct w:val="0"/>
        <w:autoSpaceDE/>
        <w:autoSpaceDN/>
        <w:bidi w:val="0"/>
        <w:adjustRightInd/>
        <w:snapToGrid/>
        <w:spacing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sym w:font="Wingdings 2" w:char="00A3"/>
      </w:r>
      <w:r>
        <w:rPr>
          <w:rFonts w:hint="eastAsia" w:ascii="宋体" w:hAnsi="宋体" w:eastAsia="宋体" w:cs="宋体"/>
          <w:sz w:val="24"/>
          <w:szCs w:val="24"/>
          <w:lang w:val="en-US" w:eastAsia="zh-CN"/>
        </w:rPr>
        <w:t>既提供劳务，并免费提供包含整机所有零配件的更换。</w:t>
      </w:r>
    </w:p>
    <w:p w14:paraId="6A9A89D3">
      <w:pPr>
        <w:pStyle w:val="46"/>
        <w:keepNext w:val="0"/>
        <w:keepLines w:val="0"/>
        <w:pageBreakBefore w:val="0"/>
        <w:widowControl w:val="0"/>
        <w:tabs>
          <w:tab w:val="left" w:pos="3228"/>
        </w:tabs>
        <w:kinsoku/>
        <w:wordWrap/>
        <w:overflowPunct/>
        <w:topLinePunct w:val="0"/>
        <w:autoSpaceDE/>
        <w:autoSpaceDN/>
        <w:bidi w:val="0"/>
        <w:adjustRightInd/>
        <w:snapToGrid/>
        <w:spacing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二）对维保设备提供每年（）次预防性维保</w:t>
      </w:r>
      <w:r>
        <w:rPr>
          <w:rFonts w:hint="eastAsia" w:ascii="宋体" w:hAnsi="宋体" w:eastAsia="宋体" w:cs="宋体"/>
          <w:strike w:val="0"/>
          <w:dstrike w:val="0"/>
          <w:sz w:val="24"/>
          <w:szCs w:val="24"/>
          <w:highlight w:val="none"/>
          <w:lang w:val="en-US" w:eastAsia="zh-CN"/>
        </w:rPr>
        <w:t>，</w:t>
      </w:r>
      <w:r>
        <w:rPr>
          <w:rFonts w:hint="eastAsia" w:ascii="宋体" w:hAnsi="宋体" w:eastAsia="宋体" w:cs="宋体"/>
          <w:sz w:val="24"/>
          <w:szCs w:val="24"/>
          <w:lang w:val="en-US" w:eastAsia="zh-CN"/>
        </w:rPr>
        <w:t>保证设备处于最佳运行状态。乙方应提供详细的设备预防性维护保养计划，经甲方确认后，按照计划在维保期内定期做预防性维护保养。</w:t>
      </w:r>
    </w:p>
    <w:p w14:paraId="64ECC9F7">
      <w:pPr>
        <w:pStyle w:val="46"/>
        <w:keepNext w:val="0"/>
        <w:keepLines w:val="0"/>
        <w:pageBreakBefore w:val="0"/>
        <w:widowControl w:val="0"/>
        <w:tabs>
          <w:tab w:val="left" w:pos="3228"/>
        </w:tabs>
        <w:kinsoku/>
        <w:wordWrap/>
        <w:overflowPunct/>
        <w:topLinePunct w:val="0"/>
        <w:autoSpaceDE/>
        <w:autoSpaceDN/>
        <w:bidi w:val="0"/>
        <w:adjustRightInd/>
        <w:snapToGrid/>
        <w:spacing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三）故障维修：</w:t>
      </w:r>
    </w:p>
    <w:p w14:paraId="0EF12095">
      <w:pPr>
        <w:pStyle w:val="46"/>
        <w:keepNext w:val="0"/>
        <w:keepLines w:val="0"/>
        <w:pageBreakBefore w:val="0"/>
        <w:widowControl w:val="0"/>
        <w:tabs>
          <w:tab w:val="left" w:pos="3228"/>
        </w:tabs>
        <w:kinsoku/>
        <w:wordWrap/>
        <w:overflowPunct/>
        <w:topLinePunct w:val="0"/>
        <w:autoSpaceDE/>
        <w:autoSpaceDN/>
        <w:bidi w:val="0"/>
        <w:adjustRightInd/>
        <w:snapToGrid/>
        <w:spacing w:line="5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1.维修响应时间：</w:t>
      </w:r>
      <w:r>
        <w:rPr>
          <w:rFonts w:hint="eastAsia" w:ascii="宋体" w:hAnsi="宋体" w:eastAsia="宋体" w:cs="宋体"/>
          <w:sz w:val="24"/>
          <w:szCs w:val="24"/>
          <w:highlight w:val="none"/>
        </w:rPr>
        <w:t>24小时</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365天</w:t>
      </w:r>
      <w:r>
        <w:rPr>
          <w:rFonts w:hint="eastAsia" w:ascii="宋体" w:hAnsi="宋体" w:eastAsia="宋体" w:cs="宋体"/>
          <w:sz w:val="24"/>
          <w:szCs w:val="24"/>
          <w:highlight w:val="none"/>
          <w:lang w:val="en-US" w:eastAsia="zh-CN"/>
        </w:rPr>
        <w:t>。报修电话≤</w:t>
      </w:r>
      <w:r>
        <w:rPr>
          <w:rFonts w:hint="eastAsia" w:cs="宋体"/>
          <w:sz w:val="24"/>
          <w:szCs w:val="24"/>
          <w:highlight w:val="none"/>
          <w:lang w:val="en-US" w:eastAsia="zh-CN"/>
        </w:rPr>
        <w:t>（）</w:t>
      </w:r>
      <w:r>
        <w:rPr>
          <w:rFonts w:hint="eastAsia" w:ascii="宋体" w:hAnsi="宋体" w:eastAsia="宋体" w:cs="宋体"/>
          <w:sz w:val="24"/>
          <w:szCs w:val="24"/>
          <w:highlight w:val="none"/>
          <w:lang w:val="en-US" w:eastAsia="zh-CN"/>
        </w:rPr>
        <w:t>小时内响应，接到甲方报修后，乙方工程师≤</w:t>
      </w:r>
      <w:r>
        <w:rPr>
          <w:rFonts w:hint="eastAsia" w:cs="宋体"/>
          <w:sz w:val="24"/>
          <w:szCs w:val="24"/>
          <w:highlight w:val="none"/>
          <w:lang w:val="en-US" w:eastAsia="zh-CN"/>
        </w:rPr>
        <w:t>（）</w:t>
      </w:r>
      <w:r>
        <w:rPr>
          <w:rFonts w:hint="eastAsia" w:ascii="宋体" w:hAnsi="宋体" w:eastAsia="宋体" w:cs="宋体"/>
          <w:sz w:val="24"/>
          <w:szCs w:val="24"/>
          <w:highlight w:val="none"/>
          <w:lang w:val="en-US" w:eastAsia="zh-CN"/>
        </w:rPr>
        <w:t>小时内达到现场，≤</w:t>
      </w:r>
      <w:r>
        <w:rPr>
          <w:rFonts w:hint="eastAsia" w:cs="宋体"/>
          <w:sz w:val="24"/>
          <w:szCs w:val="24"/>
          <w:highlight w:val="none"/>
          <w:lang w:val="en-US" w:eastAsia="zh-CN"/>
        </w:rPr>
        <w:t>（）</w:t>
      </w:r>
      <w:r>
        <w:rPr>
          <w:rFonts w:hint="eastAsia" w:ascii="宋体" w:hAnsi="宋体" w:eastAsia="宋体" w:cs="宋体"/>
          <w:sz w:val="24"/>
          <w:szCs w:val="24"/>
          <w:highlight w:val="none"/>
          <w:lang w:val="en-US" w:eastAsia="zh-CN"/>
        </w:rPr>
        <w:t>小时内维修完毕、解决问题。每次故障维修或保养后，须向甲方提供维修、保养记录。如果超过</w:t>
      </w:r>
      <w:r>
        <w:rPr>
          <w:rFonts w:hint="eastAsia" w:cs="宋体"/>
          <w:sz w:val="24"/>
          <w:szCs w:val="24"/>
          <w:highlight w:val="none"/>
          <w:lang w:val="en-US" w:eastAsia="zh-CN"/>
        </w:rPr>
        <w:t>（）</w:t>
      </w:r>
      <w:r>
        <w:rPr>
          <w:rFonts w:hint="eastAsia" w:ascii="宋体" w:hAnsi="宋体" w:eastAsia="宋体" w:cs="宋体"/>
          <w:sz w:val="24"/>
          <w:szCs w:val="24"/>
          <w:highlight w:val="none"/>
          <w:lang w:val="en-US" w:eastAsia="zh-CN"/>
        </w:rPr>
        <w:t>小时不能修复，提供同档次的备用机或经甲方书面认可的紧急替代方案。因乙方未及时维修给甲方造成的一切损失由乙方承担。</w:t>
      </w:r>
    </w:p>
    <w:p w14:paraId="7114790A">
      <w:pPr>
        <w:pStyle w:val="46"/>
        <w:keepNext w:val="0"/>
        <w:keepLines w:val="0"/>
        <w:pageBreakBefore w:val="0"/>
        <w:widowControl w:val="0"/>
        <w:tabs>
          <w:tab w:val="left" w:pos="3228"/>
        </w:tabs>
        <w:kinsoku/>
        <w:wordWrap/>
        <w:overflowPunct/>
        <w:topLinePunct w:val="0"/>
        <w:autoSpaceDE/>
        <w:autoSpaceDN/>
        <w:bidi w:val="0"/>
        <w:adjustRightInd/>
        <w:snapToGrid/>
        <w:spacing w:line="560" w:lineRule="exact"/>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2.报修电话：        ；负责人：          。</w:t>
      </w:r>
    </w:p>
    <w:p w14:paraId="2205A0DC">
      <w:pPr>
        <w:pStyle w:val="46"/>
        <w:keepNext w:val="0"/>
        <w:keepLines w:val="0"/>
        <w:pageBreakBefore w:val="0"/>
        <w:widowControl w:val="0"/>
        <w:tabs>
          <w:tab w:val="left" w:pos="3228"/>
        </w:tabs>
        <w:kinsoku/>
        <w:wordWrap/>
        <w:overflowPunct/>
        <w:topLinePunct w:val="0"/>
        <w:autoSpaceDE/>
        <w:autoSpaceDN/>
        <w:bidi w:val="0"/>
        <w:adjustRightInd/>
        <w:snapToGrid/>
        <w:spacing w:line="5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3.验收：</w:t>
      </w:r>
      <w:r>
        <w:rPr>
          <w:rFonts w:hint="eastAsia" w:ascii="宋体" w:hAnsi="宋体" w:eastAsia="宋体" w:cs="宋体"/>
          <w:sz w:val="24"/>
          <w:szCs w:val="24"/>
          <w:highlight w:val="none"/>
        </w:rPr>
        <w:t>设备每次维</w:t>
      </w:r>
      <w:r>
        <w:rPr>
          <w:rFonts w:hint="eastAsia" w:ascii="宋体" w:hAnsi="宋体" w:eastAsia="宋体" w:cs="宋体"/>
          <w:sz w:val="24"/>
          <w:szCs w:val="24"/>
          <w:highlight w:val="none"/>
          <w:lang w:val="en-US" w:eastAsia="zh-CN"/>
        </w:rPr>
        <w:t>修、</w:t>
      </w:r>
      <w:r>
        <w:rPr>
          <w:rFonts w:hint="eastAsia" w:ascii="宋体" w:hAnsi="宋体" w:eastAsia="宋体" w:cs="宋体"/>
          <w:sz w:val="24"/>
          <w:szCs w:val="24"/>
          <w:highlight w:val="none"/>
        </w:rPr>
        <w:t>保</w:t>
      </w:r>
      <w:r>
        <w:rPr>
          <w:rFonts w:hint="eastAsia" w:ascii="宋体" w:hAnsi="宋体" w:eastAsia="宋体" w:cs="宋体"/>
          <w:sz w:val="24"/>
          <w:szCs w:val="24"/>
          <w:highlight w:val="none"/>
          <w:lang w:val="en-US" w:eastAsia="zh-CN"/>
        </w:rPr>
        <w:t>养</w:t>
      </w:r>
      <w:r>
        <w:rPr>
          <w:rFonts w:hint="eastAsia" w:ascii="宋体" w:hAnsi="宋体" w:eastAsia="宋体" w:cs="宋体"/>
          <w:sz w:val="24"/>
          <w:szCs w:val="24"/>
          <w:highlight w:val="none"/>
        </w:rPr>
        <w:t>后，需提供维</w:t>
      </w:r>
      <w:r>
        <w:rPr>
          <w:rFonts w:hint="eastAsia" w:ascii="宋体" w:hAnsi="宋体" w:eastAsia="宋体" w:cs="宋体"/>
          <w:sz w:val="24"/>
          <w:szCs w:val="24"/>
          <w:highlight w:val="none"/>
          <w:lang w:val="en-US" w:eastAsia="zh-CN"/>
        </w:rPr>
        <w:t>修、</w:t>
      </w:r>
      <w:r>
        <w:rPr>
          <w:rFonts w:hint="eastAsia" w:ascii="宋体" w:hAnsi="宋体" w:eastAsia="宋体" w:cs="宋体"/>
          <w:sz w:val="24"/>
          <w:szCs w:val="24"/>
          <w:highlight w:val="none"/>
        </w:rPr>
        <w:t>保</w:t>
      </w:r>
      <w:r>
        <w:rPr>
          <w:rFonts w:hint="eastAsia" w:ascii="宋体" w:hAnsi="宋体" w:eastAsia="宋体" w:cs="宋体"/>
          <w:sz w:val="24"/>
          <w:szCs w:val="24"/>
          <w:highlight w:val="none"/>
          <w:lang w:val="en-US" w:eastAsia="zh-CN"/>
        </w:rPr>
        <w:t>养记录单</w:t>
      </w:r>
      <w:r>
        <w:rPr>
          <w:rFonts w:hint="eastAsia" w:ascii="宋体" w:hAnsi="宋体" w:eastAsia="宋体" w:cs="宋体"/>
          <w:sz w:val="24"/>
          <w:szCs w:val="24"/>
          <w:highlight w:val="none"/>
        </w:rPr>
        <w:t>，经甲方验收</w:t>
      </w:r>
      <w:r>
        <w:rPr>
          <w:rFonts w:hint="eastAsia" w:ascii="宋体" w:hAnsi="宋体" w:eastAsia="宋体" w:cs="宋体"/>
          <w:sz w:val="24"/>
          <w:szCs w:val="24"/>
          <w:highlight w:val="none"/>
          <w:lang w:val="en-US" w:eastAsia="zh-CN"/>
        </w:rPr>
        <w:t>签字</w:t>
      </w:r>
      <w:r>
        <w:rPr>
          <w:rFonts w:hint="eastAsia" w:ascii="宋体" w:hAnsi="宋体" w:eastAsia="宋体" w:cs="宋体"/>
          <w:sz w:val="24"/>
          <w:szCs w:val="24"/>
          <w:highlight w:val="none"/>
        </w:rPr>
        <w:t>后生效。</w:t>
      </w:r>
    </w:p>
    <w:p w14:paraId="34DC17E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协助甲方提升设备管理及应用能力：乙方须依照设备种类、设备运转状态及设备管理人员能力，按照甲方要求提供培训服务，帮助甲方建立基础的维护能力，使具备基础的甲方设备工程师能够更准确地诊断问题，并具备解决初级问题及保养的能力。</w:t>
      </w:r>
    </w:p>
    <w:p w14:paraId="07F5BD2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三、</w:t>
      </w:r>
      <w:r>
        <w:rPr>
          <w:rFonts w:hint="eastAsia" w:ascii="宋体" w:hAnsi="宋体" w:eastAsia="宋体" w:cs="宋体"/>
          <w:b/>
          <w:sz w:val="24"/>
          <w:szCs w:val="24"/>
        </w:rPr>
        <w:t>甲方的权利义务</w:t>
      </w:r>
    </w:p>
    <w:p w14:paraId="26FC830B">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（一）甲方有权监督乙方按约定提供维保服务</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发出故障通知或提出建议</w:t>
      </w:r>
      <w:r>
        <w:rPr>
          <w:rFonts w:hint="eastAsia" w:ascii="宋体" w:hAnsi="宋体" w:eastAsia="宋体" w:cs="宋体"/>
          <w:sz w:val="24"/>
          <w:szCs w:val="24"/>
        </w:rPr>
        <w:t>。</w:t>
      </w:r>
    </w:p>
    <w:p w14:paraId="6891424E">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（二）在维保过程中履行协助义务。</w:t>
      </w:r>
    </w:p>
    <w:p w14:paraId="5C6814A2">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三）甲方免费享有乙方提供的系统安全必需软件和系统软硬件升级服务。</w:t>
      </w:r>
    </w:p>
    <w:p w14:paraId="28A12D5B">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（四）乙方在合同约定的时间内不能按时提供有效维保服务的，甲方有权另行聘请第三方维修，由此产生的全部维修费用及因此产生的全部损失由乙方承担。</w:t>
      </w:r>
    </w:p>
    <w:p w14:paraId="1B0DD29F">
      <w:pPr>
        <w:keepNext w:val="0"/>
        <w:keepLines w:val="0"/>
        <w:pageBreakBefore w:val="0"/>
        <w:widowControl w:val="0"/>
        <w:tabs>
          <w:tab w:val="left" w:pos="2152"/>
        </w:tabs>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四</w:t>
      </w:r>
      <w:r>
        <w:rPr>
          <w:rFonts w:hint="eastAsia" w:ascii="宋体" w:hAnsi="宋体" w:eastAsia="宋体" w:cs="宋体"/>
          <w:b/>
          <w:sz w:val="24"/>
          <w:szCs w:val="24"/>
        </w:rPr>
        <w:t>、乙方的权利义务</w:t>
      </w:r>
    </w:p>
    <w:p w14:paraId="0C00FDD8">
      <w:pPr>
        <w:keepNext w:val="0"/>
        <w:keepLines w:val="0"/>
        <w:pageBreakBefore w:val="0"/>
        <w:widowControl w:val="0"/>
        <w:tabs>
          <w:tab w:val="left" w:pos="2152"/>
        </w:tabs>
        <w:kinsoku/>
        <w:wordWrap/>
        <w:overflowPunct/>
        <w:topLinePunct w:val="0"/>
        <w:autoSpaceDE/>
        <w:autoSpaceDN/>
        <w:bidi w:val="0"/>
        <w:adjustRightInd/>
        <w:snapToGrid/>
        <w:spacing w:line="560" w:lineRule="exact"/>
        <w:ind w:left="0" w:leftChars="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（一）乙方</w:t>
      </w:r>
      <w:r>
        <w:rPr>
          <w:rFonts w:hint="eastAsia" w:ascii="宋体" w:hAnsi="宋体" w:eastAsia="宋体" w:cs="宋体"/>
          <w:sz w:val="24"/>
          <w:szCs w:val="24"/>
          <w:lang w:val="en-US" w:eastAsia="zh-CN"/>
        </w:rPr>
        <w:t>实施</w:t>
      </w:r>
      <w:r>
        <w:rPr>
          <w:rFonts w:hint="eastAsia" w:ascii="宋体" w:hAnsi="宋体" w:eastAsia="宋体" w:cs="宋体"/>
          <w:sz w:val="24"/>
          <w:szCs w:val="24"/>
        </w:rPr>
        <w:t>维保</w:t>
      </w:r>
      <w:r>
        <w:rPr>
          <w:rFonts w:hint="eastAsia" w:ascii="宋体" w:hAnsi="宋体" w:eastAsia="宋体" w:cs="宋体"/>
          <w:sz w:val="24"/>
          <w:szCs w:val="24"/>
          <w:lang w:val="en-US" w:eastAsia="zh-CN"/>
        </w:rPr>
        <w:t>后的</w:t>
      </w:r>
      <w:r>
        <w:rPr>
          <w:rFonts w:hint="eastAsia" w:ascii="宋体" w:hAnsi="宋体" w:eastAsia="宋体" w:cs="宋体"/>
          <w:sz w:val="24"/>
          <w:szCs w:val="24"/>
        </w:rPr>
        <w:t>设备应当</w:t>
      </w:r>
      <w:r>
        <w:rPr>
          <w:rFonts w:hint="eastAsia" w:ascii="宋体" w:hAnsi="宋体" w:eastAsia="宋体" w:cs="宋体"/>
          <w:sz w:val="24"/>
          <w:szCs w:val="24"/>
          <w:lang w:val="en-US" w:eastAsia="zh-CN"/>
        </w:rPr>
        <w:t>符合国家、地方或行业现行标准和设备制造单位的技术要求，</w:t>
      </w:r>
      <w:r>
        <w:rPr>
          <w:rFonts w:hint="eastAsia" w:ascii="宋体" w:hAnsi="宋体" w:eastAsia="宋体" w:cs="宋体"/>
          <w:sz w:val="24"/>
          <w:szCs w:val="24"/>
        </w:rPr>
        <w:t>遵守双方约定，保证维保质量。</w:t>
      </w:r>
    </w:p>
    <w:p w14:paraId="03F10483">
      <w:pPr>
        <w:keepNext w:val="0"/>
        <w:keepLines w:val="0"/>
        <w:pageBreakBefore w:val="0"/>
        <w:widowControl w:val="0"/>
        <w:tabs>
          <w:tab w:val="left" w:pos="2152"/>
        </w:tabs>
        <w:kinsoku/>
        <w:wordWrap/>
        <w:overflowPunct/>
        <w:topLinePunct w:val="0"/>
        <w:autoSpaceDE/>
        <w:autoSpaceDN/>
        <w:bidi w:val="0"/>
        <w:adjustRightInd/>
        <w:snapToGrid/>
        <w:spacing w:line="560" w:lineRule="exact"/>
        <w:ind w:left="0" w:leftChars="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（二）乙方承诺提供</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更换</w:t>
      </w:r>
      <w:r>
        <w:rPr>
          <w:rFonts w:hint="eastAsia" w:ascii="宋体" w:hAnsi="宋体" w:eastAsia="宋体" w:cs="宋体"/>
          <w:sz w:val="24"/>
          <w:szCs w:val="24"/>
        </w:rPr>
        <w:t>的配件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原材料等应</w:t>
      </w:r>
      <w:r>
        <w:rPr>
          <w:rFonts w:hint="eastAsia" w:ascii="宋体" w:hAnsi="宋体" w:eastAsia="宋体" w:cs="宋体"/>
          <w:sz w:val="24"/>
          <w:szCs w:val="24"/>
        </w:rPr>
        <w:t>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配件性质：如“</w:t>
      </w:r>
      <w:r>
        <w:rPr>
          <w:rFonts w:hint="eastAsia" w:ascii="宋体" w:hAnsi="宋体" w:eastAsia="宋体" w:cs="宋体"/>
          <w:color w:val="auto"/>
          <w:sz w:val="24"/>
          <w:szCs w:val="24"/>
          <w:highlight w:val="none"/>
          <w:u w:val="single"/>
        </w:rPr>
        <w:t>原厂全新配件或原厂测试合格件</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符合或优于国家（行业）标准</w:t>
      </w:r>
      <w:r>
        <w:rPr>
          <w:rFonts w:hint="eastAsia" w:ascii="宋体" w:hAnsi="宋体" w:eastAsia="宋体" w:cs="宋体"/>
          <w:sz w:val="24"/>
          <w:szCs w:val="24"/>
          <w:highlight w:val="none"/>
          <w:lang w:val="en-US" w:eastAsia="zh-CN"/>
        </w:rPr>
        <w:t>，保证设备经维修及保养后的技术参数与原机数据相同，并提供产品合格证（试验报告）等证明材料，经甲方验收确认后方可提供、更换</w:t>
      </w:r>
      <w:r>
        <w:rPr>
          <w:rFonts w:hint="eastAsia" w:ascii="宋体" w:hAnsi="宋体" w:eastAsia="宋体" w:cs="宋体"/>
          <w:sz w:val="24"/>
          <w:szCs w:val="24"/>
        </w:rPr>
        <w:t>。</w:t>
      </w:r>
      <w:r>
        <w:rPr>
          <w:rFonts w:hint="eastAsia" w:ascii="宋体" w:hAnsi="宋体" w:eastAsia="宋体" w:cs="宋体"/>
          <w:sz w:val="24"/>
          <w:szCs w:val="24"/>
          <w:lang w:val="en-US" w:eastAsia="zh-CN"/>
        </w:rPr>
        <w:t>如维保服务涉及计算机软件产品的，乙方须承诺在维保服务中设备安装的软件已获得软件厂商的正规授权。因乙方在维保服务中更换的备件或材料在质保期内并在正常使用情况下出现质量原因导致甲方或第三方财产或人身损害的，由乙方承担赔偿责任。</w:t>
      </w:r>
    </w:p>
    <w:p w14:paraId="2F270642">
      <w:pPr>
        <w:keepNext w:val="0"/>
        <w:keepLines w:val="0"/>
        <w:pageBreakBefore w:val="0"/>
        <w:widowControl w:val="0"/>
        <w:kinsoku/>
        <w:wordWrap/>
        <w:overflowPunct/>
        <w:topLinePunct w:val="0"/>
        <w:autoSpaceDE/>
        <w:autoSpaceDN/>
        <w:bidi w:val="0"/>
        <w:adjustRightInd/>
        <w:snapToGrid/>
        <w:spacing w:line="560" w:lineRule="exact"/>
        <w:ind w:left="0" w:leftChars="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rPr>
        <w:t>（三）乙方应确保</w:t>
      </w:r>
      <w:r>
        <w:rPr>
          <w:rFonts w:hint="eastAsia" w:ascii="宋体" w:hAnsi="宋体" w:eastAsia="宋体" w:cs="宋体"/>
          <w:sz w:val="24"/>
          <w:szCs w:val="24"/>
          <w:highlight w:val="none"/>
        </w:rPr>
        <w:t>维</w:t>
      </w:r>
      <w:r>
        <w:rPr>
          <w:rFonts w:hint="eastAsia" w:ascii="宋体" w:hAnsi="宋体" w:eastAsia="宋体" w:cs="宋体"/>
          <w:sz w:val="24"/>
          <w:szCs w:val="24"/>
          <w:highlight w:val="none"/>
          <w:lang w:val="en-US" w:eastAsia="zh-CN"/>
        </w:rPr>
        <w:t>修、保养</w:t>
      </w:r>
      <w:r>
        <w:rPr>
          <w:rFonts w:hint="eastAsia" w:ascii="宋体" w:hAnsi="宋体" w:eastAsia="宋体" w:cs="宋体"/>
          <w:sz w:val="24"/>
          <w:szCs w:val="24"/>
          <w:highlight w:val="none"/>
        </w:rPr>
        <w:t>过程及现场的安全，应在维</w:t>
      </w:r>
      <w:r>
        <w:rPr>
          <w:rFonts w:hint="eastAsia" w:ascii="宋体" w:hAnsi="宋体" w:eastAsia="宋体" w:cs="宋体"/>
          <w:sz w:val="24"/>
          <w:szCs w:val="24"/>
          <w:highlight w:val="none"/>
          <w:lang w:val="en-US" w:eastAsia="zh-CN"/>
        </w:rPr>
        <w:t>修、保养</w:t>
      </w:r>
      <w:r>
        <w:rPr>
          <w:rFonts w:hint="eastAsia" w:ascii="宋体" w:hAnsi="宋体" w:eastAsia="宋体" w:cs="宋体"/>
          <w:sz w:val="24"/>
          <w:szCs w:val="24"/>
          <w:highlight w:val="none"/>
        </w:rPr>
        <w:t>现</w:t>
      </w:r>
      <w:r>
        <w:rPr>
          <w:rFonts w:hint="eastAsia" w:ascii="宋体" w:hAnsi="宋体" w:eastAsia="宋体" w:cs="宋体"/>
          <w:sz w:val="24"/>
          <w:szCs w:val="24"/>
        </w:rPr>
        <w:t>场放置警示标示，</w:t>
      </w:r>
      <w:r>
        <w:rPr>
          <w:rFonts w:hint="eastAsia" w:ascii="宋体" w:hAnsi="宋体" w:eastAsia="宋体" w:cs="宋体"/>
          <w:sz w:val="24"/>
          <w:szCs w:val="24"/>
          <w:lang w:val="en-US" w:eastAsia="zh-CN"/>
        </w:rPr>
        <w:t>配备安全防护用品，采取必要的安全防护措施，杜绝安全事故发生。维保过程中需遵守甲方医院管理制度，避开诊疗高峰时段（</w:t>
      </w:r>
      <w:r>
        <w:rPr>
          <w:rFonts w:hint="eastAsia" w:ascii="宋体" w:hAnsi="宋体" w:eastAsia="宋体" w:cs="宋体"/>
          <w:sz w:val="24"/>
          <w:szCs w:val="24"/>
          <w:highlight w:val="none"/>
          <w:lang w:val="en-US" w:eastAsia="zh-CN"/>
        </w:rPr>
        <w:t>具</w:t>
      </w:r>
      <w:r>
        <w:rPr>
          <w:rFonts w:hint="eastAsia" w:ascii="宋体" w:hAnsi="宋体" w:eastAsia="宋体" w:cs="宋体"/>
          <w:sz w:val="24"/>
          <w:szCs w:val="24"/>
          <w:highlight w:val="none"/>
        </w:rPr>
        <w:t>体时段</w:t>
      </w:r>
      <w:r>
        <w:rPr>
          <w:rFonts w:hint="eastAsia" w:ascii="宋体" w:hAnsi="宋体" w:eastAsia="宋体" w:cs="宋体"/>
          <w:sz w:val="24"/>
          <w:szCs w:val="24"/>
          <w:highlight w:val="none"/>
          <w:lang w:val="en-US" w:eastAsia="zh-CN"/>
        </w:rPr>
        <w:t>与</w:t>
      </w:r>
      <w:r>
        <w:rPr>
          <w:rFonts w:hint="eastAsia" w:ascii="宋体" w:hAnsi="宋体" w:eastAsia="宋体" w:cs="宋体"/>
          <w:sz w:val="24"/>
          <w:szCs w:val="24"/>
          <w:highlight w:val="none"/>
        </w:rPr>
        <w:t>甲方提前</w:t>
      </w:r>
      <w:r>
        <w:rPr>
          <w:rFonts w:hint="eastAsia" w:ascii="宋体" w:hAnsi="宋体" w:eastAsia="宋体" w:cs="宋体"/>
          <w:sz w:val="24"/>
          <w:szCs w:val="24"/>
          <w:highlight w:val="none"/>
          <w:lang w:val="en-US" w:eastAsia="zh-CN"/>
        </w:rPr>
        <w:t>沟通），减少对甲方正常诊疗工作的影响。乙方在</w:t>
      </w:r>
      <w:r>
        <w:rPr>
          <w:rFonts w:hint="eastAsia" w:ascii="宋体" w:hAnsi="宋体" w:eastAsia="宋体" w:cs="宋体"/>
          <w:sz w:val="24"/>
          <w:szCs w:val="24"/>
          <w:highlight w:val="none"/>
        </w:rPr>
        <w:t>维</w:t>
      </w:r>
      <w:r>
        <w:rPr>
          <w:rFonts w:hint="eastAsia" w:ascii="宋体" w:hAnsi="宋体" w:eastAsia="宋体" w:cs="宋体"/>
          <w:sz w:val="24"/>
          <w:szCs w:val="24"/>
          <w:highlight w:val="none"/>
          <w:lang w:val="en-US" w:eastAsia="zh-CN"/>
        </w:rPr>
        <w:t>修、保养</w:t>
      </w:r>
      <w:r>
        <w:rPr>
          <w:rFonts w:hint="eastAsia" w:ascii="宋体" w:hAnsi="宋体" w:eastAsia="宋体" w:cs="宋体"/>
          <w:sz w:val="24"/>
          <w:szCs w:val="24"/>
          <w:lang w:val="en-US" w:eastAsia="zh-CN"/>
        </w:rPr>
        <w:t>期间因违规操作、设备故障、管理不当等引发的不安全因素及安全事故，由乙方承担全部责任；给甲方或第三方造成人身伤害、财产损失的，乙方需承担全部赔偿责任（包括但不限于医疗费、误工费、财产损失费、违约金等）。</w:t>
      </w:r>
      <w:r>
        <w:rPr>
          <w:rFonts w:hint="eastAsia" w:ascii="宋体" w:hAnsi="宋体" w:eastAsia="宋体" w:cs="宋体"/>
          <w:sz w:val="24"/>
          <w:szCs w:val="24"/>
        </w:rPr>
        <w:t>乙方工作人员为甲方服务期间，</w:t>
      </w:r>
      <w:r>
        <w:rPr>
          <w:rFonts w:hint="eastAsia" w:ascii="宋体" w:hAnsi="宋体" w:eastAsia="宋体" w:cs="宋体"/>
          <w:sz w:val="24"/>
          <w:szCs w:val="24"/>
          <w:highlight w:val="none"/>
        </w:rPr>
        <w:t>因维</w:t>
      </w:r>
      <w:r>
        <w:rPr>
          <w:rFonts w:hint="eastAsia" w:ascii="宋体" w:hAnsi="宋体" w:eastAsia="宋体" w:cs="宋体"/>
          <w:sz w:val="24"/>
          <w:szCs w:val="24"/>
          <w:highlight w:val="none"/>
          <w:lang w:val="en-US" w:eastAsia="zh-CN"/>
        </w:rPr>
        <w:t>修、保养</w:t>
      </w:r>
      <w:r>
        <w:rPr>
          <w:rFonts w:hint="eastAsia" w:ascii="宋体" w:hAnsi="宋体" w:eastAsia="宋体" w:cs="宋体"/>
          <w:sz w:val="24"/>
          <w:szCs w:val="24"/>
          <w:highlight w:val="none"/>
        </w:rPr>
        <w:t>工作发生工伤或财产损失的，责任均由乙方承担</w:t>
      </w:r>
      <w:r>
        <w:rPr>
          <w:rFonts w:hint="eastAsia" w:ascii="宋体" w:hAnsi="宋体" w:eastAsia="宋体" w:cs="宋体"/>
          <w:sz w:val="24"/>
          <w:szCs w:val="24"/>
          <w:highlight w:val="none"/>
          <w:lang w:eastAsia="zh-CN"/>
        </w:rPr>
        <w:t>。</w:t>
      </w:r>
    </w:p>
    <w:p w14:paraId="56967DB8">
      <w:pPr>
        <w:keepNext w:val="0"/>
        <w:keepLines w:val="0"/>
        <w:pageBreakBefore w:val="0"/>
        <w:widowControl w:val="0"/>
        <w:kinsoku/>
        <w:wordWrap/>
        <w:overflowPunct/>
        <w:topLinePunct w:val="0"/>
        <w:autoSpaceDE/>
        <w:autoSpaceDN/>
        <w:bidi w:val="0"/>
        <w:adjustRightInd/>
        <w:snapToGrid/>
        <w:spacing w:line="560" w:lineRule="exact"/>
        <w:ind w:left="0" w:leftChars="0" w:firstLine="240" w:firstLineChars="100"/>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rPr>
        <w:t>（四）因乙方原因导致</w:t>
      </w:r>
      <w:r>
        <w:rPr>
          <w:rFonts w:hint="eastAsia" w:ascii="宋体" w:hAnsi="宋体" w:eastAsia="宋体" w:cs="宋体"/>
          <w:sz w:val="24"/>
          <w:szCs w:val="24"/>
          <w:highlight w:val="none"/>
          <w:lang w:val="en-US" w:eastAsia="zh-CN"/>
        </w:rPr>
        <w:t>维保</w:t>
      </w:r>
      <w:r>
        <w:rPr>
          <w:rFonts w:hint="eastAsia" w:ascii="宋体" w:hAnsi="宋体" w:eastAsia="宋体" w:cs="宋体"/>
          <w:sz w:val="24"/>
          <w:szCs w:val="24"/>
          <w:highlight w:val="none"/>
        </w:rPr>
        <w:t>设备出现质量问题给甲方及任何第三人造成人身伤害和财产损失的，乙方承担全部赔偿责任</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甲方因此遭受第三方索赔的，有权向乙方追偿</w:t>
      </w:r>
      <w:r>
        <w:rPr>
          <w:rFonts w:hint="eastAsia" w:ascii="宋体" w:hAnsi="宋体" w:eastAsia="宋体" w:cs="宋体"/>
          <w:sz w:val="24"/>
          <w:szCs w:val="24"/>
          <w:highlight w:val="none"/>
        </w:rPr>
        <w:t>。若乙方在</w:t>
      </w:r>
      <w:r>
        <w:rPr>
          <w:rFonts w:hint="eastAsia" w:ascii="宋体" w:hAnsi="宋体" w:eastAsia="宋体" w:cs="宋体"/>
          <w:sz w:val="24"/>
          <w:szCs w:val="24"/>
          <w:highlight w:val="none"/>
          <w:lang w:val="en-US" w:eastAsia="zh-CN"/>
        </w:rPr>
        <w:t>维保</w:t>
      </w:r>
      <w:r>
        <w:rPr>
          <w:rFonts w:hint="eastAsia" w:ascii="宋体" w:hAnsi="宋体" w:eastAsia="宋体" w:cs="宋体"/>
          <w:sz w:val="24"/>
          <w:szCs w:val="24"/>
          <w:highlight w:val="none"/>
        </w:rPr>
        <w:t>过</w:t>
      </w:r>
      <w:r>
        <w:rPr>
          <w:rFonts w:hint="eastAsia" w:ascii="宋体" w:hAnsi="宋体" w:eastAsia="宋体" w:cs="宋体"/>
          <w:sz w:val="24"/>
          <w:szCs w:val="24"/>
        </w:rPr>
        <w:t>程中造成甲方设备损坏的，乙方承担全部赔偿责任</w:t>
      </w:r>
      <w:r>
        <w:rPr>
          <w:rFonts w:hint="eastAsia" w:ascii="宋体" w:hAnsi="宋体" w:eastAsia="宋体" w:cs="宋体"/>
          <w:sz w:val="24"/>
          <w:szCs w:val="24"/>
          <w:lang w:eastAsia="zh-CN"/>
        </w:rPr>
        <w:t>，</w:t>
      </w:r>
      <w:r>
        <w:rPr>
          <w:rFonts w:hint="eastAsia" w:ascii="宋体" w:hAnsi="宋体" w:eastAsia="宋体" w:cs="宋体"/>
          <w:sz w:val="24"/>
          <w:szCs w:val="24"/>
          <w:highlight w:val="none"/>
          <w:u w:val="none"/>
          <w:lang w:eastAsia="zh-CN"/>
        </w:rPr>
        <w:t>并负责在甲方要求的合理期限内免费修复，</w:t>
      </w:r>
      <w:r>
        <w:rPr>
          <w:rFonts w:hint="eastAsia" w:ascii="宋体" w:hAnsi="宋体" w:eastAsia="宋体" w:cs="宋体"/>
          <w:sz w:val="24"/>
          <w:szCs w:val="24"/>
          <w:highlight w:val="none"/>
          <w:u w:val="none"/>
          <w:lang w:val="en-US" w:eastAsia="zh-CN"/>
        </w:rPr>
        <w:t>必要时根据甲方要求提供紧急替代方式，以保障甲方业务的正常开展</w:t>
      </w:r>
      <w:r>
        <w:rPr>
          <w:rFonts w:hint="eastAsia" w:ascii="宋体" w:hAnsi="宋体" w:eastAsia="宋体" w:cs="宋体"/>
          <w:sz w:val="24"/>
          <w:szCs w:val="24"/>
          <w:highlight w:val="none"/>
          <w:u w:val="none"/>
        </w:rPr>
        <w:t>。</w:t>
      </w:r>
    </w:p>
    <w:p w14:paraId="2AC74F0E">
      <w:pPr>
        <w:keepNext w:val="0"/>
        <w:keepLines w:val="0"/>
        <w:pageBreakBefore w:val="0"/>
        <w:widowControl w:val="0"/>
        <w:kinsoku/>
        <w:wordWrap/>
        <w:overflowPunct/>
        <w:topLinePunct w:val="0"/>
        <w:autoSpaceDE/>
        <w:autoSpaceDN/>
        <w:bidi w:val="0"/>
        <w:adjustRightInd/>
        <w:snapToGrid/>
        <w:spacing w:line="560" w:lineRule="exact"/>
        <w:ind w:left="0" w:leftChars="0" w:firstLine="240" w:firstLineChars="1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五）</w:t>
      </w:r>
      <w:r>
        <w:rPr>
          <w:rFonts w:hint="eastAsia" w:ascii="宋体" w:hAnsi="宋体" w:eastAsia="宋体" w:cs="宋体"/>
          <w:sz w:val="24"/>
          <w:szCs w:val="24"/>
        </w:rPr>
        <w:t>乙方应设立服务投诉电话接受甲方用户对</w:t>
      </w:r>
      <w:r>
        <w:rPr>
          <w:rFonts w:hint="eastAsia" w:ascii="宋体" w:hAnsi="宋体" w:eastAsia="宋体" w:cs="宋体"/>
          <w:sz w:val="24"/>
          <w:szCs w:val="24"/>
          <w:highlight w:val="none"/>
          <w:lang w:val="en-US" w:eastAsia="zh-CN"/>
        </w:rPr>
        <w:t>维保</w:t>
      </w:r>
      <w:r>
        <w:rPr>
          <w:rFonts w:hint="eastAsia" w:ascii="宋体" w:hAnsi="宋体" w:eastAsia="宋体" w:cs="宋体"/>
          <w:sz w:val="24"/>
          <w:szCs w:val="24"/>
          <w:highlight w:val="none"/>
        </w:rPr>
        <w:t>服</w:t>
      </w:r>
      <w:r>
        <w:rPr>
          <w:rFonts w:hint="eastAsia" w:ascii="宋体" w:hAnsi="宋体" w:eastAsia="宋体" w:cs="宋体"/>
          <w:sz w:val="24"/>
          <w:szCs w:val="24"/>
        </w:rPr>
        <w:t>务的投诉，并对投诉进行调查、处理和反馈。一旦发生投诉，乙方应立即响应，采取补救措施。投诉处理电话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p>
    <w:p w14:paraId="51326F29">
      <w:pPr>
        <w:keepNext w:val="0"/>
        <w:keepLines w:val="0"/>
        <w:pageBreakBefore w:val="0"/>
        <w:widowControl w:val="0"/>
        <w:kinsoku/>
        <w:wordWrap/>
        <w:overflowPunct/>
        <w:topLinePunct w:val="0"/>
        <w:autoSpaceDE/>
        <w:autoSpaceDN/>
        <w:bidi w:val="0"/>
        <w:adjustRightInd/>
        <w:snapToGrid/>
        <w:spacing w:line="560" w:lineRule="exact"/>
        <w:ind w:left="0" w:leftChars="0"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六）</w:t>
      </w:r>
      <w:r>
        <w:rPr>
          <w:rFonts w:hint="eastAsia" w:ascii="宋体" w:hAnsi="宋体" w:eastAsia="宋体" w:cs="宋体"/>
          <w:sz w:val="24"/>
          <w:szCs w:val="24"/>
        </w:rPr>
        <w:t>乙方及其工作人员在为甲方维保服务期间所获得的资料、信息、技术秘密、商业机密等应全部保密。否则，造成甲方损失的，乙方赔偿甲方全部损失。并且应按照合同总价</w:t>
      </w:r>
      <w:r>
        <w:rPr>
          <w:rFonts w:hint="eastAsia" w:cs="宋体"/>
          <w:sz w:val="24"/>
          <w:szCs w:val="24"/>
          <w:lang w:val="en-US" w:eastAsia="zh-CN"/>
        </w:rPr>
        <w:t>5</w:t>
      </w:r>
      <w:r>
        <w:rPr>
          <w:rFonts w:hint="eastAsia" w:ascii="宋体" w:hAnsi="宋体" w:eastAsia="宋体" w:cs="宋体"/>
          <w:sz w:val="24"/>
          <w:szCs w:val="24"/>
        </w:rPr>
        <w:t>%支付违约金。</w:t>
      </w:r>
    </w:p>
    <w:p w14:paraId="51418294">
      <w:pPr>
        <w:keepNext w:val="0"/>
        <w:keepLines w:val="0"/>
        <w:pageBreakBefore w:val="0"/>
        <w:widowControl w:val="0"/>
        <w:tabs>
          <w:tab w:val="left" w:pos="2152"/>
        </w:tabs>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五</w:t>
      </w:r>
      <w:r>
        <w:rPr>
          <w:rFonts w:hint="eastAsia" w:ascii="宋体" w:hAnsi="宋体" w:eastAsia="宋体" w:cs="宋体"/>
          <w:b/>
          <w:sz w:val="24"/>
          <w:szCs w:val="24"/>
        </w:rPr>
        <w:t>、收付款条款</w:t>
      </w:r>
      <w:r>
        <w:rPr>
          <w:rFonts w:hint="eastAsia" w:ascii="宋体" w:hAnsi="宋体" w:eastAsia="宋体" w:cs="宋体"/>
          <w:b/>
          <w:sz w:val="24"/>
          <w:szCs w:val="24"/>
        </w:rPr>
        <w:tab/>
      </w:r>
    </w:p>
    <w:p w14:paraId="3043419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合同总金额为人民币小</w:t>
      </w:r>
      <w:r>
        <w:rPr>
          <w:rFonts w:hint="eastAsia" w:ascii="宋体" w:hAnsi="宋体" w:eastAsia="宋体" w:cs="宋体"/>
          <w:sz w:val="24"/>
          <w:szCs w:val="24"/>
          <w:highlight w:val="none"/>
        </w:rPr>
        <w:t>写：</w:t>
      </w:r>
      <w:r>
        <w:rPr>
          <w:rFonts w:hint="eastAsia" w:ascii="宋体" w:hAnsi="宋体" w:eastAsia="宋体" w:cs="宋体"/>
          <w:color w:val="000000"/>
          <w:sz w:val="24"/>
          <w:szCs w:val="24"/>
          <w:highlight w:val="none"/>
          <w:u w:val="single"/>
        </w:rPr>
        <w:t xml:space="preserve">     元</w:t>
      </w:r>
      <w:r>
        <w:rPr>
          <w:rFonts w:hint="eastAsia" w:ascii="宋体" w:hAnsi="宋体" w:eastAsia="宋体" w:cs="宋体"/>
          <w:sz w:val="24"/>
          <w:szCs w:val="24"/>
          <w:highlight w:val="none"/>
        </w:rPr>
        <w:t>,大写：</w:t>
      </w:r>
      <w:r>
        <w:rPr>
          <w:rFonts w:hint="eastAsia" w:ascii="宋体" w:hAnsi="宋体" w:eastAsia="宋体" w:cs="宋体"/>
          <w:color w:val="000000"/>
          <w:sz w:val="24"/>
          <w:szCs w:val="24"/>
          <w:highlight w:val="none"/>
          <w:u w:val="single"/>
        </w:rPr>
        <w:t xml:space="preserve">     元整</w:t>
      </w:r>
      <w:r>
        <w:rPr>
          <w:rFonts w:hint="eastAsia" w:ascii="宋体" w:hAnsi="宋体" w:eastAsia="宋体"/>
          <w:color w:val="000000"/>
          <w:sz w:val="24"/>
          <w:szCs w:val="24"/>
          <w:highlight w:val="none"/>
          <w:u w:val="single"/>
          <w:lang w:eastAsia="zh-CN"/>
        </w:rPr>
        <w:t>（</w:t>
      </w:r>
      <w:r>
        <w:rPr>
          <w:rFonts w:hint="eastAsia" w:ascii="宋体" w:hAnsi="宋体" w:eastAsia="宋体"/>
          <w:color w:val="000000"/>
          <w:sz w:val="24"/>
          <w:szCs w:val="24"/>
          <w:highlight w:val="none"/>
          <w:u w:val="single"/>
          <w:lang w:val="en-US" w:eastAsia="zh-CN"/>
        </w:rPr>
        <w:t>含税）</w:t>
      </w:r>
      <w:r>
        <w:rPr>
          <w:rFonts w:hint="eastAsia" w:ascii="宋体" w:hAnsi="宋体" w:eastAsia="宋体" w:cs="宋体"/>
          <w:sz w:val="24"/>
          <w:szCs w:val="24"/>
        </w:rPr>
        <w:t>。合同总价</w:t>
      </w:r>
      <w:r>
        <w:rPr>
          <w:rFonts w:hint="eastAsia" w:ascii="宋体" w:hAnsi="宋体" w:eastAsia="宋体" w:cs="宋体"/>
          <w:sz w:val="24"/>
          <w:szCs w:val="24"/>
          <w:lang w:val="en-US" w:eastAsia="zh-CN"/>
        </w:rPr>
        <w:t>为</w:t>
      </w:r>
      <w:r>
        <w:rPr>
          <w:rFonts w:hint="eastAsia" w:ascii="宋体" w:hAnsi="宋体" w:eastAsia="宋体" w:cs="宋体"/>
          <w:sz w:val="24"/>
          <w:szCs w:val="24"/>
        </w:rPr>
        <w:t>一次性包死，不受市场价格变化等因素的影响。</w:t>
      </w:r>
      <w:r>
        <w:rPr>
          <w:rFonts w:hint="eastAsia" w:ascii="宋体" w:hAnsi="宋体" w:eastAsia="宋体" w:cs="宋体"/>
          <w:sz w:val="24"/>
          <w:szCs w:val="24"/>
          <w:lang w:val="en-US" w:eastAsia="zh-CN"/>
        </w:rPr>
        <w:t>该金额为乙方提供本合同项下服务所涉全部费用，包括但不限于日常巡查、检测、调试、培训、维保的人工费、交通费、差旅费、耗材费、设备仪器费、利润、税金等相关费用，除此之外，甲方不再另行支付其他任何费用。</w:t>
      </w:r>
    </w:p>
    <w:p w14:paraId="35B4E4B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（一）乙方须提供收款地、公司名称、收款方式、收款发票。</w:t>
      </w:r>
      <w:r>
        <w:rPr>
          <w:rFonts w:hint="eastAsia" w:ascii="宋体" w:hAnsi="宋体" w:eastAsia="宋体" w:cs="宋体"/>
          <w:sz w:val="24"/>
          <w:szCs w:val="24"/>
          <w:lang w:val="en-US" w:eastAsia="zh-CN"/>
        </w:rPr>
        <w:t>如乙方上述资料信息发生变更，须提前10个工作日书面通知甲方，否则一切后果由乙方承担。</w:t>
      </w:r>
    </w:p>
    <w:p w14:paraId="265C229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none"/>
        </w:rPr>
        <w:t>（二）</w:t>
      </w:r>
      <w:r>
        <w:rPr>
          <w:rFonts w:hint="eastAsia" w:asciiTheme="minorEastAsia" w:hAnsiTheme="minorEastAsia" w:eastAsiaTheme="minorEastAsia" w:cstheme="minorEastAsia"/>
          <w:sz w:val="24"/>
          <w:szCs w:val="24"/>
          <w:highlight w:val="none"/>
        </w:rPr>
        <w:t>付款方</w:t>
      </w:r>
      <w:r>
        <w:rPr>
          <w:rFonts w:hint="eastAsia" w:asciiTheme="minorEastAsia" w:hAnsiTheme="minorEastAsia" w:eastAsiaTheme="minorEastAsia" w:cstheme="minorEastAsia"/>
          <w:kern w:val="28"/>
          <w:sz w:val="24"/>
          <w:szCs w:val="24"/>
          <w:highlight w:val="none"/>
          <w:u w:val="none"/>
          <w:lang w:eastAsia="zh-CN"/>
        </w:rPr>
        <w:t>式：</w:t>
      </w:r>
      <w:r>
        <w:rPr>
          <w:rFonts w:hint="eastAsia" w:asciiTheme="minorEastAsia" w:hAnsiTheme="minorEastAsia" w:eastAsiaTheme="minorEastAsia" w:cstheme="minorEastAsia"/>
          <w:color w:val="000000"/>
          <w:kern w:val="0"/>
          <w:sz w:val="24"/>
          <w:szCs w:val="24"/>
          <w:highlight w:val="none"/>
          <w:lang w:val="en-US" w:eastAsia="zh-CN" w:bidi="ar"/>
        </w:rPr>
        <w:t>本合同签订之日起30日内，采购人向成交供应商支付合同总价款的40%；成交供应商按合同约定提供维保服务，并确保设备开机率达到合同约定标准。履约满半年，由采购人对成交供应商服务进行半年度考核；成交供应商完整提交维保记录、维保报告等全套资料，经采购人验收合格并签字确认、归档形成正式验收文件后，采购人支付合同总价款的50%；合同履约年度最后一个月开展年度服务考核，成交供应商完成全年维保服务并提交全部维保记录、维保报告等资料，经采购人验收合格、签字确认并形成正式验收文件，合同履约期满且收到成交供应商开具的合法合规等额正规发票之日起30日内，采购人支付合同总价款剩余10%尾款。</w:t>
      </w:r>
    </w:p>
    <w:p w14:paraId="32FD15B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（三）乙方应于甲方付款前</w:t>
      </w:r>
      <w:r>
        <w:rPr>
          <w:rFonts w:hint="eastAsia" w:ascii="宋体" w:hAnsi="宋体" w:eastAsia="宋体" w:cs="宋体"/>
          <w:sz w:val="24"/>
          <w:szCs w:val="24"/>
          <w:u w:val="single"/>
        </w:rPr>
        <w:t>30</w:t>
      </w:r>
      <w:r>
        <w:rPr>
          <w:rFonts w:hint="eastAsia" w:ascii="宋体" w:hAnsi="宋体" w:eastAsia="宋体" w:cs="宋体"/>
          <w:sz w:val="24"/>
          <w:szCs w:val="24"/>
        </w:rPr>
        <w:t>日内提供</w:t>
      </w:r>
      <w:r>
        <w:rPr>
          <w:rFonts w:hint="eastAsia" w:ascii="宋体" w:hAnsi="宋体" w:eastAsia="宋体" w:cs="宋体"/>
          <w:sz w:val="24"/>
          <w:szCs w:val="24"/>
          <w:lang w:val="en-US" w:eastAsia="zh-CN"/>
        </w:rPr>
        <w:t>符合甲方要求的正式合法</w:t>
      </w:r>
      <w:r>
        <w:rPr>
          <w:rFonts w:hint="eastAsia" w:ascii="宋体" w:hAnsi="宋体" w:eastAsia="宋体" w:cs="宋体"/>
          <w:sz w:val="24"/>
          <w:szCs w:val="24"/>
        </w:rPr>
        <w:t>发票，否则，甲方有权拒绝付款，且不承担任何责任。</w:t>
      </w:r>
    </w:p>
    <w:p w14:paraId="28A2ABD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（四）付款方式：银行转账。</w:t>
      </w:r>
    </w:p>
    <w:p w14:paraId="1BCF63FC">
      <w:pPr>
        <w:keepNext w:val="0"/>
        <w:keepLines w:val="0"/>
        <w:pageBreakBefore w:val="0"/>
        <w:widowControl w:val="0"/>
        <w:tabs>
          <w:tab w:val="left" w:pos="2152"/>
        </w:tabs>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乙方账号：</w:t>
      </w:r>
    </w:p>
    <w:p w14:paraId="07E62134">
      <w:pPr>
        <w:keepNext w:val="0"/>
        <w:keepLines w:val="0"/>
        <w:pageBreakBefore w:val="0"/>
        <w:widowControl w:val="0"/>
        <w:tabs>
          <w:tab w:val="left" w:pos="2152"/>
        </w:tabs>
        <w:kinsoku/>
        <w:wordWrap/>
        <w:overflowPunct/>
        <w:topLinePunct w:val="0"/>
        <w:autoSpaceDE/>
        <w:autoSpaceDN/>
        <w:bidi w:val="0"/>
        <w:adjustRightInd/>
        <w:snapToGrid/>
        <w:spacing w:line="560" w:lineRule="exact"/>
        <w:ind w:left="0" w:leftChars="0" w:firstLine="723" w:firstLineChars="300"/>
        <w:jc w:val="left"/>
        <w:textAlignment w:val="auto"/>
        <w:rPr>
          <w:rFonts w:hint="eastAsia" w:ascii="宋体" w:hAnsi="宋体" w:eastAsia="宋体" w:cs="宋体"/>
          <w:bCs/>
          <w:sz w:val="24"/>
          <w:szCs w:val="24"/>
        </w:rPr>
      </w:pPr>
      <w:r>
        <w:rPr>
          <w:rFonts w:hint="eastAsia" w:ascii="宋体" w:hAnsi="宋体" w:eastAsia="宋体" w:cs="宋体"/>
          <w:b/>
          <w:bCs/>
          <w:sz w:val="24"/>
          <w:szCs w:val="24"/>
        </w:rPr>
        <w:t>开户银行：</w:t>
      </w:r>
    </w:p>
    <w:p w14:paraId="53AA347A">
      <w:pPr>
        <w:keepNext w:val="0"/>
        <w:keepLines w:val="0"/>
        <w:pageBreakBefore w:val="0"/>
        <w:widowControl w:val="0"/>
        <w:tabs>
          <w:tab w:val="left" w:pos="2152"/>
        </w:tabs>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b/>
          <w:sz w:val="24"/>
          <w:szCs w:val="24"/>
        </w:rPr>
        <w:t>六、验收</w:t>
      </w:r>
    </w:p>
    <w:p w14:paraId="007C0EF4">
      <w:pPr>
        <w:keepNext w:val="0"/>
        <w:keepLines w:val="0"/>
        <w:pageBreakBefore w:val="0"/>
        <w:widowControl w:val="0"/>
        <w:tabs>
          <w:tab w:val="left" w:pos="2152"/>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b/>
          <w:sz w:val="24"/>
          <w:szCs w:val="24"/>
        </w:rPr>
      </w:pPr>
      <w:r>
        <w:rPr>
          <w:rFonts w:hint="eastAsia" w:ascii="宋体" w:hAnsi="宋体" w:eastAsia="宋体" w:cs="宋体"/>
          <w:sz w:val="24"/>
          <w:szCs w:val="24"/>
        </w:rPr>
        <w:t>（一）乙方完成维保后向甲方出具书面《维保记录单》</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合同要求的相关报告等</w:t>
      </w:r>
      <w:r>
        <w:rPr>
          <w:rFonts w:hint="eastAsia" w:ascii="宋体" w:hAnsi="宋体" w:eastAsia="宋体" w:cs="宋体"/>
          <w:sz w:val="24"/>
          <w:szCs w:val="24"/>
        </w:rPr>
        <w:t>，并通知甲方验收；经验收合格，甲方签字确认作为对乙方维保的最终认可；若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w:t>
      </w:r>
      <w:r>
        <w:rPr>
          <w:rFonts w:hint="eastAsia" w:ascii="宋体" w:hAnsi="宋体" w:eastAsia="宋体" w:cs="宋体"/>
          <w:sz w:val="24"/>
          <w:szCs w:val="24"/>
          <w:lang w:val="en-US" w:eastAsia="zh-CN"/>
        </w:rPr>
        <w:t>单方</w:t>
      </w:r>
      <w:r>
        <w:rPr>
          <w:rFonts w:hint="eastAsia" w:ascii="宋体" w:hAnsi="宋体" w:eastAsia="宋体" w:cs="宋体"/>
          <w:sz w:val="24"/>
          <w:szCs w:val="24"/>
        </w:rPr>
        <w:t>终止本合同并视作乙方无法按本合同约定提供相应服务而须支付合同总价</w:t>
      </w:r>
      <w:r>
        <w:rPr>
          <w:rFonts w:hint="eastAsia" w:cs="宋体"/>
          <w:sz w:val="24"/>
          <w:szCs w:val="24"/>
          <w:u w:val="single"/>
          <w:lang w:val="en-US" w:eastAsia="zh-CN"/>
        </w:rPr>
        <w:t>5</w:t>
      </w:r>
      <w:r>
        <w:rPr>
          <w:rFonts w:hint="eastAsia" w:ascii="宋体" w:hAnsi="宋体" w:eastAsia="宋体" w:cs="宋体"/>
          <w:sz w:val="24"/>
          <w:szCs w:val="24"/>
        </w:rPr>
        <w:t>%的违约金给甲方，违约金不能弥补甲方损失的，乙方应全额赔偿。</w:t>
      </w:r>
    </w:p>
    <w:p w14:paraId="350B5328">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（二）验收标准：以</w:t>
      </w:r>
      <w:r>
        <w:rPr>
          <w:rFonts w:hint="eastAsia" w:ascii="宋体" w:hAnsi="宋体" w:eastAsia="宋体" w:cs="宋体"/>
          <w:sz w:val="24"/>
          <w:szCs w:val="24"/>
          <w:highlight w:val="none"/>
          <w:lang w:val="en-US" w:eastAsia="zh-CN"/>
        </w:rPr>
        <w:t>设备完成保养、正常安全运行</w:t>
      </w:r>
      <w:r>
        <w:rPr>
          <w:rFonts w:hint="eastAsia" w:ascii="宋体" w:hAnsi="宋体" w:eastAsia="宋体" w:cs="宋体"/>
          <w:sz w:val="24"/>
          <w:szCs w:val="24"/>
          <w:highlight w:val="none"/>
        </w:rPr>
        <w:t>为</w:t>
      </w:r>
      <w:r>
        <w:rPr>
          <w:rFonts w:hint="eastAsia" w:ascii="宋体" w:hAnsi="宋体" w:eastAsia="宋体" w:cs="宋体"/>
          <w:sz w:val="24"/>
          <w:szCs w:val="24"/>
        </w:rPr>
        <w:t>准。</w:t>
      </w:r>
      <w:r>
        <w:rPr>
          <w:rFonts w:hint="eastAsia" w:ascii="宋体" w:hAnsi="宋体" w:eastAsia="宋体" w:cs="宋体"/>
          <w:sz w:val="24"/>
          <w:szCs w:val="24"/>
          <w:lang w:val="en-US" w:eastAsia="zh-CN"/>
        </w:rPr>
        <w:t>保证维保后的设备应符合：</w:t>
      </w:r>
    </w:p>
    <w:p w14:paraId="3CAA185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国家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地方、行业等</w:t>
      </w:r>
      <w:r>
        <w:rPr>
          <w:rFonts w:hint="eastAsia" w:ascii="宋体" w:hAnsi="宋体" w:eastAsia="宋体" w:cs="宋体"/>
          <w:sz w:val="24"/>
          <w:szCs w:val="24"/>
        </w:rPr>
        <w:t>相关</w:t>
      </w:r>
      <w:r>
        <w:rPr>
          <w:rFonts w:hint="eastAsia" w:ascii="宋体" w:hAnsi="宋体" w:eastAsia="宋体" w:cs="宋体"/>
          <w:sz w:val="24"/>
          <w:szCs w:val="24"/>
          <w:lang w:val="en-US" w:eastAsia="zh-CN"/>
        </w:rPr>
        <w:t>现行</w:t>
      </w:r>
      <w:r>
        <w:rPr>
          <w:rFonts w:hint="eastAsia" w:ascii="宋体" w:hAnsi="宋体" w:eastAsia="宋体" w:cs="宋体"/>
          <w:sz w:val="24"/>
          <w:szCs w:val="24"/>
        </w:rPr>
        <w:t>法律法规、行业标准、技术规范。</w:t>
      </w:r>
    </w:p>
    <w:p w14:paraId="4EF8528C">
      <w:pPr>
        <w:keepNext w:val="0"/>
        <w:keepLines w:val="0"/>
        <w:pageBreakBefore w:val="0"/>
        <w:widowControl w:val="0"/>
        <w:tabs>
          <w:tab w:val="left" w:pos="672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2.设备使用</w:t>
      </w:r>
      <w:r>
        <w:rPr>
          <w:rFonts w:hint="eastAsia" w:ascii="宋体" w:hAnsi="宋体" w:eastAsia="宋体" w:cs="宋体"/>
          <w:sz w:val="24"/>
          <w:szCs w:val="24"/>
        </w:rPr>
        <w:t>说明书、技术白皮书、医疗器械注册证或备案凭证等技术资料。</w:t>
      </w:r>
    </w:p>
    <w:p w14:paraId="3CD8E21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3.甲方确定的其他技术标准。</w:t>
      </w:r>
    </w:p>
    <w:p w14:paraId="69A93A7E">
      <w:pPr>
        <w:keepNext w:val="0"/>
        <w:keepLines w:val="0"/>
        <w:pageBreakBefore w:val="0"/>
        <w:widowControl w:val="0"/>
        <w:kinsoku/>
        <w:wordWrap/>
        <w:overflowPunct/>
        <w:topLinePunct w:val="0"/>
        <w:autoSpaceDE/>
        <w:autoSpaceDN/>
        <w:bidi w:val="0"/>
        <w:adjustRightInd/>
        <w:snapToGrid/>
        <w:spacing w:line="560" w:lineRule="exact"/>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（三）未经甲方书面同意，乙方不能擅自将设备维保的</w:t>
      </w:r>
      <w:r>
        <w:rPr>
          <w:rFonts w:hint="eastAsia" w:ascii="宋体" w:hAnsi="宋体" w:eastAsia="宋体" w:cs="宋体"/>
          <w:sz w:val="24"/>
          <w:szCs w:val="24"/>
          <w:lang w:val="en-US" w:eastAsia="zh-CN"/>
        </w:rPr>
        <w:t>相关</w:t>
      </w:r>
      <w:r>
        <w:rPr>
          <w:rFonts w:hint="eastAsia" w:ascii="宋体" w:hAnsi="宋体" w:eastAsia="宋体" w:cs="宋体"/>
          <w:sz w:val="24"/>
          <w:szCs w:val="24"/>
        </w:rPr>
        <w:t>工作</w:t>
      </w:r>
      <w:r>
        <w:rPr>
          <w:rFonts w:hint="eastAsia" w:ascii="宋体" w:hAnsi="宋体" w:eastAsia="宋体" w:cs="宋体"/>
          <w:sz w:val="24"/>
          <w:szCs w:val="24"/>
          <w:lang w:val="en-US" w:eastAsia="zh-CN"/>
        </w:rPr>
        <w:t>以任何形式转包或分包</w:t>
      </w:r>
      <w:r>
        <w:rPr>
          <w:rFonts w:hint="eastAsia" w:ascii="宋体" w:hAnsi="宋体" w:eastAsia="宋体" w:cs="宋体"/>
          <w:sz w:val="24"/>
          <w:szCs w:val="24"/>
        </w:rPr>
        <w:t>给第三方，否则，甲方有权</w:t>
      </w:r>
      <w:r>
        <w:rPr>
          <w:rFonts w:hint="eastAsia" w:ascii="宋体" w:hAnsi="宋体" w:eastAsia="宋体" w:cs="宋体"/>
          <w:sz w:val="24"/>
          <w:szCs w:val="24"/>
          <w:lang w:val="en-US" w:eastAsia="zh-CN"/>
        </w:rPr>
        <w:t>单方</w:t>
      </w:r>
      <w:r>
        <w:rPr>
          <w:rFonts w:hint="eastAsia" w:ascii="宋体" w:hAnsi="宋体" w:eastAsia="宋体" w:cs="宋体"/>
          <w:sz w:val="24"/>
          <w:szCs w:val="24"/>
        </w:rPr>
        <w:t>解除合同，合同自书面解除通知送达乙方之日起解除，乙方应按照合同总价的</w:t>
      </w:r>
      <w:r>
        <w:rPr>
          <w:rFonts w:hint="eastAsia" w:cs="宋体"/>
          <w:sz w:val="24"/>
          <w:szCs w:val="24"/>
          <w:u w:val="single"/>
          <w:lang w:val="en-US" w:eastAsia="zh-CN"/>
        </w:rPr>
        <w:t>5</w:t>
      </w:r>
      <w:r>
        <w:rPr>
          <w:rFonts w:hint="eastAsia" w:ascii="宋体" w:hAnsi="宋体" w:eastAsia="宋体" w:cs="宋体"/>
          <w:sz w:val="24"/>
          <w:szCs w:val="24"/>
          <w:u w:val="single"/>
        </w:rPr>
        <w:t>%</w:t>
      </w:r>
      <w:r>
        <w:rPr>
          <w:rFonts w:hint="eastAsia" w:ascii="宋体" w:hAnsi="宋体" w:eastAsia="宋体" w:cs="宋体"/>
          <w:sz w:val="24"/>
          <w:szCs w:val="24"/>
        </w:rPr>
        <w:t xml:space="preserve">向甲方支付违约金，违约金不足以赔偿甲方损失的，由乙方另行承担。 </w:t>
      </w:r>
    </w:p>
    <w:p w14:paraId="2FCE80FC">
      <w:pPr>
        <w:keepNext w:val="0"/>
        <w:keepLines w:val="0"/>
        <w:pageBreakBefore w:val="0"/>
        <w:widowControl w:val="0"/>
        <w:tabs>
          <w:tab w:val="left" w:pos="3228"/>
        </w:tabs>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b/>
          <w:sz w:val="24"/>
          <w:szCs w:val="24"/>
        </w:rPr>
        <w:t>七、违约责任</w:t>
      </w:r>
    </w:p>
    <w:p w14:paraId="7627E8A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（一）</w:t>
      </w:r>
      <w:r>
        <w:rPr>
          <w:rFonts w:hint="eastAsia" w:ascii="宋体" w:hAnsi="宋体" w:eastAsia="宋体" w:cs="宋体"/>
          <w:sz w:val="24"/>
          <w:szCs w:val="24"/>
          <w:lang w:val="en-US" w:eastAsia="zh-CN"/>
        </w:rPr>
        <w:t>乙方的维保工作不符合合同约定的维保标准或要求的，乙方应在甲方要求的时间内整改并提供整改报告，每发生一次应按合同总金额的</w:t>
      </w:r>
      <w:r>
        <w:rPr>
          <w:rFonts w:hint="eastAsia" w:cs="宋体"/>
          <w:sz w:val="24"/>
          <w:szCs w:val="24"/>
          <w:u w:val="single"/>
          <w:lang w:val="en-US" w:eastAsia="zh-CN"/>
        </w:rPr>
        <w:t>2</w:t>
      </w:r>
      <w:r>
        <w:rPr>
          <w:rFonts w:hint="eastAsia" w:ascii="宋体" w:hAnsi="宋体" w:eastAsia="宋体" w:cs="宋体"/>
          <w:sz w:val="24"/>
          <w:szCs w:val="24"/>
          <w:lang w:val="en-US" w:eastAsia="zh-CN"/>
        </w:rPr>
        <w:t>%向甲方支付违约金。如乙方无正当理由未在限期内进行整改或拒绝履行合同义务的，视为严重违约，甲方有权单方解除合同，并要求乙方支付合同总价款</w:t>
      </w:r>
      <w:r>
        <w:rPr>
          <w:rFonts w:hint="eastAsia" w:cs="宋体"/>
          <w:sz w:val="24"/>
          <w:szCs w:val="24"/>
          <w:u w:val="single"/>
          <w:lang w:val="en-US" w:eastAsia="zh-CN"/>
        </w:rPr>
        <w:t xml:space="preserve">5 </w:t>
      </w:r>
      <w:r>
        <w:rPr>
          <w:rFonts w:hint="eastAsia" w:ascii="宋体" w:hAnsi="宋体" w:eastAsia="宋体" w:cs="宋体"/>
          <w:sz w:val="24"/>
          <w:szCs w:val="24"/>
          <w:lang w:val="en-US" w:eastAsia="zh-CN"/>
        </w:rPr>
        <w:t>%的违约金，不足以赔偿甲方全部损失的，乙方应当继续赔偿。</w:t>
      </w:r>
    </w:p>
    <w:p w14:paraId="6B8E656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（二）如因乙方在排除故障方面以及零配件供应上不能为甲方及时解决而影响甲方营运时，甲方有权随时终止合同，乙方应当向甲方本合同总金额</w:t>
      </w:r>
      <w:r>
        <w:rPr>
          <w:rFonts w:hint="eastAsia" w:ascii="宋体" w:hAnsi="宋体" w:eastAsia="宋体" w:cs="宋体"/>
          <w:sz w:val="24"/>
          <w:szCs w:val="24"/>
          <w:u w:val="single"/>
          <w:lang w:val="en-US" w:eastAsia="zh-CN"/>
        </w:rPr>
        <w:t xml:space="preserve"> </w:t>
      </w:r>
      <w:r>
        <w:rPr>
          <w:rFonts w:hint="eastAsia" w:cs="宋体"/>
          <w:sz w:val="24"/>
          <w:szCs w:val="24"/>
          <w:u w:val="single"/>
          <w:lang w:val="en-US" w:eastAsia="zh-CN"/>
        </w:rPr>
        <w:t>5</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%的违约金，并应当赔偿甲方由此产生的全部损失。</w:t>
      </w:r>
    </w:p>
    <w:p w14:paraId="34F9947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三）乙方在提供维保服务过程中侵犯他人知识产权或其他合法权益，甲方有权单方解除合同，并要求乙方赔偿其所造成的全部损失，同时甲方有权要求乙方按照合同总金额</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u w:val="single"/>
          <w:lang w:val="en-US" w:eastAsia="zh-CN"/>
        </w:rPr>
        <w:t xml:space="preserve"> </w:t>
      </w:r>
      <w:r>
        <w:rPr>
          <w:rFonts w:hint="eastAsia" w:cs="宋体"/>
          <w:sz w:val="24"/>
          <w:szCs w:val="24"/>
          <w:highlight w:val="none"/>
          <w:u w:val="single"/>
          <w:lang w:val="en-US" w:eastAsia="zh-CN"/>
        </w:rPr>
        <w:t xml:space="preserve">5 </w:t>
      </w:r>
      <w:r>
        <w:rPr>
          <w:rFonts w:hint="eastAsia" w:ascii="宋体" w:hAnsi="宋体" w:eastAsia="宋体" w:cs="宋体"/>
          <w:sz w:val="24"/>
          <w:szCs w:val="24"/>
          <w:highlight w:val="none"/>
          <w:lang w:val="en-US" w:eastAsia="zh-CN"/>
        </w:rPr>
        <w:t>%作</w:t>
      </w:r>
      <w:r>
        <w:rPr>
          <w:rFonts w:hint="eastAsia" w:ascii="宋体" w:hAnsi="宋体" w:eastAsia="宋体" w:cs="宋体"/>
          <w:sz w:val="24"/>
          <w:szCs w:val="24"/>
          <w:lang w:val="en-US" w:eastAsia="zh-CN"/>
        </w:rPr>
        <w:t>为赔偿违约金。</w:t>
      </w:r>
    </w:p>
    <w:p w14:paraId="108E7FD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四）如乙方未在合同约定时间内提供维护服务或恢复设备正常运行的，甲方可自行组织维修或委托第三方进行维修，因此产生的费用和损失均由乙方承担，且每发生一次，乙方应当向甲方支付合同总金额</w:t>
      </w:r>
      <w:r>
        <w:rPr>
          <w:rFonts w:hint="eastAsia" w:ascii="宋体" w:hAnsi="宋体" w:eastAsia="宋体" w:cs="宋体"/>
          <w:sz w:val="24"/>
          <w:szCs w:val="24"/>
          <w:u w:val="single"/>
          <w:lang w:val="en-US" w:eastAsia="zh-CN"/>
        </w:rPr>
        <w:t xml:space="preserve"> </w:t>
      </w:r>
      <w:r>
        <w:rPr>
          <w:rFonts w:hint="eastAsia" w:cs="宋体"/>
          <w:sz w:val="24"/>
          <w:szCs w:val="24"/>
          <w:u w:val="single"/>
          <w:lang w:val="en-US" w:eastAsia="zh-CN"/>
        </w:rPr>
        <w:t>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%的违约金；发生</w:t>
      </w:r>
      <w:r>
        <w:rPr>
          <w:rFonts w:hint="eastAsia" w:cs="宋体"/>
          <w:sz w:val="24"/>
          <w:szCs w:val="24"/>
          <w:lang w:val="en-US" w:eastAsia="zh-CN"/>
        </w:rPr>
        <w:t>3</w:t>
      </w:r>
      <w:r>
        <w:rPr>
          <w:rFonts w:hint="eastAsia" w:ascii="宋体" w:hAnsi="宋体" w:eastAsia="宋体" w:cs="宋体"/>
          <w:sz w:val="24"/>
          <w:szCs w:val="24"/>
          <w:lang w:val="en-US" w:eastAsia="zh-CN"/>
        </w:rPr>
        <w:t>次以上，甲方有权单方解除合同，并要求乙方支付合同总金额</w:t>
      </w:r>
      <w:r>
        <w:rPr>
          <w:rFonts w:hint="eastAsia" w:ascii="宋体" w:hAnsi="宋体" w:eastAsia="宋体" w:cs="宋体"/>
          <w:sz w:val="24"/>
          <w:szCs w:val="24"/>
          <w:u w:val="single"/>
          <w:lang w:val="en-US" w:eastAsia="zh-CN"/>
        </w:rPr>
        <w:t xml:space="preserve"> </w:t>
      </w:r>
      <w:r>
        <w:rPr>
          <w:rFonts w:hint="eastAsia" w:cs="宋体"/>
          <w:sz w:val="24"/>
          <w:szCs w:val="24"/>
          <w:u w:val="single"/>
          <w:lang w:val="en-US" w:eastAsia="zh-CN"/>
        </w:rPr>
        <w:t>5</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%的违约金，并赔偿因此给甲方造成的全部损失。</w:t>
      </w:r>
    </w:p>
    <w:p w14:paraId="0F6F4D7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五）乙方应按照合同约定切实履行维保义务，若维保质量无法达到甲方要求且经过合理期限仍无法达标（包括但不限于：未按照约定提供有效的维保服务超过 </w:t>
      </w:r>
      <w:r>
        <w:rPr>
          <w:rFonts w:hint="eastAsia" w:cs="宋体"/>
          <w:sz w:val="24"/>
          <w:szCs w:val="24"/>
          <w:lang w:val="en-US" w:eastAsia="zh-CN"/>
        </w:rPr>
        <w:t>3</w:t>
      </w:r>
      <w:r>
        <w:rPr>
          <w:rFonts w:hint="eastAsia" w:ascii="宋体" w:hAnsi="宋体" w:eastAsia="宋体" w:cs="宋体"/>
          <w:sz w:val="24"/>
          <w:szCs w:val="24"/>
          <w:lang w:val="en-US" w:eastAsia="zh-CN"/>
        </w:rPr>
        <w:t xml:space="preserve">次，或者甲方投诉超过 </w:t>
      </w:r>
      <w:r>
        <w:rPr>
          <w:rFonts w:hint="eastAsia" w:cs="宋体"/>
          <w:sz w:val="24"/>
          <w:szCs w:val="24"/>
          <w:lang w:val="en-US" w:eastAsia="zh-CN"/>
        </w:rPr>
        <w:t>3</w:t>
      </w:r>
      <w:r>
        <w:rPr>
          <w:rFonts w:hint="eastAsia" w:ascii="宋体" w:hAnsi="宋体" w:eastAsia="宋体" w:cs="宋体"/>
          <w:sz w:val="24"/>
          <w:szCs w:val="24"/>
          <w:lang w:val="en-US" w:eastAsia="zh-CN"/>
        </w:rPr>
        <w:t>次等），甲方有权无条件解除合同并向乙方主张合同金</w:t>
      </w:r>
      <w:r>
        <w:rPr>
          <w:rFonts w:hint="eastAsia" w:ascii="宋体" w:hAnsi="宋体" w:eastAsia="宋体" w:cs="宋体"/>
          <w:sz w:val="24"/>
          <w:szCs w:val="24"/>
          <w:highlight w:val="none"/>
          <w:lang w:val="en-US" w:eastAsia="zh-CN"/>
        </w:rPr>
        <w:t>额</w:t>
      </w:r>
      <w:r>
        <w:rPr>
          <w:rFonts w:hint="eastAsia" w:ascii="宋体" w:hAnsi="宋体" w:eastAsia="宋体" w:cs="宋体"/>
          <w:sz w:val="24"/>
          <w:szCs w:val="24"/>
          <w:highlight w:val="none"/>
          <w:u w:val="single"/>
          <w:lang w:val="en-US" w:eastAsia="zh-CN"/>
        </w:rPr>
        <w:t xml:space="preserve"> </w:t>
      </w:r>
      <w:r>
        <w:rPr>
          <w:rFonts w:hint="eastAsia" w:cs="宋体"/>
          <w:sz w:val="24"/>
          <w:szCs w:val="24"/>
          <w:highlight w:val="none"/>
          <w:u w:val="single"/>
          <w:lang w:val="en-US" w:eastAsia="zh-CN"/>
        </w:rPr>
        <w:t xml:space="preserve">5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lang w:val="en-US" w:eastAsia="zh-CN"/>
        </w:rPr>
        <w:t>的违约金，乙方须赔偿因此对甲方造成的全部损失。</w:t>
      </w:r>
    </w:p>
    <w:p w14:paraId="1B29665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八</w:t>
      </w:r>
      <w:r>
        <w:rPr>
          <w:rFonts w:hint="eastAsia" w:ascii="宋体" w:hAnsi="宋体" w:eastAsia="宋体" w:cs="宋体"/>
          <w:b/>
          <w:sz w:val="24"/>
          <w:szCs w:val="24"/>
        </w:rPr>
        <w:t>、合同争议解决的方式</w:t>
      </w:r>
    </w:p>
    <w:p w14:paraId="78D75F7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本合同如发生争议，由甲乙双方协商解决，协调不成，可向宝鸡市人民医院所在地人民法院提起诉讼。</w:t>
      </w:r>
    </w:p>
    <w:p w14:paraId="7019E34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九</w:t>
      </w:r>
      <w:r>
        <w:rPr>
          <w:rFonts w:hint="eastAsia" w:ascii="宋体" w:hAnsi="宋体" w:eastAsia="宋体" w:cs="宋体"/>
          <w:b/>
          <w:sz w:val="24"/>
          <w:szCs w:val="24"/>
        </w:rPr>
        <w:t>、合同生效</w:t>
      </w:r>
    </w:p>
    <w:p w14:paraId="24131FE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本协议一式</w:t>
      </w:r>
      <w:r>
        <w:rPr>
          <w:rFonts w:hint="eastAsia" w:cs="宋体"/>
          <w:sz w:val="24"/>
          <w:szCs w:val="24"/>
          <w:lang w:val="en-US" w:eastAsia="zh-CN"/>
        </w:rPr>
        <w:t xml:space="preserve">  </w:t>
      </w:r>
      <w:r>
        <w:rPr>
          <w:rFonts w:hint="eastAsia" w:ascii="宋体" w:hAnsi="宋体" w:eastAsia="宋体" w:cs="宋体"/>
          <w:sz w:val="24"/>
          <w:szCs w:val="24"/>
        </w:rPr>
        <w:t>份，甲方</w:t>
      </w:r>
      <w:r>
        <w:rPr>
          <w:rFonts w:hint="eastAsia" w:cs="宋体"/>
          <w:sz w:val="24"/>
          <w:szCs w:val="24"/>
          <w:lang w:val="en-US" w:eastAsia="zh-CN"/>
        </w:rPr>
        <w:t xml:space="preserve">  </w:t>
      </w:r>
      <w:r>
        <w:rPr>
          <w:rFonts w:hint="eastAsia" w:ascii="宋体" w:hAnsi="宋体" w:eastAsia="宋体" w:cs="宋体"/>
          <w:sz w:val="24"/>
          <w:szCs w:val="24"/>
        </w:rPr>
        <w:t>份，乙方</w:t>
      </w:r>
      <w:r>
        <w:rPr>
          <w:rFonts w:hint="eastAsia" w:cs="宋体"/>
          <w:sz w:val="24"/>
          <w:szCs w:val="24"/>
          <w:lang w:val="en-US" w:eastAsia="zh-CN"/>
        </w:rPr>
        <w:t xml:space="preserve">  </w:t>
      </w:r>
      <w:r>
        <w:rPr>
          <w:rFonts w:hint="eastAsia" w:ascii="宋体" w:hAnsi="宋体" w:eastAsia="宋体" w:cs="宋体"/>
          <w:sz w:val="24"/>
          <w:szCs w:val="24"/>
        </w:rPr>
        <w:t>份，经双方法定代表人签字并盖公章方可生效。未尽事宜，双方协商解决。未尽事宜，双方可另行签订补充协议，补充协议与本合同具有同等法律效力，补充协议与本合同不一致的，以补充协议为准。</w:t>
      </w:r>
    </w:p>
    <w:p w14:paraId="6677018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rPr>
      </w:pPr>
      <w:r>
        <w:rPr>
          <w:rFonts w:hint="eastAsia" w:ascii="宋体" w:hAnsi="宋体" w:eastAsia="宋体" w:cs="宋体"/>
          <w:b/>
          <w:sz w:val="24"/>
          <w:szCs w:val="24"/>
        </w:rPr>
        <w:t>十、其他事项</w:t>
      </w:r>
    </w:p>
    <w:p w14:paraId="36A4C608">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 xml:space="preserve">  乙方保证提供的发票真实有效，因发票问题引起的一切纠纷，由乙方负全部经济责任和法律责任。</w:t>
      </w:r>
    </w:p>
    <w:p w14:paraId="578F04F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甲方要求乙方提供本合同约定以外的增值服务的，双方均应当以书面形式另行约定。</w:t>
      </w:r>
    </w:p>
    <w:p w14:paraId="522B213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维护保养记录</w:t>
      </w:r>
      <w:r>
        <w:rPr>
          <w:rFonts w:hint="eastAsia" w:ascii="宋体" w:hAnsi="宋体" w:eastAsia="宋体" w:cs="宋体"/>
          <w:sz w:val="24"/>
          <w:szCs w:val="24"/>
          <w:lang w:eastAsia="zh-CN"/>
        </w:rPr>
        <w:t>：</w:t>
      </w:r>
      <w:r>
        <w:rPr>
          <w:rFonts w:hint="eastAsia" w:ascii="宋体" w:hAnsi="宋体" w:eastAsia="宋体" w:cs="宋体"/>
          <w:sz w:val="24"/>
          <w:szCs w:val="24"/>
        </w:rPr>
        <w:t>维修保养工作完毕后应有《维修保养报告》,《维修保养报告》应当一式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份，甲乙双方各保存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份。普通维修、重大维修、改造协议与抢修记录均应当与维护保养记录一并保存。</w:t>
      </w:r>
    </w:p>
    <w:p w14:paraId="70082D1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双方同意</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甲方可单方面提前终止合同，从甲方通知到达乙方之日起到合同期满间的剩余</w:t>
      </w:r>
      <w:r>
        <w:rPr>
          <w:rFonts w:hint="eastAsia" w:ascii="宋体" w:hAnsi="宋体" w:eastAsia="宋体" w:cs="宋体"/>
          <w:sz w:val="24"/>
          <w:szCs w:val="24"/>
          <w:highlight w:val="none"/>
          <w:lang w:val="en-US" w:eastAsia="zh-CN"/>
        </w:rPr>
        <w:t>服务款退回甲方(如已付款)，退回金额=合同金额×(合同项下尚未履行服务的时间/合同项下总的服务时间)。如服务期间，甲方搬迁设备移机造成的停机而导致维保服务暂停，双方可以根</w:t>
      </w:r>
      <w:r>
        <w:rPr>
          <w:rFonts w:hint="eastAsia" w:ascii="宋体" w:hAnsi="宋体" w:eastAsia="宋体" w:cs="宋体"/>
          <w:sz w:val="24"/>
          <w:szCs w:val="24"/>
          <w:lang w:val="en-US" w:eastAsia="zh-CN"/>
        </w:rPr>
        <w:t>据实际情况协商在合同到期时延长相应的保修时间。</w:t>
      </w:r>
    </w:p>
    <w:p w14:paraId="528DDA4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协议所载签约各联系地址即为各方正常通讯联系地址及相关通知的送达地址，通知采用邮寄方式送达的，自信件或邮件签收、代收、退回之日起视为送达，任何一方如地址发生变更应提前书面告知对方，否则应承担由此产生的法律责任。</w:t>
      </w:r>
    </w:p>
    <w:tbl>
      <w:tblPr>
        <w:tblStyle w:val="20"/>
        <w:tblW w:w="9760" w:type="dxa"/>
        <w:jc w:val="center"/>
        <w:tblLayout w:type="autofit"/>
        <w:tblCellMar>
          <w:top w:w="0" w:type="dxa"/>
          <w:left w:w="108" w:type="dxa"/>
          <w:bottom w:w="0" w:type="dxa"/>
          <w:right w:w="108" w:type="dxa"/>
        </w:tblCellMar>
      </w:tblPr>
      <w:tblGrid>
        <w:gridCol w:w="4879"/>
        <w:gridCol w:w="4881"/>
      </w:tblGrid>
      <w:tr w14:paraId="196FA2FC">
        <w:tblPrEx>
          <w:tblCellMar>
            <w:top w:w="0" w:type="dxa"/>
            <w:left w:w="108" w:type="dxa"/>
            <w:bottom w:w="0" w:type="dxa"/>
            <w:right w:w="108" w:type="dxa"/>
          </w:tblCellMar>
        </w:tblPrEx>
        <w:trPr>
          <w:trHeight w:val="726" w:hRule="atLeast"/>
          <w:jc w:val="center"/>
        </w:trPr>
        <w:tc>
          <w:tcPr>
            <w:tcW w:w="4879" w:type="dxa"/>
            <w:noWrap w:val="0"/>
            <w:vAlign w:val="top"/>
          </w:tcPr>
          <w:p w14:paraId="036F50C9">
            <w:pPr>
              <w:keepNext w:val="0"/>
              <w:keepLines w:val="0"/>
              <w:pageBreakBefore w:val="0"/>
              <w:widowControl w:val="0"/>
              <w:kinsoku/>
              <w:wordWrap/>
              <w:overflowPunct/>
              <w:topLinePunct w:val="0"/>
              <w:autoSpaceDE/>
              <w:autoSpaceDN/>
              <w:bidi w:val="0"/>
              <w:adjustRightInd/>
              <w:snapToGrid w:val="0"/>
              <w:spacing w:line="560" w:lineRule="exact"/>
              <w:ind w:left="0" w:leftChars="0" w:firstLine="0" w:firstLineChars="0"/>
              <w:textAlignment w:val="auto"/>
              <w:rPr>
                <w:rFonts w:hint="eastAsia" w:ascii="宋体" w:hAnsi="宋体" w:eastAsia="宋体" w:cs="宋体"/>
                <w:sz w:val="24"/>
                <w:szCs w:val="24"/>
              </w:rPr>
            </w:pPr>
          </w:p>
          <w:p w14:paraId="177EB2CE">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甲方： </w:t>
            </w:r>
          </w:p>
        </w:tc>
        <w:tc>
          <w:tcPr>
            <w:tcW w:w="4881" w:type="dxa"/>
            <w:noWrap w:val="0"/>
            <w:vAlign w:val="top"/>
          </w:tcPr>
          <w:p w14:paraId="50AE6066">
            <w:pPr>
              <w:keepNext w:val="0"/>
              <w:keepLines w:val="0"/>
              <w:pageBreakBefore w:val="0"/>
              <w:widowControl w:val="0"/>
              <w:kinsoku/>
              <w:wordWrap/>
              <w:overflowPunct/>
              <w:topLinePunct w:val="0"/>
              <w:autoSpaceDE/>
              <w:autoSpaceDN/>
              <w:bidi w:val="0"/>
              <w:adjustRightInd/>
              <w:snapToGrid w:val="0"/>
              <w:spacing w:line="560" w:lineRule="exact"/>
              <w:ind w:firstLine="240" w:firstLineChars="100"/>
              <w:textAlignment w:val="auto"/>
              <w:rPr>
                <w:rFonts w:hint="eastAsia" w:ascii="宋体" w:hAnsi="宋体" w:eastAsia="宋体" w:cs="宋体"/>
                <w:sz w:val="24"/>
                <w:szCs w:val="24"/>
              </w:rPr>
            </w:pPr>
          </w:p>
          <w:p w14:paraId="479A4147">
            <w:pPr>
              <w:keepNext w:val="0"/>
              <w:keepLines w:val="0"/>
              <w:pageBreakBefore w:val="0"/>
              <w:widowControl w:val="0"/>
              <w:kinsoku/>
              <w:wordWrap/>
              <w:overflowPunct/>
              <w:topLinePunct w:val="0"/>
              <w:autoSpaceDE/>
              <w:autoSpaceDN/>
              <w:bidi w:val="0"/>
              <w:adjustRightInd/>
              <w:snapToGrid w:val="0"/>
              <w:spacing w:line="56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 xml:space="preserve">乙方： </w:t>
            </w:r>
          </w:p>
        </w:tc>
      </w:tr>
      <w:tr w14:paraId="5C6C8CDF">
        <w:tblPrEx>
          <w:tblCellMar>
            <w:top w:w="0" w:type="dxa"/>
            <w:left w:w="108" w:type="dxa"/>
            <w:bottom w:w="0" w:type="dxa"/>
            <w:right w:w="108" w:type="dxa"/>
          </w:tblCellMar>
        </w:tblPrEx>
        <w:trPr>
          <w:trHeight w:val="0" w:hRule="atLeast"/>
          <w:jc w:val="center"/>
        </w:trPr>
        <w:tc>
          <w:tcPr>
            <w:tcW w:w="4879" w:type="dxa"/>
            <w:noWrap w:val="0"/>
            <w:vAlign w:val="top"/>
          </w:tcPr>
          <w:p w14:paraId="1421901A">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联系地址：</w:t>
            </w:r>
          </w:p>
        </w:tc>
        <w:tc>
          <w:tcPr>
            <w:tcW w:w="4881" w:type="dxa"/>
            <w:noWrap w:val="0"/>
            <w:vAlign w:val="top"/>
          </w:tcPr>
          <w:p w14:paraId="504F3B17">
            <w:pPr>
              <w:keepNext w:val="0"/>
              <w:keepLines w:val="0"/>
              <w:pageBreakBefore w:val="0"/>
              <w:widowControl w:val="0"/>
              <w:kinsoku/>
              <w:wordWrap/>
              <w:overflowPunct/>
              <w:topLinePunct w:val="0"/>
              <w:autoSpaceDE/>
              <w:autoSpaceDN/>
              <w:bidi w:val="0"/>
              <w:adjustRightInd/>
              <w:snapToGrid w:val="0"/>
              <w:spacing w:line="560" w:lineRule="exact"/>
              <w:ind w:left="1200" w:hanging="1200" w:hangingChars="500"/>
              <w:textAlignment w:val="auto"/>
              <w:rPr>
                <w:rFonts w:hint="eastAsia" w:ascii="宋体" w:hAnsi="宋体" w:eastAsia="宋体" w:cs="宋体"/>
                <w:sz w:val="24"/>
                <w:szCs w:val="24"/>
              </w:rPr>
            </w:pPr>
            <w:r>
              <w:rPr>
                <w:rFonts w:hint="eastAsia" w:ascii="宋体" w:hAnsi="宋体" w:eastAsia="宋体" w:cs="宋体"/>
                <w:sz w:val="24"/>
                <w:szCs w:val="24"/>
              </w:rPr>
              <w:t xml:space="preserve">  联系地址： </w:t>
            </w:r>
          </w:p>
        </w:tc>
      </w:tr>
      <w:tr w14:paraId="64340F25">
        <w:tblPrEx>
          <w:tblCellMar>
            <w:top w:w="0" w:type="dxa"/>
            <w:left w:w="108" w:type="dxa"/>
            <w:bottom w:w="0" w:type="dxa"/>
            <w:right w:w="108" w:type="dxa"/>
          </w:tblCellMar>
        </w:tblPrEx>
        <w:trPr>
          <w:trHeight w:val="0" w:hRule="atLeast"/>
          <w:jc w:val="center"/>
        </w:trPr>
        <w:tc>
          <w:tcPr>
            <w:tcW w:w="4879" w:type="dxa"/>
            <w:noWrap w:val="0"/>
            <w:vAlign w:val="top"/>
          </w:tcPr>
          <w:p w14:paraId="2000E9DE">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联系电话：    </w:t>
            </w:r>
          </w:p>
        </w:tc>
        <w:tc>
          <w:tcPr>
            <w:tcW w:w="4881" w:type="dxa"/>
            <w:noWrap w:val="0"/>
            <w:vAlign w:val="top"/>
          </w:tcPr>
          <w:p w14:paraId="6C9A02CC">
            <w:pPr>
              <w:keepNext w:val="0"/>
              <w:keepLines w:val="0"/>
              <w:pageBreakBefore w:val="0"/>
              <w:widowControl w:val="0"/>
              <w:kinsoku/>
              <w:wordWrap/>
              <w:overflowPunct/>
              <w:topLinePunct w:val="0"/>
              <w:autoSpaceDE/>
              <w:autoSpaceDN/>
              <w:bidi w:val="0"/>
              <w:adjustRightInd/>
              <w:snapToGrid w:val="0"/>
              <w:spacing w:line="560" w:lineRule="exact"/>
              <w:ind w:left="0" w:leftChars="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联系电话：</w:t>
            </w:r>
          </w:p>
        </w:tc>
      </w:tr>
      <w:tr w14:paraId="28AC3E60">
        <w:tblPrEx>
          <w:tblCellMar>
            <w:top w:w="0" w:type="dxa"/>
            <w:left w:w="108" w:type="dxa"/>
            <w:bottom w:w="0" w:type="dxa"/>
            <w:right w:w="108" w:type="dxa"/>
          </w:tblCellMar>
        </w:tblPrEx>
        <w:trPr>
          <w:trHeight w:val="0" w:hRule="atLeast"/>
          <w:jc w:val="center"/>
        </w:trPr>
        <w:tc>
          <w:tcPr>
            <w:tcW w:w="4879" w:type="dxa"/>
            <w:noWrap w:val="0"/>
            <w:vAlign w:val="top"/>
          </w:tcPr>
          <w:p w14:paraId="060F55B5">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法定授权代表人：(签章）</w:t>
            </w:r>
          </w:p>
          <w:p w14:paraId="373DA6FA">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宋体" w:hAnsi="宋体" w:eastAsia="宋体" w:cs="宋体"/>
                <w:sz w:val="24"/>
                <w:szCs w:val="24"/>
              </w:rPr>
            </w:pPr>
          </w:p>
        </w:tc>
        <w:tc>
          <w:tcPr>
            <w:tcW w:w="4881" w:type="dxa"/>
            <w:noWrap w:val="0"/>
            <w:vAlign w:val="top"/>
          </w:tcPr>
          <w:p w14:paraId="7ADF5AB1">
            <w:pPr>
              <w:keepNext w:val="0"/>
              <w:keepLines w:val="0"/>
              <w:pageBreakBefore w:val="0"/>
              <w:widowControl w:val="0"/>
              <w:kinsoku/>
              <w:wordWrap/>
              <w:overflowPunct/>
              <w:topLinePunct w:val="0"/>
              <w:autoSpaceDE/>
              <w:autoSpaceDN/>
              <w:bidi w:val="0"/>
              <w:adjustRightInd/>
              <w:snapToGrid w:val="0"/>
              <w:spacing w:line="560" w:lineRule="exact"/>
              <w:ind w:left="0" w:leftChars="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法定代表人：(签章）  </w:t>
            </w:r>
          </w:p>
        </w:tc>
      </w:tr>
      <w:tr w14:paraId="10E9AF0E">
        <w:tblPrEx>
          <w:tblCellMar>
            <w:top w:w="0" w:type="dxa"/>
            <w:left w:w="108" w:type="dxa"/>
            <w:bottom w:w="0" w:type="dxa"/>
            <w:right w:w="108" w:type="dxa"/>
          </w:tblCellMar>
        </w:tblPrEx>
        <w:trPr>
          <w:trHeight w:val="0" w:hRule="atLeast"/>
          <w:jc w:val="center"/>
        </w:trPr>
        <w:tc>
          <w:tcPr>
            <w:tcW w:w="4879" w:type="dxa"/>
            <w:noWrap w:val="0"/>
            <w:vAlign w:val="top"/>
          </w:tcPr>
          <w:p w14:paraId="79D24F92">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单位经办人：(签章）  </w:t>
            </w:r>
          </w:p>
          <w:p w14:paraId="0496163F">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宋体" w:hAnsi="宋体" w:eastAsia="宋体" w:cs="宋体"/>
                <w:sz w:val="24"/>
                <w:szCs w:val="24"/>
              </w:rPr>
            </w:pPr>
          </w:p>
        </w:tc>
        <w:tc>
          <w:tcPr>
            <w:tcW w:w="4881" w:type="dxa"/>
            <w:noWrap w:val="0"/>
            <w:vAlign w:val="top"/>
          </w:tcPr>
          <w:p w14:paraId="2D7DA781">
            <w:pPr>
              <w:keepNext w:val="0"/>
              <w:keepLines w:val="0"/>
              <w:pageBreakBefore w:val="0"/>
              <w:widowControl w:val="0"/>
              <w:kinsoku/>
              <w:wordWrap/>
              <w:overflowPunct/>
              <w:topLinePunct w:val="0"/>
              <w:autoSpaceDE/>
              <w:autoSpaceDN/>
              <w:bidi w:val="0"/>
              <w:adjustRightInd/>
              <w:snapToGrid w:val="0"/>
              <w:spacing w:line="560" w:lineRule="exact"/>
              <w:ind w:left="0" w:leftChars="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委托代理人：(签章）</w:t>
            </w:r>
          </w:p>
        </w:tc>
      </w:tr>
      <w:tr w14:paraId="75E92DCB">
        <w:tblPrEx>
          <w:tblCellMar>
            <w:top w:w="0" w:type="dxa"/>
            <w:left w:w="108" w:type="dxa"/>
            <w:bottom w:w="0" w:type="dxa"/>
            <w:right w:w="108" w:type="dxa"/>
          </w:tblCellMar>
        </w:tblPrEx>
        <w:trPr>
          <w:trHeight w:val="0" w:hRule="atLeast"/>
          <w:jc w:val="center"/>
        </w:trPr>
        <w:tc>
          <w:tcPr>
            <w:tcW w:w="4879" w:type="dxa"/>
            <w:noWrap w:val="0"/>
            <w:vAlign w:val="top"/>
          </w:tcPr>
          <w:p w14:paraId="04443BFD">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日期：   年  月  日  </w:t>
            </w:r>
          </w:p>
        </w:tc>
        <w:tc>
          <w:tcPr>
            <w:tcW w:w="4881" w:type="dxa"/>
            <w:noWrap w:val="0"/>
            <w:vAlign w:val="top"/>
          </w:tcPr>
          <w:p w14:paraId="427C8067">
            <w:pPr>
              <w:keepNext w:val="0"/>
              <w:keepLines w:val="0"/>
              <w:pageBreakBefore w:val="0"/>
              <w:widowControl w:val="0"/>
              <w:kinsoku/>
              <w:wordWrap/>
              <w:overflowPunct/>
              <w:topLinePunct w:val="0"/>
              <w:autoSpaceDE/>
              <w:autoSpaceDN/>
              <w:bidi w:val="0"/>
              <w:adjustRightInd/>
              <w:snapToGrid w:val="0"/>
              <w:spacing w:line="560" w:lineRule="exact"/>
              <w:ind w:left="0" w:leftChars="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日期：   年  月  日</w:t>
            </w:r>
          </w:p>
        </w:tc>
      </w:tr>
    </w:tbl>
    <w:p w14:paraId="2B455B1D">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28"/>
          <w:szCs w:val="28"/>
          <w:lang w:val="en-US" w:eastAsia="zh-CN"/>
        </w:rPr>
      </w:pPr>
    </w:p>
    <w:p w14:paraId="03DCFC49">
      <w:pPr>
        <w:pStyle w:val="2"/>
        <w:spacing w:before="0" w:after="0" w:line="240" w:lineRule="auto"/>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br w:type="page"/>
      </w:r>
      <w:bookmarkStart w:id="30" w:name="_Toc13347"/>
      <w:r>
        <w:rPr>
          <w:rFonts w:hint="eastAsia" w:ascii="宋体" w:hAnsi="宋体" w:eastAsia="宋体" w:cs="宋体"/>
          <w:color w:val="auto"/>
          <w:kern w:val="0"/>
          <w:highlight w:val="none"/>
        </w:rPr>
        <w:t>第</w:t>
      </w:r>
      <w:r>
        <w:rPr>
          <w:rFonts w:hint="eastAsia" w:ascii="宋体" w:hAnsi="宋体" w:eastAsia="宋体" w:cs="宋体"/>
          <w:color w:val="auto"/>
          <w:kern w:val="0"/>
          <w:highlight w:val="none"/>
          <w:lang w:val="en-US" w:eastAsia="zh-CN"/>
        </w:rPr>
        <w:t>七</w:t>
      </w:r>
      <w:r>
        <w:rPr>
          <w:rFonts w:hint="eastAsia" w:ascii="宋体" w:hAnsi="宋体" w:eastAsia="宋体" w:cs="宋体"/>
          <w:color w:val="auto"/>
          <w:kern w:val="0"/>
          <w:highlight w:val="none"/>
        </w:rPr>
        <w:t>章  响应文件格式</w:t>
      </w:r>
      <w:bookmarkEnd w:id="30"/>
    </w:p>
    <w:p w14:paraId="0A54D9B5">
      <w:pPr>
        <w:widowControl/>
        <w:tabs>
          <w:tab w:val="left" w:pos="1620"/>
        </w:tabs>
        <w:snapToGrid w:val="0"/>
        <w:spacing w:line="480" w:lineRule="exact"/>
        <w:ind w:right="-226" w:rightChars="-94"/>
        <w:jc w:val="left"/>
        <w:rPr>
          <w:rFonts w:hint="eastAsia" w:ascii="宋体" w:hAnsi="宋体" w:eastAsia="宋体" w:cs="宋体"/>
          <w:b/>
          <w:color w:val="auto"/>
          <w:sz w:val="36"/>
          <w:szCs w:val="36"/>
          <w:highlight w:val="none"/>
        </w:rPr>
      </w:pPr>
    </w:p>
    <w:p w14:paraId="3E26C011">
      <w:pPr>
        <w:widowControl/>
        <w:tabs>
          <w:tab w:val="left" w:pos="1620"/>
        </w:tabs>
        <w:snapToGrid w:val="0"/>
        <w:spacing w:line="480" w:lineRule="exact"/>
        <w:ind w:left="0" w:leftChars="0" w:right="-226" w:rightChars="-94" w:firstLine="0" w:firstLineChars="0"/>
        <w:jc w:val="left"/>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项目编号:</w:t>
      </w:r>
      <w:r>
        <w:rPr>
          <w:rFonts w:hint="eastAsia" w:cs="宋体"/>
          <w:b/>
          <w:color w:val="auto"/>
          <w:sz w:val="36"/>
          <w:szCs w:val="36"/>
          <w:highlight w:val="none"/>
          <w:lang w:eastAsia="zh-CN"/>
        </w:rPr>
        <w:t>ZJBJ-ZC-2026-001.1B1</w:t>
      </w:r>
      <w:r>
        <w:rPr>
          <w:rFonts w:hint="eastAsia" w:ascii="宋体" w:hAnsi="宋体" w:eastAsia="宋体" w:cs="宋体"/>
          <w:b/>
          <w:color w:val="auto"/>
          <w:sz w:val="36"/>
          <w:szCs w:val="36"/>
          <w:highlight w:val="none"/>
        </w:rPr>
        <w:t xml:space="preserve"> </w:t>
      </w:r>
    </w:p>
    <w:p w14:paraId="10700BE7">
      <w:pPr>
        <w:widowControl/>
        <w:tabs>
          <w:tab w:val="left" w:pos="1620"/>
        </w:tabs>
        <w:snapToGrid w:val="0"/>
        <w:spacing w:line="480" w:lineRule="exact"/>
        <w:ind w:left="641" w:leftChars="267" w:right="-226" w:rightChars="-94"/>
        <w:jc w:val="left"/>
        <w:rPr>
          <w:rFonts w:hint="eastAsia" w:ascii="宋体" w:hAnsi="宋体" w:eastAsia="宋体" w:cs="宋体"/>
          <w:b/>
          <w:color w:val="auto"/>
          <w:sz w:val="36"/>
          <w:szCs w:val="36"/>
          <w:highlight w:val="none"/>
        </w:rPr>
      </w:pPr>
    </w:p>
    <w:p w14:paraId="6CB6A4E6">
      <w:pPr>
        <w:widowControl/>
        <w:tabs>
          <w:tab w:val="left" w:pos="1620"/>
        </w:tabs>
        <w:snapToGrid w:val="0"/>
        <w:spacing w:line="480" w:lineRule="exact"/>
        <w:ind w:left="641" w:leftChars="267" w:right="-226" w:rightChars="-94"/>
        <w:jc w:val="left"/>
        <w:rPr>
          <w:rFonts w:hint="eastAsia" w:ascii="宋体" w:hAnsi="宋体" w:eastAsia="宋体" w:cs="宋体"/>
          <w:b/>
          <w:color w:val="auto"/>
          <w:sz w:val="36"/>
          <w:szCs w:val="36"/>
          <w:highlight w:val="none"/>
        </w:rPr>
      </w:pPr>
    </w:p>
    <w:p w14:paraId="642BB977">
      <w:pPr>
        <w:widowControl/>
        <w:tabs>
          <w:tab w:val="left" w:pos="1620"/>
        </w:tabs>
        <w:snapToGrid w:val="0"/>
        <w:spacing w:line="800" w:lineRule="exact"/>
        <w:ind w:left="0" w:leftChars="0" w:right="-226" w:rightChars="-94" w:firstLine="0" w:firstLineChars="0"/>
        <w:jc w:val="center"/>
        <w:rPr>
          <w:rFonts w:hint="eastAsia" w:cs="宋体"/>
          <w:b/>
          <w:color w:val="auto"/>
          <w:sz w:val="44"/>
          <w:szCs w:val="44"/>
          <w:highlight w:val="none"/>
          <w:lang w:val="en-US" w:eastAsia="zh-CN"/>
        </w:rPr>
      </w:pPr>
    </w:p>
    <w:p w14:paraId="7995F146">
      <w:pPr>
        <w:widowControl/>
        <w:tabs>
          <w:tab w:val="left" w:pos="1620"/>
        </w:tabs>
        <w:snapToGrid w:val="0"/>
        <w:spacing w:line="800" w:lineRule="exact"/>
        <w:ind w:left="0" w:leftChars="0" w:right="-226" w:rightChars="-94" w:firstLine="0" w:firstLineChars="0"/>
        <w:jc w:val="center"/>
        <w:rPr>
          <w:rFonts w:hint="eastAsia" w:ascii="宋体" w:hAnsi="宋体" w:eastAsia="宋体" w:cs="宋体"/>
          <w:b/>
          <w:color w:val="auto"/>
          <w:sz w:val="44"/>
          <w:szCs w:val="44"/>
          <w:highlight w:val="none"/>
          <w:lang w:eastAsia="zh-CN"/>
        </w:rPr>
      </w:pPr>
      <w:r>
        <w:rPr>
          <w:rFonts w:hint="eastAsia" w:cs="宋体"/>
          <w:b/>
          <w:color w:val="auto"/>
          <w:sz w:val="44"/>
          <w:szCs w:val="44"/>
          <w:highlight w:val="none"/>
          <w:lang w:val="en-US" w:eastAsia="zh-CN"/>
        </w:rPr>
        <w:t>大孔径CT维保服务（二次）</w:t>
      </w:r>
    </w:p>
    <w:p w14:paraId="5D01EBDC">
      <w:pPr>
        <w:spacing w:line="480" w:lineRule="exact"/>
        <w:ind w:firstLine="1446" w:firstLineChars="200"/>
        <w:jc w:val="center"/>
        <w:rPr>
          <w:rFonts w:hint="eastAsia" w:ascii="宋体" w:hAnsi="宋体" w:eastAsia="宋体" w:cs="宋体"/>
          <w:b/>
          <w:color w:val="auto"/>
          <w:sz w:val="72"/>
          <w:szCs w:val="72"/>
          <w:highlight w:val="none"/>
        </w:rPr>
      </w:pPr>
    </w:p>
    <w:p w14:paraId="03001469">
      <w:pPr>
        <w:pStyle w:val="7"/>
        <w:rPr>
          <w:rFonts w:hint="eastAsia" w:ascii="宋体" w:hAnsi="宋体" w:eastAsia="宋体" w:cs="宋体"/>
          <w:color w:val="auto"/>
          <w:highlight w:val="none"/>
        </w:rPr>
      </w:pPr>
    </w:p>
    <w:p w14:paraId="15F75509">
      <w:pPr>
        <w:ind w:left="0" w:leftChars="0" w:firstLine="0" w:firstLineChars="0"/>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竞争性磋商响应文件</w:t>
      </w:r>
    </w:p>
    <w:p w14:paraId="003A5F2F">
      <w:pPr>
        <w:spacing w:line="480" w:lineRule="exact"/>
        <w:rPr>
          <w:rFonts w:hint="eastAsia" w:ascii="宋体" w:hAnsi="宋体" w:eastAsia="宋体" w:cs="宋体"/>
          <w:b/>
          <w:color w:val="auto"/>
          <w:sz w:val="28"/>
          <w:szCs w:val="28"/>
          <w:highlight w:val="none"/>
        </w:rPr>
      </w:pPr>
    </w:p>
    <w:p w14:paraId="789B88B1">
      <w:pPr>
        <w:spacing w:line="480" w:lineRule="exact"/>
        <w:rPr>
          <w:rFonts w:hint="eastAsia" w:ascii="宋体" w:hAnsi="宋体" w:eastAsia="宋体" w:cs="宋体"/>
          <w:b/>
          <w:color w:val="auto"/>
          <w:sz w:val="28"/>
          <w:szCs w:val="28"/>
          <w:highlight w:val="none"/>
        </w:rPr>
      </w:pPr>
    </w:p>
    <w:p w14:paraId="20B2989F">
      <w:pPr>
        <w:spacing w:line="480" w:lineRule="exact"/>
        <w:rPr>
          <w:rFonts w:hint="eastAsia" w:ascii="宋体" w:hAnsi="宋体" w:eastAsia="宋体" w:cs="宋体"/>
          <w:b/>
          <w:color w:val="auto"/>
          <w:sz w:val="28"/>
          <w:szCs w:val="28"/>
          <w:highlight w:val="none"/>
        </w:rPr>
      </w:pPr>
    </w:p>
    <w:p w14:paraId="35427D2F">
      <w:pPr>
        <w:spacing w:line="480" w:lineRule="exact"/>
        <w:rPr>
          <w:rFonts w:hint="eastAsia" w:ascii="宋体" w:hAnsi="宋体" w:eastAsia="宋体" w:cs="宋体"/>
          <w:b/>
          <w:color w:val="auto"/>
          <w:sz w:val="28"/>
          <w:szCs w:val="28"/>
          <w:highlight w:val="none"/>
        </w:rPr>
      </w:pPr>
    </w:p>
    <w:p w14:paraId="764115F2">
      <w:pPr>
        <w:pStyle w:val="7"/>
        <w:rPr>
          <w:rFonts w:hint="eastAsia" w:ascii="宋体" w:hAnsi="宋体" w:eastAsia="宋体" w:cs="宋体"/>
        </w:rPr>
      </w:pPr>
    </w:p>
    <w:p w14:paraId="604AE1D3">
      <w:pPr>
        <w:rPr>
          <w:rFonts w:hint="eastAsia" w:ascii="宋体" w:hAnsi="宋体" w:eastAsia="宋体" w:cs="宋体"/>
        </w:rPr>
      </w:pPr>
    </w:p>
    <w:p w14:paraId="46FCAD6C">
      <w:pPr>
        <w:rPr>
          <w:rFonts w:hint="eastAsia" w:ascii="宋体" w:hAnsi="宋体" w:eastAsia="宋体" w:cs="宋体"/>
        </w:rPr>
      </w:pPr>
    </w:p>
    <w:p w14:paraId="5C928A28">
      <w:pPr>
        <w:spacing w:line="480" w:lineRule="auto"/>
        <w:ind w:firstLine="843" w:firstLineChars="300"/>
        <w:rPr>
          <w:rFonts w:hint="eastAsia" w:ascii="宋体" w:hAnsi="宋体" w:eastAsia="宋体" w:cs="宋体"/>
          <w:b/>
          <w:bCs/>
          <w:color w:val="auto"/>
          <w:sz w:val="28"/>
          <w:szCs w:val="28"/>
          <w:highlight w:val="none"/>
          <w:u w:val="single"/>
        </w:rPr>
      </w:pPr>
      <w:r>
        <w:rPr>
          <w:rFonts w:hint="eastAsia" w:ascii="宋体" w:hAnsi="宋体" w:eastAsia="宋体" w:cs="宋体"/>
          <w:b/>
          <w:color w:val="auto"/>
          <w:sz w:val="28"/>
          <w:szCs w:val="28"/>
          <w:highlight w:val="none"/>
        </w:rPr>
        <w:t>供   应   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（名称及公章）</w:t>
      </w:r>
      <w:r>
        <w:rPr>
          <w:rFonts w:hint="eastAsia" w:ascii="宋体" w:hAnsi="宋体" w:eastAsia="宋体" w:cs="宋体"/>
          <w:b/>
          <w:color w:val="auto"/>
          <w:sz w:val="28"/>
          <w:szCs w:val="28"/>
          <w:highlight w:val="none"/>
        </w:rPr>
        <w:t xml:space="preserve">   </w:t>
      </w:r>
    </w:p>
    <w:p w14:paraId="0D9D85E9">
      <w:pPr>
        <w:spacing w:line="480" w:lineRule="auto"/>
        <w:ind w:firstLine="843" w:firstLineChars="300"/>
        <w:rPr>
          <w:rFonts w:hint="eastAsia" w:ascii="宋体" w:hAnsi="宋体" w:eastAsia="宋体" w:cs="宋体"/>
          <w:b/>
          <w:bCs/>
          <w:color w:val="auto"/>
          <w:sz w:val="28"/>
          <w:szCs w:val="28"/>
          <w:highlight w:val="none"/>
          <w:u w:val="single"/>
        </w:rPr>
      </w:pPr>
      <w:r>
        <w:rPr>
          <w:rFonts w:hint="eastAsia" w:ascii="宋体" w:hAnsi="宋体" w:eastAsia="宋体" w:cs="宋体"/>
          <w:b/>
          <w:color w:val="auto"/>
          <w:sz w:val="28"/>
          <w:szCs w:val="28"/>
          <w:highlight w:val="none"/>
        </w:rPr>
        <w:t>法定代表人</w:t>
      </w:r>
      <w:r>
        <w:rPr>
          <w:rFonts w:hint="eastAsia" w:ascii="宋体" w:hAnsi="宋体" w:eastAsia="宋体" w:cs="宋体"/>
          <w:b/>
          <w:color w:val="auto"/>
          <w:sz w:val="28"/>
          <w:szCs w:val="28"/>
          <w:highlight w:val="none"/>
          <w:lang w:val="en-US" w:eastAsia="zh-CN"/>
        </w:rPr>
        <w:t>或</w:t>
      </w:r>
      <w:r>
        <w:rPr>
          <w:rFonts w:hint="eastAsia" w:ascii="宋体" w:hAnsi="宋体" w:eastAsia="宋体" w:cs="宋体"/>
          <w:b/>
          <w:color w:val="auto"/>
          <w:sz w:val="28"/>
          <w:szCs w:val="28"/>
          <w:highlight w:val="none"/>
        </w:rPr>
        <w:t>授权代表：</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bCs/>
          <w:color w:val="auto"/>
          <w:sz w:val="28"/>
          <w:szCs w:val="28"/>
          <w:highlight w:val="none"/>
        </w:rPr>
        <w:t>（签字或盖章）</w:t>
      </w:r>
    </w:p>
    <w:p w14:paraId="41124277">
      <w:pPr>
        <w:spacing w:line="480" w:lineRule="auto"/>
        <w:ind w:firstLine="843" w:firstLineChars="300"/>
        <w:rPr>
          <w:rFonts w:hint="eastAsia" w:ascii="宋体" w:hAnsi="宋体" w:eastAsia="宋体" w:cs="宋体"/>
          <w:b/>
          <w:color w:val="auto"/>
          <w:sz w:val="13"/>
          <w:szCs w:val="13"/>
          <w:highlight w:val="none"/>
          <w:u w:val="single"/>
        </w:rPr>
      </w:pPr>
      <w:r>
        <w:rPr>
          <w:rFonts w:hint="eastAsia" w:ascii="宋体" w:hAnsi="宋体" w:eastAsia="宋体" w:cs="宋体"/>
          <w:b/>
          <w:color w:val="auto"/>
          <w:sz w:val="28"/>
          <w:szCs w:val="28"/>
          <w:highlight w:val="none"/>
          <w:lang w:eastAsia="zh-CN"/>
        </w:rPr>
        <w:t>日</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lang w:eastAsia="zh-CN"/>
        </w:rPr>
        <w:t>期</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u w:val="single"/>
        </w:rPr>
        <w:t xml:space="preserve">                           </w:t>
      </w:r>
    </w:p>
    <w:p w14:paraId="5364BA58">
      <w:pPr>
        <w:spacing w:line="480" w:lineRule="exact"/>
        <w:ind w:firstLine="3697" w:firstLineChars="837"/>
        <w:rPr>
          <w:rFonts w:hint="eastAsia" w:ascii="宋体" w:hAnsi="宋体" w:eastAsia="宋体" w:cs="宋体"/>
          <w:b/>
          <w:color w:val="auto"/>
          <w:sz w:val="44"/>
          <w:szCs w:val="44"/>
          <w:highlight w:val="none"/>
        </w:rPr>
      </w:pPr>
    </w:p>
    <w:p w14:paraId="116EABAE">
      <w:pPr>
        <w:spacing w:line="480" w:lineRule="exact"/>
        <w:ind w:firstLine="3697" w:firstLineChars="837"/>
        <w:rPr>
          <w:rFonts w:hint="eastAsia" w:ascii="宋体" w:hAnsi="宋体" w:eastAsia="宋体" w:cs="宋体"/>
          <w:b/>
          <w:color w:val="auto"/>
          <w:sz w:val="44"/>
          <w:szCs w:val="44"/>
          <w:highlight w:val="none"/>
        </w:rPr>
      </w:pPr>
    </w:p>
    <w:p w14:paraId="29D86B89">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14:paraId="36047FA8">
      <w:pPr>
        <w:pStyle w:val="7"/>
        <w:rPr>
          <w:rFonts w:hint="eastAsia" w:ascii="宋体" w:hAnsi="宋体" w:eastAsia="宋体" w:cs="宋体"/>
        </w:rPr>
      </w:pPr>
    </w:p>
    <w:p w14:paraId="7E1220F0">
      <w:pPr>
        <w:spacing w:line="480" w:lineRule="exact"/>
        <w:ind w:firstLine="3697" w:firstLineChars="837"/>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14:paraId="73ECCEBE">
      <w:pPr>
        <w:spacing w:line="500" w:lineRule="exact"/>
        <w:ind w:firstLine="2551" w:firstLineChars="1063"/>
        <w:rPr>
          <w:rFonts w:hint="eastAsia" w:ascii="宋体" w:hAnsi="宋体" w:eastAsia="宋体" w:cs="宋体"/>
          <w:color w:val="auto"/>
          <w:sz w:val="24"/>
          <w:highlight w:val="none"/>
        </w:rPr>
      </w:pPr>
    </w:p>
    <w:p w14:paraId="4F4F445D">
      <w:pPr>
        <w:spacing w:line="500" w:lineRule="exact"/>
        <w:ind w:left="0" w:leftChars="0" w:firstLine="1058" w:firstLineChars="441"/>
        <w:rPr>
          <w:rFonts w:hint="eastAsia" w:ascii="宋体" w:hAnsi="宋体" w:eastAsia="宋体" w:cs="宋体"/>
          <w:color w:val="auto"/>
          <w:sz w:val="24"/>
          <w:highlight w:val="none"/>
        </w:rPr>
      </w:pPr>
      <w:r>
        <w:rPr>
          <w:rFonts w:hint="eastAsia" w:ascii="宋体" w:hAnsi="宋体" w:eastAsia="宋体" w:cs="宋体"/>
          <w:color w:val="auto"/>
          <w:sz w:val="24"/>
          <w:highlight w:val="none"/>
        </w:rPr>
        <w:t>1.响应函</w:t>
      </w:r>
    </w:p>
    <w:p w14:paraId="1F7BF35F">
      <w:pPr>
        <w:spacing w:line="500" w:lineRule="exact"/>
        <w:ind w:left="0" w:leftChars="0" w:firstLine="1058" w:firstLineChars="441"/>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cs="宋体"/>
          <w:color w:val="auto"/>
          <w:sz w:val="24"/>
          <w:highlight w:val="none"/>
          <w:lang w:val="en-US" w:eastAsia="zh-CN"/>
        </w:rPr>
        <w:t>第一次</w:t>
      </w:r>
      <w:r>
        <w:rPr>
          <w:rFonts w:hint="eastAsia" w:ascii="宋体" w:hAnsi="宋体" w:eastAsia="宋体" w:cs="宋体"/>
          <w:color w:val="auto"/>
          <w:sz w:val="24"/>
          <w:highlight w:val="none"/>
        </w:rPr>
        <w:t>磋商报价表</w:t>
      </w:r>
    </w:p>
    <w:p w14:paraId="3302D858">
      <w:pPr>
        <w:spacing w:line="500" w:lineRule="exact"/>
        <w:ind w:left="0" w:leftChars="0" w:firstLine="1058" w:firstLineChars="44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3.分项报价表</w:t>
      </w:r>
    </w:p>
    <w:p w14:paraId="6A45A93D">
      <w:pPr>
        <w:spacing w:line="500" w:lineRule="exact"/>
        <w:ind w:left="0" w:leftChars="0" w:firstLine="1058" w:firstLineChars="44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.技术偏离表</w:t>
      </w:r>
    </w:p>
    <w:p w14:paraId="23034DE6">
      <w:pPr>
        <w:spacing w:line="500" w:lineRule="exact"/>
        <w:ind w:left="0" w:leftChars="0" w:firstLine="1058" w:firstLineChars="44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.商务偏离表</w:t>
      </w:r>
    </w:p>
    <w:p w14:paraId="34C35F8C">
      <w:pPr>
        <w:spacing w:line="500" w:lineRule="exact"/>
        <w:ind w:left="0" w:leftChars="0" w:firstLine="1058" w:firstLineChars="441"/>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6.保证金缴纳凭证</w:t>
      </w:r>
    </w:p>
    <w:p w14:paraId="3ACE5F78">
      <w:pPr>
        <w:spacing w:line="500" w:lineRule="exact"/>
        <w:ind w:left="0" w:leftChars="0" w:firstLine="1058" w:firstLineChars="441"/>
        <w:rPr>
          <w:rFonts w:hint="eastAsia" w:ascii="宋体" w:hAnsi="宋体" w:eastAsia="宋体" w:cs="宋体"/>
          <w:color w:val="auto"/>
          <w:sz w:val="24"/>
          <w:highlight w:val="none"/>
        </w:rPr>
      </w:pPr>
      <w:r>
        <w:rPr>
          <w:rFonts w:hint="eastAsia" w:cs="宋体"/>
          <w:color w:val="auto"/>
          <w:sz w:val="24"/>
          <w:highlight w:val="none"/>
          <w:lang w:val="en-US" w:eastAsia="zh-CN"/>
        </w:rPr>
        <w:t>7</w:t>
      </w:r>
      <w:r>
        <w:rPr>
          <w:rFonts w:hint="eastAsia" w:ascii="宋体" w:hAnsi="宋体" w:eastAsia="宋体" w:cs="宋体"/>
          <w:color w:val="auto"/>
          <w:sz w:val="24"/>
          <w:highlight w:val="none"/>
        </w:rPr>
        <w:t>.服务方案说明</w:t>
      </w:r>
    </w:p>
    <w:p w14:paraId="71129F53">
      <w:pPr>
        <w:spacing w:line="500" w:lineRule="exact"/>
        <w:ind w:left="0" w:leftChars="0" w:firstLine="1058" w:firstLineChars="441"/>
        <w:rPr>
          <w:rFonts w:hint="eastAsia" w:ascii="宋体" w:hAnsi="宋体" w:eastAsia="宋体" w:cs="宋体"/>
          <w:color w:val="auto"/>
          <w:sz w:val="24"/>
          <w:highlight w:val="none"/>
          <w:lang w:val="zh-CN" w:eastAsia="zh-CN"/>
        </w:rPr>
      </w:pPr>
      <w:r>
        <w:rPr>
          <w:rFonts w:hint="eastAsia" w:cs="宋体"/>
          <w:color w:val="auto"/>
          <w:sz w:val="24"/>
          <w:highlight w:val="none"/>
          <w:lang w:val="en-US" w:eastAsia="zh-CN"/>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zh-CN" w:eastAsia="zh-CN"/>
        </w:rPr>
        <w:t>供应商资格证明文件</w:t>
      </w:r>
    </w:p>
    <w:p w14:paraId="1008174C">
      <w:pPr>
        <w:spacing w:line="500" w:lineRule="exact"/>
        <w:ind w:left="0" w:leftChars="0" w:firstLine="1058" w:firstLineChars="441"/>
        <w:rPr>
          <w:rFonts w:hint="eastAsia" w:ascii="宋体" w:hAnsi="宋体" w:eastAsia="宋体" w:cs="宋体"/>
          <w:color w:val="auto"/>
          <w:sz w:val="24"/>
          <w:highlight w:val="none"/>
          <w:lang w:val="zh-CN"/>
        </w:rPr>
      </w:pPr>
      <w:r>
        <w:rPr>
          <w:rFonts w:hint="eastAsia" w:cs="宋体"/>
          <w:color w:val="auto"/>
          <w:sz w:val="24"/>
          <w:highlight w:val="none"/>
          <w:lang w:val="en-US" w:eastAsia="zh-CN"/>
        </w:rPr>
        <w:t>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zh-CN"/>
        </w:rPr>
        <w:t>供应商承诺书</w:t>
      </w:r>
    </w:p>
    <w:p w14:paraId="171E4160">
      <w:pPr>
        <w:spacing w:line="500" w:lineRule="exact"/>
        <w:ind w:left="0" w:leftChars="0" w:firstLine="1058" w:firstLineChars="441"/>
        <w:rPr>
          <w:rFonts w:hint="eastAsia" w:ascii="宋体" w:hAnsi="宋体" w:eastAsia="宋体" w:cs="宋体"/>
          <w:color w:val="auto"/>
          <w:sz w:val="24"/>
          <w:highlight w:val="none"/>
          <w:lang w:val="en-US" w:eastAsia="zh-CN"/>
        </w:rPr>
      </w:pPr>
      <w:r>
        <w:rPr>
          <w:rFonts w:hint="eastAsia" w:cs="宋体"/>
          <w:color w:val="auto"/>
          <w:sz w:val="24"/>
          <w:highlight w:val="none"/>
          <w:lang w:val="en-US" w:eastAsia="zh-CN"/>
        </w:rPr>
        <w:t>10</w:t>
      </w:r>
      <w:r>
        <w:rPr>
          <w:rFonts w:hint="eastAsia" w:ascii="宋体" w:hAnsi="宋体" w:eastAsia="宋体" w:cs="宋体"/>
          <w:color w:val="auto"/>
          <w:sz w:val="24"/>
          <w:highlight w:val="none"/>
          <w:lang w:val="en-US" w:eastAsia="zh-CN"/>
        </w:rPr>
        <w:t>.供应商认为有必要说明的事宜（若有）</w:t>
      </w:r>
    </w:p>
    <w:p w14:paraId="349A8DD4">
      <w:pPr>
        <w:keepNext w:val="0"/>
        <w:keepLines w:val="0"/>
        <w:pageBreakBefore w:val="0"/>
        <w:widowControl w:val="0"/>
        <w:kinsoku/>
        <w:wordWrap/>
        <w:overflowPunct/>
        <w:topLinePunct w:val="0"/>
        <w:bidi w:val="0"/>
        <w:spacing w:line="336" w:lineRule="auto"/>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br w:type="page"/>
      </w:r>
      <w:bookmarkStart w:id="31" w:name="_Toc25740"/>
      <w:bookmarkStart w:id="32" w:name="_Toc20427"/>
      <w:r>
        <w:rPr>
          <w:rFonts w:hint="eastAsia" w:ascii="宋体" w:hAnsi="宋体" w:eastAsia="宋体" w:cs="宋体"/>
          <w:b/>
          <w:color w:val="auto"/>
          <w:sz w:val="32"/>
          <w:szCs w:val="32"/>
          <w:highlight w:val="none"/>
        </w:rPr>
        <w:t>一、响应函</w:t>
      </w:r>
      <w:bookmarkEnd w:id="31"/>
      <w:bookmarkEnd w:id="32"/>
    </w:p>
    <w:p w14:paraId="3035DBE1">
      <w:pPr>
        <w:keepNext w:val="0"/>
        <w:keepLines w:val="0"/>
        <w:pageBreakBefore w:val="0"/>
        <w:widowControl w:val="0"/>
        <w:kinsoku/>
        <w:wordWrap/>
        <w:overflowPunct/>
        <w:topLinePunct w:val="0"/>
        <w:bidi w:val="0"/>
        <w:snapToGrid w:val="0"/>
        <w:spacing w:line="336" w:lineRule="auto"/>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pacing w:val="4"/>
          <w:sz w:val="24"/>
          <w:szCs w:val="24"/>
          <w:highlight w:val="none"/>
          <w:u w:val="single"/>
        </w:rPr>
        <w:t>（采购代理机构）</w:t>
      </w:r>
      <w:r>
        <w:rPr>
          <w:rFonts w:hint="eastAsia" w:ascii="宋体" w:hAnsi="宋体" w:eastAsia="宋体" w:cs="宋体"/>
          <w:b/>
          <w:bCs/>
          <w:color w:val="auto"/>
          <w:sz w:val="24"/>
          <w:szCs w:val="24"/>
          <w:highlight w:val="none"/>
          <w:lang w:val="zh-CN"/>
        </w:rPr>
        <w:t>：</w:t>
      </w:r>
    </w:p>
    <w:p w14:paraId="76660F79">
      <w:pPr>
        <w:keepNext w:val="0"/>
        <w:keepLines w:val="0"/>
        <w:pageBreakBefore w:val="0"/>
        <w:widowControl w:val="0"/>
        <w:kinsoku/>
        <w:wordWrap/>
        <w:overflowPunct/>
        <w:topLinePunct w:val="0"/>
        <w:autoSpaceDE w:val="0"/>
        <w:autoSpaceDN w:val="0"/>
        <w:bidi w:val="0"/>
        <w:adjustRightInd w:val="0"/>
        <w:snapToGrid w:val="0"/>
        <w:spacing w:line="336" w:lineRule="auto"/>
        <w:ind w:firstLine="63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我单位收到贵公司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）的磋商文件，经详细研究，我们决定参加本次项目磋商采购。为此，我方郑重声明以下诸点，并负法律责任。</w:t>
      </w:r>
    </w:p>
    <w:p w14:paraId="6D9A9111">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一、愿意按照磋商文件中的一切要求，向采购人提供所需服务。</w:t>
      </w:r>
    </w:p>
    <w:p w14:paraId="323AADE1">
      <w:pPr>
        <w:keepNext w:val="0"/>
        <w:keepLines w:val="0"/>
        <w:pageBreakBefore w:val="0"/>
        <w:widowControl w:val="0"/>
        <w:kinsoku/>
        <w:wordWrap/>
        <w:overflowPunct/>
        <w:topLinePunct w:val="0"/>
        <w:bidi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二、按磋商文件的规定，我公司的第一次磋商报价为：</w:t>
      </w:r>
      <w:r>
        <w:rPr>
          <w:rFonts w:hint="eastAsia" w:ascii="宋体" w:hAnsi="宋体" w:eastAsia="宋体" w:cs="宋体"/>
          <w:color w:val="auto"/>
          <w:sz w:val="24"/>
          <w:szCs w:val="24"/>
          <w:highlight w:val="none"/>
          <w:u w:val="single"/>
          <w:shd w:val="clear"/>
        </w:rPr>
        <w:t xml:space="preserve"> </w:t>
      </w:r>
      <w:r>
        <w:rPr>
          <w:rFonts w:hint="eastAsia" w:cs="宋体"/>
          <w:color w:val="auto"/>
          <w:sz w:val="24"/>
          <w:szCs w:val="24"/>
          <w:highlight w:val="none"/>
          <w:u w:val="single"/>
          <w:shd w:val="clear"/>
          <w:lang w:val="en-US" w:eastAsia="zh-CN"/>
        </w:rPr>
        <w:t xml:space="preserve">大写：    小写：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并对其后的磋商报价负法律责任。</w:t>
      </w:r>
    </w:p>
    <w:p w14:paraId="1CBA11E4">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三、我方提交的磋商响应文件电子版</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份，并保证磋商响应文件提供的数据和材料真实、准确。否则，愿承担相关的法律责任。</w:t>
      </w:r>
    </w:p>
    <w:p w14:paraId="15127C33">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四、我方已详细阅读了磋商文件，完全理解并放弃提出含糊不清或易形成歧义的表述和资料。</w:t>
      </w:r>
    </w:p>
    <w:p w14:paraId="52430A9F">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五、我方愿意向贵方提供任何与本次磋商有关的数据、情况和技术资料，若贵方需要，我方愿意提供我方作出的一切承诺的证明材料。</w:t>
      </w:r>
    </w:p>
    <w:p w14:paraId="0EF94EDE">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六、我方的磋商有效期：</w:t>
      </w:r>
      <w:r>
        <w:rPr>
          <w:rFonts w:hint="eastAsia" w:ascii="宋体" w:hAnsi="宋体" w:eastAsia="宋体" w:cs="宋体"/>
          <w:sz w:val="24"/>
          <w:szCs w:val="24"/>
          <w:highlight w:val="none"/>
        </w:rPr>
        <w:t>自提交磋商响应文件截止之日起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个日历日</w:t>
      </w:r>
      <w:r>
        <w:rPr>
          <w:rFonts w:hint="eastAsia" w:ascii="宋体" w:hAnsi="宋体" w:eastAsia="宋体" w:cs="宋体"/>
          <w:color w:val="auto"/>
          <w:sz w:val="24"/>
          <w:szCs w:val="24"/>
          <w:highlight w:val="none"/>
        </w:rPr>
        <w:t>。</w:t>
      </w:r>
    </w:p>
    <w:p w14:paraId="1D440FFC">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我方承诺遵守《中华人民共和国政府采购法》及其实施条例的有关规定，保证在获得成交资格后：</w:t>
      </w:r>
    </w:p>
    <w:p w14:paraId="08BA9DB8">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（1）按照磋商文件确定的事项签订合同，履行双方所签订的合同，并承担合同规定的责任和义务；</w:t>
      </w:r>
    </w:p>
    <w:p w14:paraId="126B0C69">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（2）我方保证按规定和标准向贵方缴纳招标代理服务费；</w:t>
      </w:r>
    </w:p>
    <w:p w14:paraId="3167EA16">
      <w:pPr>
        <w:pStyle w:val="7"/>
        <w:keepNext w:val="0"/>
        <w:keepLines w:val="0"/>
        <w:pageBreakBefore w:val="0"/>
        <w:widowControl w:val="0"/>
        <w:kinsoku/>
        <w:wordWrap/>
        <w:overflowPunct/>
        <w:topLinePunct w:val="0"/>
        <w:bidi w:val="0"/>
        <w:spacing w:line="336"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（3）磋商响应文件有效期延长至合同履行完毕。</w:t>
      </w:r>
    </w:p>
    <w:p w14:paraId="5AFB1515">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、我方完全理解最低报价不是成交的唯一条件，并尊重磋商小组的评审结论和成交结果。</w:t>
      </w:r>
    </w:p>
    <w:p w14:paraId="6FB1F0B4">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、有关于本磋商响应文件的函电，请按下列地址联系。</w:t>
      </w:r>
    </w:p>
    <w:p w14:paraId="7AF51731">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供应商全称（加盖公章）：</w:t>
      </w:r>
      <w:r>
        <w:rPr>
          <w:rFonts w:hint="eastAsia" w:ascii="宋体" w:hAnsi="宋体" w:eastAsia="宋体" w:cs="宋体"/>
          <w:b/>
          <w:color w:val="auto"/>
          <w:sz w:val="24"/>
          <w:szCs w:val="24"/>
          <w:highlight w:val="none"/>
          <w:u w:val="single"/>
        </w:rPr>
        <w:t xml:space="preserve">                            </w:t>
      </w:r>
    </w:p>
    <w:p w14:paraId="50993CE9">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法定代表人/授权代表（签字</w:t>
      </w:r>
      <w:r>
        <w:rPr>
          <w:rFonts w:hint="eastAsia" w:ascii="宋体" w:hAnsi="宋体" w:eastAsia="宋体" w:cs="宋体"/>
          <w:color w:val="auto"/>
          <w:sz w:val="24"/>
          <w:szCs w:val="24"/>
          <w:highlight w:val="none"/>
          <w:lang w:val="en-US"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12C22250">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b/>
          <w:color w:val="auto"/>
          <w:sz w:val="24"/>
          <w:szCs w:val="24"/>
          <w:highlight w:val="none"/>
          <w:u w:val="single"/>
        </w:rPr>
        <w:t xml:space="preserve">                                          </w:t>
      </w:r>
    </w:p>
    <w:p w14:paraId="31E697FA">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b/>
          <w:color w:val="auto"/>
          <w:sz w:val="24"/>
          <w:szCs w:val="24"/>
          <w:highlight w:val="none"/>
          <w:u w:val="single"/>
        </w:rPr>
        <w:t xml:space="preserve">                                          </w:t>
      </w:r>
    </w:p>
    <w:p w14:paraId="01DB9B25">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r>
        <w:rPr>
          <w:rFonts w:hint="eastAsia" w:ascii="宋体" w:hAnsi="宋体" w:eastAsia="宋体" w:cs="宋体"/>
          <w:b/>
          <w:color w:val="auto"/>
          <w:sz w:val="24"/>
          <w:szCs w:val="24"/>
          <w:highlight w:val="none"/>
          <w:u w:val="single"/>
        </w:rPr>
        <w:t xml:space="preserve">                                          </w:t>
      </w:r>
    </w:p>
    <w:p w14:paraId="68DD7266">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b/>
          <w:color w:val="auto"/>
          <w:sz w:val="24"/>
          <w:szCs w:val="24"/>
          <w:highlight w:val="none"/>
          <w:u w:val="single"/>
        </w:rPr>
        <w:t xml:space="preserve">                                          </w:t>
      </w:r>
    </w:p>
    <w:p w14:paraId="67E45987">
      <w:pPr>
        <w:keepNext w:val="0"/>
        <w:keepLines w:val="0"/>
        <w:pageBreakBefore w:val="0"/>
        <w:widowControl w:val="0"/>
        <w:kinsoku/>
        <w:wordWrap/>
        <w:overflowPunct/>
        <w:topLinePunct w:val="0"/>
        <w:autoSpaceDE w:val="0"/>
        <w:autoSpaceDN w:val="0"/>
        <w:bidi w:val="0"/>
        <w:adjustRightInd w:val="0"/>
        <w:snapToGrid w:val="0"/>
        <w:spacing w:line="33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b/>
          <w:color w:val="auto"/>
          <w:sz w:val="24"/>
          <w:szCs w:val="24"/>
          <w:highlight w:val="none"/>
          <w:u w:val="single"/>
        </w:rPr>
        <w:t xml:space="preserve">                                          </w:t>
      </w:r>
    </w:p>
    <w:p w14:paraId="2393A443">
      <w:pPr>
        <w:keepNext w:val="0"/>
        <w:keepLines w:val="0"/>
        <w:pageBreakBefore w:val="0"/>
        <w:widowControl w:val="0"/>
        <w:kinsoku/>
        <w:wordWrap/>
        <w:overflowPunct/>
        <w:topLinePunct w:val="0"/>
        <w:autoSpaceDE w:val="0"/>
        <w:autoSpaceDN w:val="0"/>
        <w:bidi w:val="0"/>
        <w:adjustRightInd w:val="0"/>
        <w:snapToGrid w:val="0"/>
        <w:spacing w:line="336" w:lineRule="auto"/>
        <w:ind w:firstLine="4080" w:firstLineChars="1700"/>
        <w:jc w:val="both"/>
        <w:textAlignment w:val="auto"/>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bookmarkStart w:id="33" w:name="_Toc7905"/>
      <w:r>
        <w:rPr>
          <w:rFonts w:hint="eastAsia" w:ascii="宋体" w:hAnsi="宋体" w:eastAsia="宋体" w:cs="宋体"/>
          <w:b/>
          <w:color w:val="auto"/>
          <w:sz w:val="32"/>
          <w:szCs w:val="32"/>
          <w:highlight w:val="none"/>
        </w:rPr>
        <w:br w:type="page"/>
      </w:r>
    </w:p>
    <w:p w14:paraId="380A3468">
      <w:pPr>
        <w:snapToGrid w:val="0"/>
        <w:spacing w:line="360" w:lineRule="auto"/>
        <w:jc w:val="center"/>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w:t>
      </w:r>
      <w:r>
        <w:rPr>
          <w:rFonts w:hint="eastAsia" w:cs="宋体"/>
          <w:b/>
          <w:color w:val="auto"/>
          <w:sz w:val="32"/>
          <w:szCs w:val="32"/>
          <w:highlight w:val="none"/>
          <w:lang w:val="en-US" w:eastAsia="zh-CN"/>
        </w:rPr>
        <w:t>第一次</w:t>
      </w:r>
      <w:r>
        <w:rPr>
          <w:rFonts w:hint="eastAsia" w:ascii="宋体" w:hAnsi="宋体" w:eastAsia="宋体" w:cs="宋体"/>
          <w:b/>
          <w:color w:val="auto"/>
          <w:sz w:val="32"/>
          <w:szCs w:val="32"/>
          <w:highlight w:val="none"/>
        </w:rPr>
        <w:t>磋商报价表</w:t>
      </w:r>
      <w:bookmarkEnd w:id="33"/>
      <w:r>
        <w:rPr>
          <w:rFonts w:hint="eastAsia" w:ascii="宋体" w:hAnsi="宋体" w:eastAsia="宋体" w:cs="宋体"/>
          <w:b/>
          <w:color w:val="auto"/>
          <w:sz w:val="32"/>
          <w:szCs w:val="32"/>
          <w:highlight w:val="none"/>
        </w:rPr>
        <w:t xml:space="preserve">  </w:t>
      </w:r>
    </w:p>
    <w:tbl>
      <w:tblPr>
        <w:tblStyle w:val="20"/>
        <w:tblW w:w="9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1"/>
        <w:gridCol w:w="6811"/>
      </w:tblGrid>
      <w:tr w14:paraId="7FF52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2571" w:type="dxa"/>
            <w:noWrap w:val="0"/>
            <w:vAlign w:val="center"/>
          </w:tcPr>
          <w:p w14:paraId="37C09A91">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811" w:type="dxa"/>
            <w:noWrap w:val="0"/>
            <w:vAlign w:val="center"/>
          </w:tcPr>
          <w:p w14:paraId="36BA3A0C">
            <w:pPr>
              <w:keepNext w:val="0"/>
              <w:keepLines w:val="0"/>
              <w:pageBreakBefore w:val="0"/>
              <w:widowControl/>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2FB2F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2571" w:type="dxa"/>
            <w:noWrap w:val="0"/>
            <w:vAlign w:val="center"/>
          </w:tcPr>
          <w:p w14:paraId="23B679A7">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项目编号</w:t>
            </w:r>
          </w:p>
        </w:tc>
        <w:tc>
          <w:tcPr>
            <w:tcW w:w="6811" w:type="dxa"/>
            <w:noWrap w:val="0"/>
            <w:vAlign w:val="center"/>
          </w:tcPr>
          <w:p w14:paraId="53D0EE59">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3F9A1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2571" w:type="dxa"/>
            <w:noWrap w:val="0"/>
            <w:vAlign w:val="center"/>
          </w:tcPr>
          <w:p w14:paraId="3A424D60">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第一次磋商总报价</w:t>
            </w:r>
          </w:p>
          <w:p w14:paraId="4164F701">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元</w:t>
            </w:r>
            <w:r>
              <w:rPr>
                <w:rFonts w:hint="eastAsia" w:cs="宋体"/>
                <w:color w:val="auto"/>
                <w:sz w:val="24"/>
                <w:szCs w:val="24"/>
                <w:highlight w:val="none"/>
                <w:lang w:eastAsia="zh-CN"/>
              </w:rPr>
              <w:t>）</w:t>
            </w:r>
          </w:p>
        </w:tc>
        <w:tc>
          <w:tcPr>
            <w:tcW w:w="6811" w:type="dxa"/>
            <w:noWrap w:val="0"/>
            <w:vAlign w:val="center"/>
          </w:tcPr>
          <w:p w14:paraId="689EBB2A">
            <w:pPr>
              <w:keepNext w:val="0"/>
              <w:keepLines w:val="0"/>
              <w:pageBreakBefore w:val="0"/>
              <w:kinsoku/>
              <w:wordWrap/>
              <w:overflowPunct/>
              <w:topLinePunct w:val="0"/>
              <w:autoSpaceDE/>
              <w:autoSpaceDN/>
              <w:bidi w:val="0"/>
              <w:adjustRightInd/>
              <w:snapToGrid w:val="0"/>
              <w:spacing w:line="360" w:lineRule="auto"/>
              <w:ind w:firstLine="0" w:firstLineChars="0"/>
              <w:textAlignment w:val="auto"/>
              <w:rPr>
                <w:rFonts w:hint="eastAsia" w:ascii="宋体" w:hAnsi="宋体" w:eastAsia="宋体" w:cs="宋体"/>
                <w:color w:val="auto"/>
                <w:sz w:val="24"/>
                <w:szCs w:val="24"/>
                <w:highlight w:val="none"/>
              </w:rPr>
            </w:pPr>
          </w:p>
        </w:tc>
      </w:tr>
      <w:tr w14:paraId="1EFDD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jc w:val="center"/>
        </w:trPr>
        <w:tc>
          <w:tcPr>
            <w:tcW w:w="2571" w:type="dxa"/>
            <w:noWrap w:val="0"/>
            <w:vAlign w:val="center"/>
          </w:tcPr>
          <w:p w14:paraId="797A49DE">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w:t>
            </w:r>
          </w:p>
        </w:tc>
        <w:tc>
          <w:tcPr>
            <w:tcW w:w="6811" w:type="dxa"/>
            <w:noWrap w:val="0"/>
            <w:vAlign w:val="center"/>
          </w:tcPr>
          <w:p w14:paraId="4D01689A">
            <w:pPr>
              <w:keepNext w:val="0"/>
              <w:keepLines w:val="0"/>
              <w:pageBreakBefore w:val="0"/>
              <w:kinsoku/>
              <w:wordWrap/>
              <w:overflowPunct/>
              <w:topLinePunct w:val="0"/>
              <w:autoSpaceDE/>
              <w:autoSpaceDN/>
              <w:bidi w:val="0"/>
              <w:adjustRightInd/>
              <w:snapToGrid w:val="0"/>
              <w:spacing w:line="360" w:lineRule="auto"/>
              <w:ind w:firstLine="0" w:firstLineChars="0"/>
              <w:textAlignment w:val="auto"/>
              <w:rPr>
                <w:rFonts w:hint="eastAsia" w:ascii="宋体" w:hAnsi="宋体" w:eastAsia="宋体" w:cs="宋体"/>
                <w:color w:val="auto"/>
                <w:sz w:val="24"/>
                <w:szCs w:val="24"/>
                <w:highlight w:val="none"/>
              </w:rPr>
            </w:pPr>
          </w:p>
        </w:tc>
      </w:tr>
      <w:tr w14:paraId="1A9E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2571" w:type="dxa"/>
            <w:noWrap w:val="0"/>
            <w:vAlign w:val="center"/>
          </w:tcPr>
          <w:p w14:paraId="42F39851">
            <w:pPr>
              <w:keepNext w:val="0"/>
              <w:keepLines w:val="0"/>
              <w:pageBreakBefore w:val="0"/>
              <w:widowControl/>
              <w:kinsoku/>
              <w:wordWrap/>
              <w:overflowPunct/>
              <w:topLinePunct w:val="0"/>
              <w:autoSpaceDE/>
              <w:autoSpaceDN/>
              <w:bidi w:val="0"/>
              <w:adjustRightInd/>
              <w:snapToGrid w:val="0"/>
              <w:spacing w:line="360" w:lineRule="auto"/>
              <w:ind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w:t>
            </w:r>
            <w:r>
              <w:rPr>
                <w:rFonts w:hint="eastAsia" w:cs="宋体"/>
                <w:color w:val="auto"/>
                <w:sz w:val="24"/>
                <w:szCs w:val="24"/>
                <w:highlight w:val="none"/>
                <w:lang w:val="en-US" w:eastAsia="zh-CN"/>
              </w:rPr>
              <w:t>标准</w:t>
            </w:r>
          </w:p>
        </w:tc>
        <w:tc>
          <w:tcPr>
            <w:tcW w:w="6811" w:type="dxa"/>
            <w:noWrap w:val="0"/>
            <w:vAlign w:val="center"/>
          </w:tcPr>
          <w:p w14:paraId="563C2B7C">
            <w:pPr>
              <w:keepNext w:val="0"/>
              <w:keepLines w:val="0"/>
              <w:pageBreakBefore w:val="0"/>
              <w:widowControl/>
              <w:kinsoku/>
              <w:wordWrap/>
              <w:overflowPunct/>
              <w:topLinePunct w:val="0"/>
              <w:autoSpaceDE/>
              <w:autoSpaceDN/>
              <w:bidi w:val="0"/>
              <w:adjustRightInd/>
              <w:snapToGrid w:val="0"/>
              <w:spacing w:line="360" w:lineRule="auto"/>
              <w:ind w:firstLine="0" w:firstLineChars="0"/>
              <w:textAlignment w:val="auto"/>
              <w:rPr>
                <w:rFonts w:hint="eastAsia" w:ascii="宋体" w:hAnsi="宋体" w:eastAsia="宋体" w:cs="宋体"/>
                <w:color w:val="auto"/>
                <w:kern w:val="0"/>
                <w:sz w:val="24"/>
                <w:szCs w:val="24"/>
                <w:highlight w:val="none"/>
              </w:rPr>
            </w:pPr>
          </w:p>
        </w:tc>
      </w:tr>
      <w:tr w14:paraId="0EC57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9382" w:type="dxa"/>
            <w:gridSpan w:val="2"/>
            <w:noWrap w:val="0"/>
            <w:vAlign w:val="center"/>
          </w:tcPr>
          <w:p w14:paraId="25D7C471">
            <w:pPr>
              <w:keepNext w:val="0"/>
              <w:keepLines w:val="0"/>
              <w:pageBreakBefore w:val="0"/>
              <w:widowControl/>
              <w:kinsoku/>
              <w:wordWrap/>
              <w:overflowPunct/>
              <w:topLinePunct w:val="0"/>
              <w:autoSpaceDE/>
              <w:autoSpaceDN/>
              <w:bidi w:val="0"/>
              <w:adjustRightInd/>
              <w:snapToGrid w:val="0"/>
              <w:spacing w:line="360" w:lineRule="auto"/>
              <w:ind w:firstLine="0" w:firstLineChars="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注：1.报价单位为“人民币：元”，保留小数点后两位，大小写不一致时，以大写为准。</w:t>
            </w:r>
          </w:p>
          <w:p w14:paraId="75BF6A65">
            <w:pPr>
              <w:keepNext w:val="0"/>
              <w:keepLines w:val="0"/>
              <w:pageBreakBefore w:val="0"/>
              <w:widowControl/>
              <w:kinsoku/>
              <w:wordWrap/>
              <w:overflowPunct/>
              <w:topLinePunct w:val="0"/>
              <w:autoSpaceDE/>
              <w:autoSpaceDN/>
              <w:bidi w:val="0"/>
              <w:adjustRightInd/>
              <w:snapToGrid w:val="0"/>
              <w:spacing w:line="360" w:lineRule="auto"/>
              <w:ind w:firstLine="0" w:firstLineChars="0"/>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 xml:space="preserve">    2.除可填报项目外对本磋商报价表的任何修改将被视为非实质性响应磋商从而导致该磋商被拒绝。</w:t>
            </w:r>
          </w:p>
        </w:tc>
      </w:tr>
    </w:tbl>
    <w:p w14:paraId="6D445C5F">
      <w:pPr>
        <w:snapToGrid w:val="0"/>
        <w:spacing w:line="360" w:lineRule="auto"/>
        <w:ind w:left="0" w:leftChars="0" w:firstLine="0" w:firstLineChars="0"/>
        <w:rPr>
          <w:rFonts w:hint="eastAsia" w:ascii="宋体" w:hAnsi="宋体" w:eastAsia="宋体" w:cs="宋体"/>
          <w:color w:val="auto"/>
          <w:sz w:val="28"/>
          <w:szCs w:val="28"/>
          <w:highlight w:val="none"/>
        </w:rPr>
      </w:pPr>
    </w:p>
    <w:p w14:paraId="69C64050">
      <w:pPr>
        <w:snapToGrid w:val="0"/>
        <w:spacing w:line="360" w:lineRule="auto"/>
        <w:ind w:firstLine="3158" w:firstLineChars="13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（供应商名称）         </w:t>
      </w:r>
    </w:p>
    <w:p w14:paraId="1E27C2A6">
      <w:pPr>
        <w:snapToGrid w:val="0"/>
        <w:spacing w:line="360" w:lineRule="auto"/>
        <w:ind w:firstLine="3158" w:firstLineChars="131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法定代表人/授权代表（签字或盖章）：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49A5E45">
      <w:pPr>
        <w:autoSpaceDE w:val="0"/>
        <w:autoSpaceDN w:val="0"/>
        <w:adjustRightInd w:val="0"/>
        <w:snapToGrid w:val="0"/>
        <w:spacing w:line="360" w:lineRule="auto"/>
        <w:ind w:firstLine="3120" w:firstLineChars="1300"/>
        <w:jc w:val="both"/>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bookmarkStart w:id="34" w:name="_Toc27699"/>
      <w:bookmarkStart w:id="35" w:name="_Toc1822"/>
      <w:bookmarkStart w:id="36" w:name="_Toc27543"/>
      <w:bookmarkStart w:id="37" w:name="_Toc13929"/>
      <w:bookmarkStart w:id="38" w:name="_Toc458617477"/>
      <w:bookmarkStart w:id="39" w:name="_Toc47261885"/>
      <w:bookmarkStart w:id="40" w:name="_Toc237"/>
      <w:bookmarkStart w:id="41" w:name="_Toc49019497"/>
      <w:bookmarkStart w:id="42" w:name="_Toc47262069"/>
      <w:bookmarkStart w:id="43" w:name="_Toc47418255"/>
      <w:bookmarkStart w:id="44" w:name="_Toc49019236"/>
      <w:bookmarkStart w:id="45" w:name="_Toc47418938"/>
      <w:bookmarkStart w:id="46" w:name="_Toc47418731"/>
      <w:bookmarkStart w:id="47" w:name="_Toc48995851"/>
      <w:bookmarkStart w:id="48" w:name="_Toc193126888"/>
      <w:bookmarkStart w:id="49" w:name="_Toc13908"/>
      <w:bookmarkStart w:id="50" w:name="_Toc48791235"/>
      <w:bookmarkStart w:id="51" w:name="_Toc193187104"/>
      <w:bookmarkStart w:id="52" w:name="_Toc188808839"/>
      <w:bookmarkStart w:id="53" w:name="_Toc194663925"/>
      <w:bookmarkStart w:id="54" w:name="_Toc47261690"/>
    </w:p>
    <w:p w14:paraId="5B04472A">
      <w:pPr>
        <w:autoSpaceDE w:val="0"/>
        <w:autoSpaceDN w:val="0"/>
        <w:adjustRightInd w:val="0"/>
        <w:snapToGrid w:val="0"/>
        <w:spacing w:line="360" w:lineRule="auto"/>
        <w:jc w:val="center"/>
        <w:outlineLvl w:val="9"/>
        <w:rPr>
          <w:rFonts w:hint="eastAsia" w:ascii="宋体" w:hAnsi="宋体" w:eastAsia="宋体" w:cs="宋体"/>
          <w:color w:val="auto"/>
          <w:sz w:val="24"/>
          <w:szCs w:val="24"/>
          <w:highlight w:val="none"/>
          <w:u w:val="single"/>
        </w:rPr>
      </w:pPr>
    </w:p>
    <w:p w14:paraId="44B05520">
      <w:pPr>
        <w:autoSpaceDE w:val="0"/>
        <w:autoSpaceDN w:val="0"/>
        <w:adjustRightInd w:val="0"/>
        <w:snapToGrid w:val="0"/>
        <w:spacing w:line="360" w:lineRule="auto"/>
        <w:jc w:val="center"/>
        <w:outlineLvl w:val="9"/>
        <w:rPr>
          <w:rFonts w:hint="eastAsia" w:ascii="宋体" w:hAnsi="宋体" w:eastAsia="宋体" w:cs="宋体"/>
          <w:color w:val="auto"/>
          <w:sz w:val="24"/>
          <w:szCs w:val="24"/>
          <w:highlight w:val="none"/>
          <w:u w:val="single"/>
        </w:rPr>
      </w:pPr>
    </w:p>
    <w:p w14:paraId="58C4B316">
      <w:pPr>
        <w:autoSpaceDE w:val="0"/>
        <w:autoSpaceDN w:val="0"/>
        <w:adjustRightInd w:val="0"/>
        <w:snapToGrid w:val="0"/>
        <w:spacing w:line="360" w:lineRule="auto"/>
        <w:jc w:val="center"/>
        <w:outlineLvl w:val="9"/>
        <w:rPr>
          <w:rFonts w:hint="eastAsia" w:ascii="宋体" w:hAnsi="宋体" w:eastAsia="宋体" w:cs="宋体"/>
          <w:color w:val="auto"/>
          <w:sz w:val="24"/>
          <w:szCs w:val="24"/>
          <w:highlight w:val="none"/>
          <w:u w:val="single"/>
        </w:rPr>
      </w:pPr>
    </w:p>
    <w:p w14:paraId="3F6B72EF">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br w:type="page"/>
      </w:r>
    </w:p>
    <w:p w14:paraId="454FEA62">
      <w:pPr>
        <w:snapToGrid w:val="0"/>
        <w:spacing w:line="360" w:lineRule="auto"/>
        <w:jc w:val="center"/>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三</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eastAsia="zh-CN"/>
        </w:rPr>
        <w:t>分项</w:t>
      </w:r>
      <w:r>
        <w:rPr>
          <w:rFonts w:hint="eastAsia" w:ascii="宋体" w:hAnsi="宋体" w:eastAsia="宋体" w:cs="宋体"/>
          <w:b/>
          <w:color w:val="auto"/>
          <w:sz w:val="32"/>
          <w:szCs w:val="32"/>
          <w:highlight w:val="none"/>
        </w:rPr>
        <w:t xml:space="preserve">报价表  </w:t>
      </w:r>
    </w:p>
    <w:p w14:paraId="7018ECCB">
      <w:pPr>
        <w:widowControl/>
        <w:snapToGrid w:val="0"/>
        <w:spacing w:line="360" w:lineRule="auto"/>
        <w:ind w:firstLine="560" w:firstLineChars="200"/>
        <w:jc w:val="center"/>
        <w:rPr>
          <w:rFonts w:hint="eastAsia" w:ascii="宋体" w:hAnsi="宋体" w:eastAsia="宋体" w:cs="宋体"/>
          <w:bCs/>
          <w:color w:val="auto"/>
          <w:kern w:val="0"/>
          <w:sz w:val="28"/>
          <w:szCs w:val="28"/>
          <w:highlight w:val="none"/>
          <w:lang w:eastAsia="zh-CN"/>
        </w:rPr>
      </w:pPr>
      <w:r>
        <w:rPr>
          <w:rFonts w:hint="eastAsia" w:ascii="宋体" w:hAnsi="宋体" w:eastAsia="宋体" w:cs="宋体"/>
          <w:bCs/>
          <w:color w:val="auto"/>
          <w:kern w:val="0"/>
          <w:sz w:val="28"/>
          <w:szCs w:val="28"/>
          <w:highlight w:val="none"/>
          <w:lang w:eastAsia="zh-CN"/>
        </w:rPr>
        <w:t>（</w:t>
      </w:r>
      <w:r>
        <w:rPr>
          <w:rFonts w:hint="eastAsia" w:ascii="宋体" w:hAnsi="宋体" w:eastAsia="宋体" w:cs="宋体"/>
          <w:bCs/>
          <w:color w:val="auto"/>
          <w:kern w:val="0"/>
          <w:sz w:val="28"/>
          <w:szCs w:val="28"/>
          <w:highlight w:val="none"/>
          <w:lang w:val="en-US" w:eastAsia="zh-CN"/>
        </w:rPr>
        <w:t>格式自拟</w:t>
      </w:r>
      <w:r>
        <w:rPr>
          <w:rFonts w:hint="eastAsia" w:ascii="宋体" w:hAnsi="宋体" w:eastAsia="宋体" w:cs="宋体"/>
          <w:bCs/>
          <w:color w:val="auto"/>
          <w:kern w:val="0"/>
          <w:sz w:val="28"/>
          <w:szCs w:val="28"/>
          <w:highlight w:val="none"/>
          <w:lang w:eastAsia="zh-CN"/>
        </w:rPr>
        <w:t>）</w:t>
      </w:r>
    </w:p>
    <w:p w14:paraId="43124C6B">
      <w:pPr>
        <w:widowControl/>
        <w:snapToGrid w:val="0"/>
        <w:spacing w:line="360" w:lineRule="auto"/>
        <w:ind w:firstLine="560" w:firstLineChars="200"/>
        <w:jc w:val="center"/>
        <w:rPr>
          <w:rFonts w:hint="eastAsia" w:ascii="宋体" w:hAnsi="宋体" w:eastAsia="宋体" w:cs="宋体"/>
          <w:bCs/>
          <w:color w:val="auto"/>
          <w:kern w:val="0"/>
          <w:sz w:val="28"/>
          <w:szCs w:val="28"/>
          <w:highlight w:val="none"/>
          <w:lang w:eastAsia="zh-CN"/>
        </w:rPr>
      </w:pPr>
    </w:p>
    <w:p w14:paraId="48C81E45">
      <w:pPr>
        <w:widowControl/>
        <w:snapToGrid w:val="0"/>
        <w:spacing w:line="360" w:lineRule="auto"/>
        <w:ind w:firstLine="560" w:firstLineChars="200"/>
        <w:jc w:val="center"/>
        <w:rPr>
          <w:rFonts w:hint="eastAsia" w:ascii="宋体" w:hAnsi="宋体" w:eastAsia="宋体" w:cs="宋体"/>
          <w:bCs/>
          <w:color w:val="auto"/>
          <w:kern w:val="0"/>
          <w:sz w:val="28"/>
          <w:szCs w:val="28"/>
          <w:highlight w:val="none"/>
          <w:lang w:eastAsia="zh-CN"/>
        </w:rPr>
      </w:pPr>
    </w:p>
    <w:p w14:paraId="4FC2ACBB">
      <w:pPr>
        <w:widowControl/>
        <w:snapToGrid w:val="0"/>
        <w:spacing w:line="360" w:lineRule="auto"/>
        <w:ind w:firstLine="560" w:firstLineChars="200"/>
        <w:jc w:val="center"/>
        <w:rPr>
          <w:rFonts w:hint="eastAsia" w:ascii="宋体" w:hAnsi="宋体" w:eastAsia="宋体" w:cs="宋体"/>
          <w:bCs/>
          <w:color w:val="auto"/>
          <w:kern w:val="0"/>
          <w:sz w:val="28"/>
          <w:szCs w:val="28"/>
          <w:highlight w:val="none"/>
          <w:lang w:eastAsia="zh-CN"/>
        </w:rPr>
      </w:pPr>
    </w:p>
    <w:p w14:paraId="44C2A22E">
      <w:pPr>
        <w:widowControl/>
        <w:snapToGrid w:val="0"/>
        <w:spacing w:line="360" w:lineRule="auto"/>
        <w:ind w:firstLine="560" w:firstLineChars="200"/>
        <w:jc w:val="center"/>
        <w:rPr>
          <w:rFonts w:hint="eastAsia" w:ascii="宋体" w:hAnsi="宋体" w:eastAsia="宋体" w:cs="宋体"/>
          <w:bCs/>
          <w:color w:val="auto"/>
          <w:kern w:val="0"/>
          <w:sz w:val="28"/>
          <w:szCs w:val="28"/>
          <w:highlight w:val="none"/>
          <w:lang w:eastAsia="zh-CN"/>
        </w:rPr>
      </w:pPr>
    </w:p>
    <w:p w14:paraId="6E8A03D7">
      <w:pPr>
        <w:widowControl/>
        <w:snapToGrid w:val="0"/>
        <w:spacing w:line="360" w:lineRule="auto"/>
        <w:ind w:firstLine="560" w:firstLineChars="200"/>
        <w:jc w:val="center"/>
        <w:rPr>
          <w:rFonts w:hint="eastAsia" w:ascii="宋体" w:hAnsi="宋体" w:eastAsia="宋体" w:cs="宋体"/>
          <w:bCs/>
          <w:color w:val="auto"/>
          <w:kern w:val="0"/>
          <w:sz w:val="28"/>
          <w:szCs w:val="28"/>
          <w:highlight w:val="none"/>
          <w:lang w:eastAsia="zh-CN"/>
        </w:rPr>
      </w:pPr>
    </w:p>
    <w:p w14:paraId="3F81C67E">
      <w:pPr>
        <w:widowControl/>
        <w:snapToGrid w:val="0"/>
        <w:spacing w:line="360" w:lineRule="auto"/>
        <w:ind w:firstLine="560" w:firstLineChars="200"/>
        <w:jc w:val="center"/>
        <w:rPr>
          <w:rFonts w:hint="eastAsia" w:ascii="宋体" w:hAnsi="宋体" w:eastAsia="宋体" w:cs="宋体"/>
          <w:bCs/>
          <w:color w:val="auto"/>
          <w:kern w:val="0"/>
          <w:sz w:val="28"/>
          <w:szCs w:val="28"/>
          <w:highlight w:val="none"/>
          <w:lang w:eastAsia="zh-CN"/>
        </w:rPr>
      </w:pPr>
    </w:p>
    <w:p w14:paraId="19BF950F">
      <w:pPr>
        <w:widowControl/>
        <w:snapToGrid w:val="0"/>
        <w:spacing w:line="360" w:lineRule="auto"/>
        <w:jc w:val="both"/>
        <w:rPr>
          <w:rFonts w:hint="eastAsia" w:ascii="宋体" w:hAnsi="宋体" w:eastAsia="宋体" w:cs="宋体"/>
          <w:bCs/>
          <w:color w:val="auto"/>
          <w:kern w:val="0"/>
          <w:sz w:val="28"/>
          <w:szCs w:val="28"/>
          <w:highlight w:val="none"/>
          <w:lang w:eastAsia="zh-CN"/>
        </w:rPr>
      </w:pPr>
    </w:p>
    <w:p w14:paraId="31F8D6D7">
      <w:pPr>
        <w:widowControl/>
        <w:snapToGrid w:val="0"/>
        <w:spacing w:line="360" w:lineRule="auto"/>
        <w:ind w:firstLine="560" w:firstLineChars="200"/>
        <w:jc w:val="center"/>
        <w:rPr>
          <w:rFonts w:hint="eastAsia" w:ascii="宋体" w:hAnsi="宋体" w:eastAsia="宋体" w:cs="宋体"/>
          <w:bCs/>
          <w:color w:val="auto"/>
          <w:kern w:val="0"/>
          <w:sz w:val="28"/>
          <w:szCs w:val="28"/>
          <w:highlight w:val="none"/>
          <w:lang w:eastAsia="zh-CN"/>
        </w:rPr>
      </w:pPr>
    </w:p>
    <w:p w14:paraId="4524E5FC">
      <w:pPr>
        <w:widowControl/>
        <w:snapToGrid w:val="0"/>
        <w:spacing w:line="360" w:lineRule="auto"/>
        <w:ind w:firstLine="560" w:firstLineChars="200"/>
        <w:jc w:val="center"/>
        <w:rPr>
          <w:rFonts w:hint="eastAsia" w:ascii="宋体" w:hAnsi="宋体" w:eastAsia="宋体" w:cs="宋体"/>
          <w:bCs/>
          <w:color w:val="auto"/>
          <w:kern w:val="0"/>
          <w:sz w:val="28"/>
          <w:szCs w:val="28"/>
          <w:highlight w:val="none"/>
          <w:lang w:eastAsia="zh-CN"/>
        </w:rPr>
      </w:pPr>
    </w:p>
    <w:p w14:paraId="585FDD32">
      <w:pPr>
        <w:widowControl/>
        <w:snapToGrid w:val="0"/>
        <w:spacing w:line="360" w:lineRule="auto"/>
        <w:ind w:firstLine="560" w:firstLineChars="200"/>
        <w:jc w:val="center"/>
        <w:rPr>
          <w:rFonts w:hint="eastAsia" w:ascii="宋体" w:hAnsi="宋体" w:eastAsia="宋体" w:cs="宋体"/>
          <w:bCs/>
          <w:color w:val="auto"/>
          <w:kern w:val="0"/>
          <w:sz w:val="28"/>
          <w:szCs w:val="28"/>
          <w:highlight w:val="none"/>
          <w:lang w:eastAsia="zh-CN"/>
        </w:rPr>
      </w:pPr>
    </w:p>
    <w:p w14:paraId="10AADA76">
      <w:pPr>
        <w:widowControl/>
        <w:snapToGrid w:val="0"/>
        <w:spacing w:line="360" w:lineRule="auto"/>
        <w:ind w:firstLine="560" w:firstLineChars="200"/>
        <w:jc w:val="center"/>
        <w:rPr>
          <w:rFonts w:hint="eastAsia" w:ascii="宋体" w:hAnsi="宋体" w:eastAsia="宋体" w:cs="宋体"/>
          <w:bCs/>
          <w:color w:val="auto"/>
          <w:kern w:val="0"/>
          <w:sz w:val="28"/>
          <w:szCs w:val="28"/>
          <w:highlight w:val="none"/>
          <w:lang w:eastAsia="zh-CN"/>
        </w:rPr>
      </w:pPr>
    </w:p>
    <w:p w14:paraId="67AA73E1">
      <w:pPr>
        <w:snapToGrid w:val="0"/>
        <w:spacing w:line="360" w:lineRule="auto"/>
        <w:ind w:firstLine="3158" w:firstLineChars="13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（供应商名称）         </w:t>
      </w:r>
    </w:p>
    <w:p w14:paraId="7D86EEB0">
      <w:pPr>
        <w:snapToGrid w:val="0"/>
        <w:spacing w:line="360" w:lineRule="auto"/>
        <w:ind w:firstLine="3158" w:firstLineChars="131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法定代表人/授权代表（签字或盖章）：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ABD6BB7">
      <w:pPr>
        <w:autoSpaceDE w:val="0"/>
        <w:autoSpaceDN w:val="0"/>
        <w:adjustRightInd w:val="0"/>
        <w:snapToGrid w:val="0"/>
        <w:spacing w:line="360" w:lineRule="auto"/>
        <w:ind w:firstLine="3120" w:firstLineChars="1300"/>
        <w:jc w:val="both"/>
        <w:outlineLvl w:val="9"/>
        <w:rPr>
          <w:rFonts w:hint="eastAsia" w:ascii="宋体" w:hAnsi="宋体" w:eastAsia="宋体" w:cs="宋体"/>
          <w:color w:val="auto"/>
          <w:sz w:val="24"/>
          <w:szCs w:val="24"/>
          <w:highlight w:val="none"/>
          <w:u w:val="single"/>
        </w:rPr>
      </w:pPr>
      <w:bookmarkStart w:id="55" w:name="_Toc4226"/>
      <w:r>
        <w:rPr>
          <w:rFonts w:hint="eastAsia" w:ascii="宋体" w:hAnsi="宋体" w:eastAsia="宋体" w:cs="宋体"/>
          <w:color w:val="auto"/>
          <w:sz w:val="24"/>
          <w:szCs w:val="24"/>
          <w:highlight w:val="none"/>
        </w:rPr>
        <w:t>日    期：</w:t>
      </w:r>
      <w:bookmarkEnd w:id="5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9E597FE">
      <w:pPr>
        <w:autoSpaceDE w:val="0"/>
        <w:autoSpaceDN w:val="0"/>
        <w:adjustRightInd w:val="0"/>
        <w:snapToGrid w:val="0"/>
        <w:spacing w:line="360" w:lineRule="auto"/>
        <w:jc w:val="center"/>
        <w:outlineLvl w:val="9"/>
        <w:rPr>
          <w:rFonts w:hint="eastAsia" w:ascii="宋体" w:hAnsi="宋体" w:eastAsia="宋体" w:cs="宋体"/>
          <w:b/>
          <w:color w:val="auto"/>
          <w:sz w:val="32"/>
          <w:szCs w:val="32"/>
          <w:highlight w:val="none"/>
          <w:lang w:val="zh-CN"/>
        </w:rPr>
      </w:pPr>
    </w:p>
    <w:p w14:paraId="7CD634E3">
      <w:pPr>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br w:type="page"/>
      </w:r>
    </w:p>
    <w:p w14:paraId="15488EFA">
      <w:pPr>
        <w:autoSpaceDE w:val="0"/>
        <w:autoSpaceDN w:val="0"/>
        <w:adjustRightInd w:val="0"/>
        <w:snapToGrid w:val="0"/>
        <w:spacing w:line="360" w:lineRule="auto"/>
        <w:jc w:val="center"/>
        <w:outlineLvl w:val="9"/>
        <w:rPr>
          <w:rFonts w:hint="eastAsia" w:ascii="宋体" w:hAnsi="宋体" w:eastAsia="宋体" w:cs="宋体"/>
          <w:b/>
          <w:color w:val="auto"/>
          <w:sz w:val="32"/>
          <w:szCs w:val="32"/>
          <w:highlight w:val="none"/>
          <w:lang w:val="zh-CN"/>
        </w:rPr>
      </w:pPr>
      <w:bookmarkStart w:id="56" w:name="_Toc32385"/>
      <w:r>
        <w:rPr>
          <w:rFonts w:hint="eastAsia" w:ascii="宋体" w:hAnsi="宋体" w:eastAsia="宋体" w:cs="宋体"/>
          <w:b/>
          <w:color w:val="auto"/>
          <w:sz w:val="32"/>
          <w:szCs w:val="32"/>
          <w:highlight w:val="none"/>
          <w:lang w:val="zh-CN"/>
        </w:rPr>
        <w:t>四、</w:t>
      </w:r>
      <w:r>
        <w:rPr>
          <w:rFonts w:hint="eastAsia" w:ascii="宋体" w:hAnsi="宋体" w:eastAsia="宋体" w:cs="宋体"/>
          <w:b/>
          <w:color w:val="auto"/>
          <w:sz w:val="32"/>
          <w:szCs w:val="32"/>
          <w:highlight w:val="none"/>
          <w:lang w:val="en-US" w:eastAsia="zh-CN"/>
        </w:rPr>
        <w:t>技术</w:t>
      </w:r>
      <w:r>
        <w:rPr>
          <w:rFonts w:hint="eastAsia" w:ascii="宋体" w:hAnsi="宋体" w:eastAsia="宋体" w:cs="宋体"/>
          <w:b/>
          <w:color w:val="auto"/>
          <w:sz w:val="32"/>
          <w:szCs w:val="32"/>
          <w:highlight w:val="none"/>
          <w:lang w:val="zh-CN"/>
        </w:rPr>
        <w:t>偏离表</w:t>
      </w:r>
      <w:bookmarkEnd w:id="34"/>
      <w:bookmarkEnd w:id="35"/>
      <w:bookmarkEnd w:id="36"/>
      <w:bookmarkEnd w:id="37"/>
      <w:bookmarkEnd w:id="56"/>
    </w:p>
    <w:p w14:paraId="1FCDCE37">
      <w:pPr>
        <w:adjustRightInd w:val="0"/>
        <w:snapToGrid w:val="0"/>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bCs/>
          <w:color w:val="auto"/>
          <w:kern w:val="0"/>
          <w:sz w:val="24"/>
          <w:szCs w:val="24"/>
          <w:highlight w:val="none"/>
        </w:rPr>
        <w:t xml:space="preserve">项目名称：               </w:t>
      </w:r>
      <w:r>
        <w:rPr>
          <w:rFonts w:hint="eastAsia" w:ascii="宋体" w:hAnsi="宋体" w:eastAsia="宋体" w:cs="宋体"/>
          <w:bCs/>
          <w:color w:val="auto"/>
          <w:kern w:val="0"/>
          <w:sz w:val="24"/>
          <w:szCs w:val="24"/>
          <w:highlight w:val="none"/>
          <w:lang w:val="en-US" w:eastAsia="zh-CN"/>
        </w:rPr>
        <w:t xml:space="preserve">               </w:t>
      </w:r>
      <w:r>
        <w:rPr>
          <w:rFonts w:hint="eastAsia" w:ascii="宋体" w:hAnsi="宋体" w:eastAsia="宋体" w:cs="宋体"/>
          <w:bCs/>
          <w:color w:val="auto"/>
          <w:kern w:val="0"/>
          <w:sz w:val="24"/>
          <w:szCs w:val="24"/>
          <w:highlight w:val="none"/>
        </w:rPr>
        <w:t xml:space="preserve">    项目编号：      </w:t>
      </w:r>
    </w:p>
    <w:tbl>
      <w:tblPr>
        <w:tblStyle w:val="20"/>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28" w:type="dxa"/>
          <w:bottom w:w="0" w:type="dxa"/>
          <w:right w:w="28" w:type="dxa"/>
        </w:tblCellMar>
      </w:tblPr>
      <w:tblGrid>
        <w:gridCol w:w="840"/>
        <w:gridCol w:w="2427"/>
        <w:gridCol w:w="2415"/>
        <w:gridCol w:w="1260"/>
        <w:gridCol w:w="1938"/>
      </w:tblGrid>
      <w:tr w14:paraId="656D568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951" w:hRule="atLeast"/>
          <w:jc w:val="center"/>
        </w:trPr>
        <w:tc>
          <w:tcPr>
            <w:tcW w:w="840" w:type="dxa"/>
            <w:tcBorders>
              <w:top w:val="single" w:color="auto" w:sz="4" w:space="0"/>
              <w:left w:val="single" w:color="auto" w:sz="4" w:space="0"/>
              <w:bottom w:val="single" w:color="000000" w:sz="4" w:space="0"/>
              <w:right w:val="single" w:color="000000" w:sz="4" w:space="0"/>
            </w:tcBorders>
            <w:noWrap w:val="0"/>
            <w:vAlign w:val="center"/>
          </w:tcPr>
          <w:p w14:paraId="21E683F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427" w:type="dxa"/>
            <w:tcBorders>
              <w:top w:val="single" w:color="auto" w:sz="4" w:space="0"/>
              <w:left w:val="single" w:color="000000" w:sz="4" w:space="0"/>
              <w:right w:val="single" w:color="000000" w:sz="4" w:space="0"/>
            </w:tcBorders>
            <w:noWrap w:val="0"/>
            <w:vAlign w:val="center"/>
          </w:tcPr>
          <w:p w14:paraId="437012E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w:t>
            </w:r>
          </w:p>
        </w:tc>
        <w:tc>
          <w:tcPr>
            <w:tcW w:w="2415" w:type="dxa"/>
            <w:tcBorders>
              <w:top w:val="single" w:color="auto" w:sz="4" w:space="0"/>
              <w:left w:val="single" w:color="000000" w:sz="4" w:space="0"/>
              <w:right w:val="single" w:color="000000" w:sz="4" w:space="0"/>
            </w:tcBorders>
            <w:noWrap w:val="0"/>
            <w:vAlign w:val="center"/>
          </w:tcPr>
          <w:p w14:paraId="72957B6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磋商响应文件</w:t>
            </w:r>
            <w:r>
              <w:rPr>
                <w:rFonts w:hint="eastAsia" w:ascii="宋体" w:hAnsi="宋体" w:eastAsia="宋体" w:cs="宋体"/>
                <w:color w:val="auto"/>
                <w:sz w:val="24"/>
                <w:szCs w:val="24"/>
                <w:highlight w:val="none"/>
              </w:rPr>
              <w:t>响应</w:t>
            </w:r>
          </w:p>
        </w:tc>
        <w:tc>
          <w:tcPr>
            <w:tcW w:w="1260" w:type="dxa"/>
            <w:tcBorders>
              <w:top w:val="single" w:color="auto" w:sz="4" w:space="0"/>
              <w:left w:val="single" w:color="000000" w:sz="4" w:space="0"/>
              <w:bottom w:val="single" w:color="000000" w:sz="4" w:space="0"/>
              <w:right w:val="single" w:color="000000" w:sz="4" w:space="0"/>
            </w:tcBorders>
            <w:noWrap w:val="0"/>
            <w:vAlign w:val="center"/>
          </w:tcPr>
          <w:p w14:paraId="1C14ABB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w:t>
            </w:r>
          </w:p>
        </w:tc>
        <w:tc>
          <w:tcPr>
            <w:tcW w:w="1938" w:type="dxa"/>
            <w:tcBorders>
              <w:top w:val="single" w:color="auto" w:sz="4" w:space="0"/>
              <w:left w:val="single" w:color="000000" w:sz="4" w:space="0"/>
              <w:bottom w:val="single" w:color="000000" w:sz="4" w:space="0"/>
              <w:right w:val="single" w:color="auto" w:sz="4" w:space="0"/>
            </w:tcBorders>
            <w:noWrap w:val="0"/>
            <w:vAlign w:val="center"/>
          </w:tcPr>
          <w:p w14:paraId="5865006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0085265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840" w:type="dxa"/>
            <w:tcBorders>
              <w:top w:val="single" w:color="000000" w:sz="4" w:space="0"/>
              <w:left w:val="single" w:color="auto" w:sz="4" w:space="0"/>
              <w:bottom w:val="single" w:color="000000" w:sz="4" w:space="0"/>
              <w:right w:val="single" w:color="000000" w:sz="4" w:space="0"/>
            </w:tcBorders>
            <w:noWrap w:val="0"/>
            <w:vAlign w:val="center"/>
          </w:tcPr>
          <w:p w14:paraId="43905A3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20506CD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2342E55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58FAC68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938" w:type="dxa"/>
            <w:tcBorders>
              <w:top w:val="single" w:color="000000" w:sz="4" w:space="0"/>
              <w:left w:val="single" w:color="000000" w:sz="4" w:space="0"/>
              <w:bottom w:val="single" w:color="000000" w:sz="4" w:space="0"/>
              <w:right w:val="single" w:color="auto" w:sz="4" w:space="0"/>
            </w:tcBorders>
            <w:noWrap w:val="0"/>
            <w:vAlign w:val="center"/>
          </w:tcPr>
          <w:p w14:paraId="488C973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61EE0D6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840" w:type="dxa"/>
            <w:tcBorders>
              <w:top w:val="single" w:color="000000" w:sz="4" w:space="0"/>
              <w:left w:val="single" w:color="auto" w:sz="4" w:space="0"/>
              <w:bottom w:val="single" w:color="000000" w:sz="4" w:space="0"/>
              <w:right w:val="single" w:color="000000" w:sz="4" w:space="0"/>
            </w:tcBorders>
            <w:noWrap w:val="0"/>
            <w:vAlign w:val="center"/>
          </w:tcPr>
          <w:p w14:paraId="4E9C5DC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7D0C6F1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5FAF693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3A11009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938" w:type="dxa"/>
            <w:tcBorders>
              <w:top w:val="single" w:color="000000" w:sz="4" w:space="0"/>
              <w:left w:val="single" w:color="000000" w:sz="4" w:space="0"/>
              <w:bottom w:val="single" w:color="000000" w:sz="4" w:space="0"/>
              <w:right w:val="single" w:color="auto" w:sz="4" w:space="0"/>
            </w:tcBorders>
            <w:noWrap w:val="0"/>
            <w:vAlign w:val="center"/>
          </w:tcPr>
          <w:p w14:paraId="55F93CB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5C3DAFD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840" w:type="dxa"/>
            <w:tcBorders>
              <w:top w:val="single" w:color="000000" w:sz="4" w:space="0"/>
              <w:left w:val="single" w:color="auto" w:sz="4" w:space="0"/>
              <w:bottom w:val="single" w:color="000000" w:sz="4" w:space="0"/>
              <w:right w:val="single" w:color="000000" w:sz="4" w:space="0"/>
            </w:tcBorders>
            <w:noWrap w:val="0"/>
            <w:vAlign w:val="center"/>
          </w:tcPr>
          <w:p w14:paraId="71452AD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18CBDEF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0723666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08F6DC4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938" w:type="dxa"/>
            <w:tcBorders>
              <w:top w:val="single" w:color="000000" w:sz="4" w:space="0"/>
              <w:left w:val="single" w:color="000000" w:sz="4" w:space="0"/>
              <w:bottom w:val="single" w:color="000000" w:sz="4" w:space="0"/>
              <w:right w:val="single" w:color="auto" w:sz="4" w:space="0"/>
            </w:tcBorders>
            <w:noWrap w:val="0"/>
            <w:vAlign w:val="center"/>
          </w:tcPr>
          <w:p w14:paraId="64B51F7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678D744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840" w:type="dxa"/>
            <w:tcBorders>
              <w:top w:val="single" w:color="000000" w:sz="4" w:space="0"/>
              <w:left w:val="single" w:color="auto" w:sz="4" w:space="0"/>
              <w:bottom w:val="single" w:color="000000" w:sz="4" w:space="0"/>
              <w:right w:val="single" w:color="000000" w:sz="4" w:space="0"/>
            </w:tcBorders>
            <w:noWrap w:val="0"/>
            <w:vAlign w:val="center"/>
          </w:tcPr>
          <w:p w14:paraId="072543C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1687C93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36A153F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41F6E8B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938" w:type="dxa"/>
            <w:tcBorders>
              <w:top w:val="single" w:color="000000" w:sz="4" w:space="0"/>
              <w:left w:val="single" w:color="000000" w:sz="4" w:space="0"/>
              <w:bottom w:val="single" w:color="000000" w:sz="4" w:space="0"/>
              <w:right w:val="single" w:color="auto" w:sz="4" w:space="0"/>
            </w:tcBorders>
            <w:noWrap w:val="0"/>
            <w:vAlign w:val="center"/>
          </w:tcPr>
          <w:p w14:paraId="6BD2AB0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0901F22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840" w:type="dxa"/>
            <w:tcBorders>
              <w:top w:val="single" w:color="000000" w:sz="4" w:space="0"/>
              <w:left w:val="single" w:color="auto" w:sz="4" w:space="0"/>
              <w:bottom w:val="single" w:color="auto" w:sz="4" w:space="0"/>
              <w:right w:val="single" w:color="000000" w:sz="4" w:space="0"/>
            </w:tcBorders>
            <w:noWrap w:val="0"/>
            <w:vAlign w:val="center"/>
          </w:tcPr>
          <w:p w14:paraId="63015FC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27" w:type="dxa"/>
            <w:tcBorders>
              <w:top w:val="single" w:color="000000" w:sz="4" w:space="0"/>
              <w:left w:val="single" w:color="000000" w:sz="4" w:space="0"/>
              <w:bottom w:val="single" w:color="auto" w:sz="4" w:space="0"/>
              <w:right w:val="single" w:color="000000" w:sz="4" w:space="0"/>
            </w:tcBorders>
            <w:noWrap w:val="0"/>
            <w:vAlign w:val="center"/>
          </w:tcPr>
          <w:p w14:paraId="741D536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415" w:type="dxa"/>
            <w:tcBorders>
              <w:top w:val="single" w:color="000000" w:sz="4" w:space="0"/>
              <w:left w:val="single" w:color="000000" w:sz="4" w:space="0"/>
              <w:bottom w:val="single" w:color="auto" w:sz="4" w:space="0"/>
              <w:right w:val="single" w:color="000000" w:sz="4" w:space="0"/>
            </w:tcBorders>
            <w:noWrap w:val="0"/>
            <w:vAlign w:val="center"/>
          </w:tcPr>
          <w:p w14:paraId="794D0C9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60" w:type="dxa"/>
            <w:tcBorders>
              <w:top w:val="single" w:color="000000" w:sz="4" w:space="0"/>
              <w:left w:val="single" w:color="000000" w:sz="4" w:space="0"/>
              <w:bottom w:val="single" w:color="auto" w:sz="4" w:space="0"/>
              <w:right w:val="single" w:color="000000" w:sz="4" w:space="0"/>
            </w:tcBorders>
            <w:noWrap w:val="0"/>
            <w:vAlign w:val="center"/>
          </w:tcPr>
          <w:p w14:paraId="25792DA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938" w:type="dxa"/>
            <w:tcBorders>
              <w:top w:val="single" w:color="000000" w:sz="4" w:space="0"/>
              <w:left w:val="single" w:color="000000" w:sz="4" w:space="0"/>
              <w:bottom w:val="single" w:color="auto" w:sz="4" w:space="0"/>
              <w:right w:val="single" w:color="auto" w:sz="4" w:space="0"/>
            </w:tcBorders>
            <w:noWrap w:val="0"/>
            <w:vAlign w:val="center"/>
          </w:tcPr>
          <w:p w14:paraId="161CA91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bl>
    <w:p w14:paraId="134F5CB9">
      <w:pPr>
        <w:snapToGrid w:val="0"/>
        <w:spacing w:line="360" w:lineRule="auto"/>
        <w:ind w:right="-226" w:rightChars="-94" w:firstLine="480" w:firstLineChars="200"/>
        <w:jc w:val="left"/>
        <w:rPr>
          <w:rFonts w:hint="eastAsia" w:ascii="宋体" w:hAnsi="宋体" w:eastAsia="宋体" w:cs="宋体"/>
          <w:color w:val="auto"/>
          <w:sz w:val="24"/>
          <w:szCs w:val="24"/>
          <w:highlight w:val="none"/>
        </w:rPr>
      </w:pPr>
    </w:p>
    <w:p w14:paraId="224E0C8F">
      <w:pPr>
        <w:snapToGrid w:val="0"/>
        <w:spacing w:line="360" w:lineRule="auto"/>
        <w:ind w:right="-226" w:rightChars="-94"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50F8D71E">
      <w:pPr>
        <w:snapToGrid w:val="0"/>
        <w:spacing w:line="360" w:lineRule="auto"/>
        <w:ind w:right="-226" w:rightChars="-94"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供应商根据“采购内容及要求”中的服务技术要求逐项填写</w:t>
      </w:r>
      <w:r>
        <w:rPr>
          <w:rFonts w:hint="eastAsia" w:ascii="宋体" w:hAnsi="宋体" w:eastAsia="宋体" w:cs="宋体"/>
          <w:color w:val="auto"/>
          <w:sz w:val="24"/>
          <w:szCs w:val="24"/>
          <w:highlight w:val="none"/>
        </w:rPr>
        <w:t>。</w:t>
      </w:r>
    </w:p>
    <w:p w14:paraId="1E128137">
      <w:pPr>
        <w:snapToGrid w:val="0"/>
        <w:spacing w:line="360" w:lineRule="auto"/>
        <w:ind w:right="-226" w:rightChars="-94"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2.偏离填写：正偏离、负偏离、相同。</w:t>
      </w:r>
    </w:p>
    <w:p w14:paraId="187F63A0">
      <w:pPr>
        <w:snapToGrid w:val="0"/>
        <w:spacing w:line="360" w:lineRule="auto"/>
        <w:ind w:right="-226" w:rightChars="-94"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3.供应商必须据实填写，不得虚假响应，否则将取消其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资格，并按有关规定进行处罚。</w:t>
      </w:r>
    </w:p>
    <w:p w14:paraId="52603DF7">
      <w:pPr>
        <w:snapToGrid w:val="0"/>
        <w:spacing w:line="360" w:lineRule="auto"/>
        <w:rPr>
          <w:rFonts w:hint="eastAsia" w:ascii="宋体" w:hAnsi="宋体" w:eastAsia="宋体" w:cs="宋体"/>
          <w:color w:val="auto"/>
          <w:sz w:val="24"/>
          <w:szCs w:val="24"/>
          <w:highlight w:val="none"/>
        </w:rPr>
      </w:pPr>
    </w:p>
    <w:p w14:paraId="38646ECA">
      <w:pPr>
        <w:snapToGrid w:val="0"/>
        <w:spacing w:line="360" w:lineRule="auto"/>
        <w:rPr>
          <w:rFonts w:hint="eastAsia" w:ascii="宋体" w:hAnsi="宋体" w:eastAsia="宋体" w:cs="宋体"/>
          <w:color w:val="auto"/>
          <w:sz w:val="24"/>
          <w:szCs w:val="24"/>
          <w:highlight w:val="none"/>
        </w:rPr>
      </w:pPr>
    </w:p>
    <w:p w14:paraId="3A09818B">
      <w:pPr>
        <w:tabs>
          <w:tab w:val="center" w:pos="4153"/>
          <w:tab w:val="right" w:pos="8306"/>
        </w:tabs>
        <w:snapToGrid w:val="0"/>
        <w:spacing w:line="360" w:lineRule="auto"/>
        <w:jc w:val="left"/>
        <w:rPr>
          <w:rFonts w:hint="eastAsia" w:ascii="宋体" w:hAnsi="宋体" w:eastAsia="宋体" w:cs="宋体"/>
          <w:color w:val="auto"/>
          <w:sz w:val="24"/>
          <w:szCs w:val="24"/>
          <w:highlight w:val="none"/>
        </w:rPr>
      </w:pPr>
    </w:p>
    <w:p w14:paraId="17123CA0">
      <w:pPr>
        <w:snapToGrid w:val="0"/>
        <w:spacing w:line="360" w:lineRule="auto"/>
        <w:ind w:firstLine="3158" w:firstLineChars="13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A3278DF">
      <w:pPr>
        <w:snapToGrid w:val="0"/>
        <w:spacing w:line="360" w:lineRule="auto"/>
        <w:ind w:firstLine="3158" w:firstLineChars="131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法定代表人或授权代表（签字或盖章）：</w:t>
      </w:r>
      <w:r>
        <w:rPr>
          <w:rFonts w:hint="eastAsia" w:ascii="宋体" w:hAnsi="宋体" w:eastAsia="宋体" w:cs="宋体"/>
          <w:color w:val="auto"/>
          <w:sz w:val="24"/>
          <w:szCs w:val="24"/>
          <w:highlight w:val="none"/>
          <w:u w:val="single"/>
        </w:rPr>
        <w:t xml:space="preserve">             </w:t>
      </w:r>
    </w:p>
    <w:p w14:paraId="10092982">
      <w:pPr>
        <w:autoSpaceDE w:val="0"/>
        <w:autoSpaceDN w:val="0"/>
        <w:adjustRightInd w:val="0"/>
        <w:snapToGrid w:val="0"/>
        <w:spacing w:line="360" w:lineRule="auto"/>
        <w:ind w:firstLine="3120" w:firstLineChars="1300"/>
        <w:outlineLvl w:val="9"/>
        <w:rPr>
          <w:rFonts w:hint="eastAsia" w:ascii="宋体" w:hAnsi="宋体" w:eastAsia="宋体" w:cs="宋体"/>
          <w:color w:val="auto"/>
          <w:sz w:val="24"/>
          <w:szCs w:val="24"/>
          <w:highlight w:val="none"/>
          <w:u w:val="single"/>
        </w:rPr>
      </w:pPr>
      <w:bookmarkStart w:id="57" w:name="_Toc16904"/>
      <w:bookmarkStart w:id="58" w:name="_Toc21234"/>
      <w:bookmarkStart w:id="59" w:name="_Toc19085"/>
      <w:bookmarkStart w:id="60" w:name="_Toc28119"/>
      <w:r>
        <w:rPr>
          <w:rFonts w:hint="eastAsia" w:ascii="宋体" w:hAnsi="宋体" w:eastAsia="宋体" w:cs="宋体"/>
          <w:color w:val="auto"/>
          <w:sz w:val="24"/>
          <w:szCs w:val="24"/>
          <w:highlight w:val="none"/>
        </w:rPr>
        <w:t>日    期：</w:t>
      </w:r>
      <w:bookmarkEnd w:id="57"/>
      <w:bookmarkEnd w:id="58"/>
      <w:bookmarkEnd w:id="59"/>
      <w:bookmarkEnd w:id="60"/>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75CA2B3">
      <w:pPr>
        <w:autoSpaceDE w:val="0"/>
        <w:autoSpaceDN w:val="0"/>
        <w:adjustRightInd w:val="0"/>
        <w:snapToGrid w:val="0"/>
        <w:spacing w:line="360" w:lineRule="auto"/>
        <w:ind w:firstLine="3120" w:firstLineChars="13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br w:type="page"/>
      </w:r>
      <w:bookmarkStart w:id="61" w:name="_Toc24362"/>
      <w:bookmarkStart w:id="62" w:name="_Toc23712"/>
      <w:bookmarkStart w:id="63" w:name="_Toc23580"/>
      <w:bookmarkStart w:id="64" w:name="_Toc6222"/>
    </w:p>
    <w:p w14:paraId="5B5643CF">
      <w:pPr>
        <w:autoSpaceDE w:val="0"/>
        <w:autoSpaceDN w:val="0"/>
        <w:adjustRightInd w:val="0"/>
        <w:snapToGrid w:val="0"/>
        <w:spacing w:line="360" w:lineRule="auto"/>
        <w:jc w:val="center"/>
        <w:outlineLvl w:val="9"/>
        <w:rPr>
          <w:rFonts w:hint="eastAsia" w:ascii="宋体" w:hAnsi="宋体" w:eastAsia="宋体" w:cs="宋体"/>
          <w:b/>
          <w:color w:val="auto"/>
          <w:sz w:val="32"/>
          <w:szCs w:val="32"/>
          <w:highlight w:val="none"/>
          <w:lang w:val="zh-CN"/>
        </w:rPr>
      </w:pPr>
      <w:bookmarkStart w:id="65" w:name="_Toc12802"/>
      <w:r>
        <w:rPr>
          <w:rFonts w:hint="eastAsia" w:ascii="宋体" w:hAnsi="宋体" w:eastAsia="宋体" w:cs="宋体"/>
          <w:b/>
          <w:color w:val="auto"/>
          <w:sz w:val="32"/>
          <w:szCs w:val="32"/>
          <w:highlight w:val="none"/>
          <w:lang w:val="zh-CN"/>
        </w:rPr>
        <w:t>五、商务偏离表</w:t>
      </w:r>
      <w:bookmarkEnd w:id="61"/>
      <w:bookmarkEnd w:id="62"/>
      <w:bookmarkEnd w:id="63"/>
      <w:bookmarkEnd w:id="64"/>
      <w:bookmarkEnd w:id="65"/>
    </w:p>
    <w:p w14:paraId="69EF101B">
      <w:pPr>
        <w:pStyle w:val="11"/>
        <w:rPr>
          <w:rFonts w:hint="eastAsia" w:ascii="宋体" w:hAnsi="宋体" w:eastAsia="宋体" w:cs="宋体"/>
          <w:color w:val="auto"/>
          <w:highlight w:val="none"/>
          <w:lang w:val="zh-CN"/>
        </w:rPr>
      </w:pPr>
    </w:p>
    <w:p w14:paraId="5F9E02CC">
      <w:pPr>
        <w:pStyle w:val="7"/>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kern w:val="0"/>
          <w:sz w:val="24"/>
          <w:szCs w:val="24"/>
          <w:highlight w:val="none"/>
        </w:rPr>
        <w:t xml:space="preserve">项目名称：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     项目编号：     </w:t>
      </w:r>
    </w:p>
    <w:tbl>
      <w:tblPr>
        <w:tblStyle w:val="20"/>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28" w:type="dxa"/>
          <w:bottom w:w="0" w:type="dxa"/>
          <w:right w:w="28" w:type="dxa"/>
        </w:tblCellMar>
      </w:tblPr>
      <w:tblGrid>
        <w:gridCol w:w="840"/>
        <w:gridCol w:w="2427"/>
        <w:gridCol w:w="2415"/>
        <w:gridCol w:w="1260"/>
        <w:gridCol w:w="1938"/>
      </w:tblGrid>
      <w:tr w14:paraId="1F96991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951" w:hRule="atLeast"/>
          <w:jc w:val="center"/>
        </w:trPr>
        <w:tc>
          <w:tcPr>
            <w:tcW w:w="840" w:type="dxa"/>
            <w:tcBorders>
              <w:top w:val="single" w:color="auto" w:sz="4" w:space="0"/>
              <w:left w:val="single" w:color="auto" w:sz="4" w:space="0"/>
              <w:bottom w:val="single" w:color="000000" w:sz="4" w:space="0"/>
              <w:right w:val="single" w:color="000000" w:sz="4" w:space="0"/>
            </w:tcBorders>
            <w:noWrap w:val="0"/>
            <w:vAlign w:val="center"/>
          </w:tcPr>
          <w:p w14:paraId="7CBA9FB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427" w:type="dxa"/>
            <w:tcBorders>
              <w:top w:val="single" w:color="auto" w:sz="4" w:space="0"/>
              <w:left w:val="single" w:color="000000" w:sz="4" w:space="0"/>
              <w:right w:val="single" w:color="000000" w:sz="4" w:space="0"/>
            </w:tcBorders>
            <w:noWrap w:val="0"/>
            <w:vAlign w:val="center"/>
          </w:tcPr>
          <w:p w14:paraId="2122711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要求</w:t>
            </w:r>
          </w:p>
        </w:tc>
        <w:tc>
          <w:tcPr>
            <w:tcW w:w="2415" w:type="dxa"/>
            <w:tcBorders>
              <w:top w:val="single" w:color="auto" w:sz="4" w:space="0"/>
              <w:left w:val="single" w:color="000000" w:sz="4" w:space="0"/>
              <w:right w:val="single" w:color="000000" w:sz="4" w:space="0"/>
            </w:tcBorders>
            <w:noWrap w:val="0"/>
            <w:vAlign w:val="center"/>
          </w:tcPr>
          <w:p w14:paraId="450B411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响应</w:t>
            </w:r>
          </w:p>
        </w:tc>
        <w:tc>
          <w:tcPr>
            <w:tcW w:w="1260" w:type="dxa"/>
            <w:tcBorders>
              <w:top w:val="single" w:color="auto" w:sz="4" w:space="0"/>
              <w:left w:val="single" w:color="000000" w:sz="4" w:space="0"/>
              <w:bottom w:val="single" w:color="000000" w:sz="4" w:space="0"/>
              <w:right w:val="single" w:color="000000" w:sz="4" w:space="0"/>
            </w:tcBorders>
            <w:noWrap w:val="0"/>
            <w:vAlign w:val="center"/>
          </w:tcPr>
          <w:p w14:paraId="15DE6D5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w:t>
            </w:r>
          </w:p>
        </w:tc>
        <w:tc>
          <w:tcPr>
            <w:tcW w:w="1938" w:type="dxa"/>
            <w:tcBorders>
              <w:top w:val="single" w:color="auto" w:sz="4" w:space="0"/>
              <w:left w:val="single" w:color="000000" w:sz="4" w:space="0"/>
              <w:bottom w:val="single" w:color="000000" w:sz="4" w:space="0"/>
              <w:right w:val="single" w:color="auto" w:sz="4" w:space="0"/>
            </w:tcBorders>
            <w:noWrap w:val="0"/>
            <w:vAlign w:val="center"/>
          </w:tcPr>
          <w:p w14:paraId="7D0714E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4B3E1E8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840" w:type="dxa"/>
            <w:tcBorders>
              <w:top w:val="single" w:color="000000" w:sz="4" w:space="0"/>
              <w:left w:val="single" w:color="auto" w:sz="4" w:space="0"/>
              <w:bottom w:val="single" w:color="000000" w:sz="4" w:space="0"/>
              <w:right w:val="single" w:color="000000" w:sz="4" w:space="0"/>
            </w:tcBorders>
            <w:noWrap w:val="0"/>
            <w:vAlign w:val="center"/>
          </w:tcPr>
          <w:p w14:paraId="0852904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2E35619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7D3256F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1414507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938" w:type="dxa"/>
            <w:tcBorders>
              <w:top w:val="single" w:color="000000" w:sz="4" w:space="0"/>
              <w:left w:val="single" w:color="000000" w:sz="4" w:space="0"/>
              <w:bottom w:val="single" w:color="000000" w:sz="4" w:space="0"/>
              <w:right w:val="single" w:color="auto" w:sz="4" w:space="0"/>
            </w:tcBorders>
            <w:noWrap w:val="0"/>
            <w:vAlign w:val="center"/>
          </w:tcPr>
          <w:p w14:paraId="54C9B21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220C236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840" w:type="dxa"/>
            <w:tcBorders>
              <w:top w:val="single" w:color="000000" w:sz="4" w:space="0"/>
              <w:left w:val="single" w:color="auto" w:sz="4" w:space="0"/>
              <w:bottom w:val="single" w:color="000000" w:sz="4" w:space="0"/>
              <w:right w:val="single" w:color="000000" w:sz="4" w:space="0"/>
            </w:tcBorders>
            <w:noWrap w:val="0"/>
            <w:vAlign w:val="center"/>
          </w:tcPr>
          <w:p w14:paraId="735397F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2F3BA93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7FA9168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1B05053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938" w:type="dxa"/>
            <w:tcBorders>
              <w:top w:val="single" w:color="000000" w:sz="4" w:space="0"/>
              <w:left w:val="single" w:color="000000" w:sz="4" w:space="0"/>
              <w:bottom w:val="single" w:color="000000" w:sz="4" w:space="0"/>
              <w:right w:val="single" w:color="auto" w:sz="4" w:space="0"/>
            </w:tcBorders>
            <w:noWrap w:val="0"/>
            <w:vAlign w:val="center"/>
          </w:tcPr>
          <w:p w14:paraId="5CBD8A5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6E0DC91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840" w:type="dxa"/>
            <w:tcBorders>
              <w:top w:val="single" w:color="000000" w:sz="4" w:space="0"/>
              <w:left w:val="single" w:color="auto" w:sz="4" w:space="0"/>
              <w:bottom w:val="single" w:color="000000" w:sz="4" w:space="0"/>
              <w:right w:val="single" w:color="000000" w:sz="4" w:space="0"/>
            </w:tcBorders>
            <w:noWrap w:val="0"/>
            <w:vAlign w:val="center"/>
          </w:tcPr>
          <w:p w14:paraId="0BCF4A6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2D21508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31C30C7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7FE7BD8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938" w:type="dxa"/>
            <w:tcBorders>
              <w:top w:val="single" w:color="000000" w:sz="4" w:space="0"/>
              <w:left w:val="single" w:color="000000" w:sz="4" w:space="0"/>
              <w:bottom w:val="single" w:color="000000" w:sz="4" w:space="0"/>
              <w:right w:val="single" w:color="auto" w:sz="4" w:space="0"/>
            </w:tcBorders>
            <w:noWrap w:val="0"/>
            <w:vAlign w:val="center"/>
          </w:tcPr>
          <w:p w14:paraId="469274B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356ED5F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840" w:type="dxa"/>
            <w:tcBorders>
              <w:top w:val="single" w:color="000000" w:sz="4" w:space="0"/>
              <w:left w:val="single" w:color="auto" w:sz="4" w:space="0"/>
              <w:bottom w:val="single" w:color="000000" w:sz="4" w:space="0"/>
              <w:right w:val="single" w:color="000000" w:sz="4" w:space="0"/>
            </w:tcBorders>
            <w:noWrap w:val="0"/>
            <w:vAlign w:val="center"/>
          </w:tcPr>
          <w:p w14:paraId="013DD85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2B14323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532F4AE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529446E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938" w:type="dxa"/>
            <w:tcBorders>
              <w:top w:val="single" w:color="000000" w:sz="4" w:space="0"/>
              <w:left w:val="single" w:color="000000" w:sz="4" w:space="0"/>
              <w:bottom w:val="single" w:color="000000" w:sz="4" w:space="0"/>
              <w:right w:val="single" w:color="auto" w:sz="4" w:space="0"/>
            </w:tcBorders>
            <w:noWrap w:val="0"/>
            <w:vAlign w:val="center"/>
          </w:tcPr>
          <w:p w14:paraId="3EB59D7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4DA1F13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680" w:hRule="atLeast"/>
          <w:jc w:val="center"/>
        </w:trPr>
        <w:tc>
          <w:tcPr>
            <w:tcW w:w="840" w:type="dxa"/>
            <w:tcBorders>
              <w:top w:val="single" w:color="000000" w:sz="4" w:space="0"/>
              <w:left w:val="single" w:color="auto" w:sz="4" w:space="0"/>
              <w:bottom w:val="single" w:color="auto" w:sz="4" w:space="0"/>
              <w:right w:val="single" w:color="000000" w:sz="4" w:space="0"/>
            </w:tcBorders>
            <w:noWrap w:val="0"/>
            <w:vAlign w:val="center"/>
          </w:tcPr>
          <w:p w14:paraId="34380F5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27" w:type="dxa"/>
            <w:tcBorders>
              <w:top w:val="single" w:color="000000" w:sz="4" w:space="0"/>
              <w:left w:val="single" w:color="000000" w:sz="4" w:space="0"/>
              <w:bottom w:val="single" w:color="auto" w:sz="4" w:space="0"/>
              <w:right w:val="single" w:color="000000" w:sz="4" w:space="0"/>
            </w:tcBorders>
            <w:noWrap w:val="0"/>
            <w:vAlign w:val="center"/>
          </w:tcPr>
          <w:p w14:paraId="341B708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415" w:type="dxa"/>
            <w:tcBorders>
              <w:top w:val="single" w:color="000000" w:sz="4" w:space="0"/>
              <w:left w:val="single" w:color="000000" w:sz="4" w:space="0"/>
              <w:bottom w:val="single" w:color="auto" w:sz="4" w:space="0"/>
              <w:right w:val="single" w:color="000000" w:sz="4" w:space="0"/>
            </w:tcBorders>
            <w:noWrap w:val="0"/>
            <w:vAlign w:val="center"/>
          </w:tcPr>
          <w:p w14:paraId="352C8BC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60" w:type="dxa"/>
            <w:tcBorders>
              <w:top w:val="single" w:color="000000" w:sz="4" w:space="0"/>
              <w:left w:val="single" w:color="000000" w:sz="4" w:space="0"/>
              <w:bottom w:val="single" w:color="auto" w:sz="4" w:space="0"/>
              <w:right w:val="single" w:color="000000" w:sz="4" w:space="0"/>
            </w:tcBorders>
            <w:noWrap w:val="0"/>
            <w:vAlign w:val="center"/>
          </w:tcPr>
          <w:p w14:paraId="779FA31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938" w:type="dxa"/>
            <w:tcBorders>
              <w:top w:val="single" w:color="000000" w:sz="4" w:space="0"/>
              <w:left w:val="single" w:color="000000" w:sz="4" w:space="0"/>
              <w:bottom w:val="single" w:color="auto" w:sz="4" w:space="0"/>
              <w:right w:val="single" w:color="auto" w:sz="4" w:space="0"/>
            </w:tcBorders>
            <w:noWrap w:val="0"/>
            <w:vAlign w:val="center"/>
          </w:tcPr>
          <w:p w14:paraId="71E5354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bl>
    <w:p w14:paraId="088D2C58">
      <w:pPr>
        <w:snapToGrid w:val="0"/>
        <w:spacing w:line="360" w:lineRule="auto"/>
        <w:rPr>
          <w:rFonts w:hint="eastAsia" w:ascii="宋体" w:hAnsi="宋体" w:eastAsia="宋体" w:cs="宋体"/>
          <w:color w:val="auto"/>
          <w:sz w:val="24"/>
          <w:szCs w:val="24"/>
          <w:highlight w:val="none"/>
          <w:lang w:val="zh-CN"/>
        </w:rPr>
      </w:pPr>
    </w:p>
    <w:p w14:paraId="27C2AB8F">
      <w:pPr>
        <w:snapToGrid w:val="0"/>
        <w:spacing w:line="360" w:lineRule="auto"/>
        <w:ind w:right="-226" w:rightChars="-94"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003F691">
      <w:pPr>
        <w:snapToGrid w:val="0"/>
        <w:spacing w:line="360" w:lineRule="auto"/>
        <w:ind w:right="-226" w:rightChars="-94"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供应商根据商务要求逐项填写</w:t>
      </w:r>
      <w:r>
        <w:rPr>
          <w:rFonts w:hint="eastAsia" w:ascii="宋体" w:hAnsi="宋体" w:eastAsia="宋体" w:cs="宋体"/>
          <w:color w:val="auto"/>
          <w:sz w:val="24"/>
          <w:szCs w:val="24"/>
          <w:highlight w:val="none"/>
        </w:rPr>
        <w:t>。</w:t>
      </w:r>
    </w:p>
    <w:p w14:paraId="71E0C84D">
      <w:pPr>
        <w:snapToGrid w:val="0"/>
        <w:spacing w:line="360" w:lineRule="auto"/>
        <w:ind w:right="-226" w:rightChars="-94"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2.偏离填写：正偏离、负偏离、相同。</w:t>
      </w:r>
    </w:p>
    <w:p w14:paraId="14CE354B">
      <w:pPr>
        <w:snapToGrid w:val="0"/>
        <w:spacing w:line="360" w:lineRule="auto"/>
        <w:ind w:right="-226" w:rightChars="-94"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3.供应商必须据实填写，不得虚假响应，否则将取消其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资格，并按有关规定进行处罚。</w:t>
      </w:r>
    </w:p>
    <w:p w14:paraId="221E2806">
      <w:pPr>
        <w:snapToGrid w:val="0"/>
        <w:spacing w:line="360" w:lineRule="auto"/>
        <w:ind w:right="-226" w:rightChars="-94" w:firstLine="480" w:firstLineChars="200"/>
        <w:jc w:val="left"/>
        <w:rPr>
          <w:rFonts w:hint="eastAsia" w:ascii="宋体" w:hAnsi="宋体" w:eastAsia="宋体" w:cs="宋体"/>
          <w:color w:val="auto"/>
          <w:sz w:val="24"/>
          <w:szCs w:val="24"/>
          <w:highlight w:val="none"/>
        </w:rPr>
      </w:pPr>
    </w:p>
    <w:p w14:paraId="5FC22CB3">
      <w:pPr>
        <w:snapToGrid w:val="0"/>
        <w:spacing w:line="360" w:lineRule="auto"/>
        <w:rPr>
          <w:rFonts w:hint="eastAsia" w:ascii="宋体" w:hAnsi="宋体" w:eastAsia="宋体" w:cs="宋体"/>
          <w:b/>
          <w:bCs/>
          <w:color w:val="auto"/>
          <w:sz w:val="24"/>
          <w:szCs w:val="24"/>
          <w:highlight w:val="none"/>
          <w:lang w:val="zh-CN"/>
        </w:rPr>
      </w:pPr>
    </w:p>
    <w:p w14:paraId="5F2ED4AF">
      <w:pPr>
        <w:pStyle w:val="7"/>
        <w:snapToGrid w:val="0"/>
        <w:spacing w:line="360" w:lineRule="auto"/>
        <w:rPr>
          <w:rFonts w:hint="eastAsia" w:ascii="宋体" w:hAnsi="宋体" w:eastAsia="宋体" w:cs="宋体"/>
          <w:color w:val="auto"/>
          <w:sz w:val="24"/>
          <w:szCs w:val="24"/>
          <w:highlight w:val="none"/>
          <w:lang w:val="zh-CN"/>
        </w:rPr>
      </w:pPr>
    </w:p>
    <w:p w14:paraId="0972AE10">
      <w:pPr>
        <w:tabs>
          <w:tab w:val="center" w:pos="4153"/>
          <w:tab w:val="right" w:pos="8306"/>
        </w:tabs>
        <w:snapToGrid w:val="0"/>
        <w:spacing w:line="360" w:lineRule="auto"/>
        <w:jc w:val="left"/>
        <w:rPr>
          <w:rFonts w:hint="eastAsia" w:ascii="宋体" w:hAnsi="宋体" w:eastAsia="宋体" w:cs="宋体"/>
          <w:color w:val="auto"/>
          <w:sz w:val="24"/>
          <w:szCs w:val="24"/>
          <w:highlight w:val="none"/>
        </w:rPr>
      </w:pPr>
    </w:p>
    <w:p w14:paraId="19EE3ADE">
      <w:pPr>
        <w:snapToGrid w:val="0"/>
        <w:spacing w:line="360" w:lineRule="auto"/>
        <w:ind w:firstLine="3158" w:firstLineChars="13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56C7366">
      <w:pPr>
        <w:snapToGrid w:val="0"/>
        <w:spacing w:line="360" w:lineRule="auto"/>
        <w:ind w:firstLine="3158" w:firstLineChars="131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法定代表人或授权代表（签字或盖章）：</w:t>
      </w:r>
      <w:r>
        <w:rPr>
          <w:rFonts w:hint="eastAsia" w:ascii="宋体" w:hAnsi="宋体" w:eastAsia="宋体" w:cs="宋体"/>
          <w:color w:val="auto"/>
          <w:sz w:val="24"/>
          <w:szCs w:val="24"/>
          <w:highlight w:val="none"/>
          <w:u w:val="single"/>
        </w:rPr>
        <w:t xml:space="preserve">             </w:t>
      </w:r>
    </w:p>
    <w:p w14:paraId="5467F998">
      <w:pPr>
        <w:snapToGrid w:val="0"/>
        <w:spacing w:line="360" w:lineRule="auto"/>
        <w:ind w:firstLine="3120" w:firstLineChars="1300"/>
        <w:jc w:val="both"/>
        <w:outlineLvl w:val="9"/>
        <w:rPr>
          <w:rFonts w:hint="eastAsia" w:ascii="宋体" w:hAnsi="宋体" w:eastAsia="宋体" w:cs="宋体"/>
          <w:color w:val="auto"/>
          <w:sz w:val="24"/>
          <w:szCs w:val="24"/>
          <w:highlight w:val="none"/>
          <w:u w:val="single"/>
        </w:rPr>
      </w:pPr>
      <w:bookmarkStart w:id="66" w:name="_Toc12230"/>
      <w:bookmarkStart w:id="67" w:name="_Toc20700"/>
      <w:r>
        <w:rPr>
          <w:rFonts w:hint="eastAsia" w:ascii="宋体" w:hAnsi="宋体" w:eastAsia="宋体" w:cs="宋体"/>
          <w:color w:val="auto"/>
          <w:sz w:val="24"/>
          <w:szCs w:val="24"/>
          <w:highlight w:val="none"/>
        </w:rPr>
        <w:t>日    期：</w:t>
      </w:r>
      <w:bookmarkEnd w:id="66"/>
      <w:bookmarkEnd w:id="6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F698513">
      <w:pPr>
        <w:snapToGrid w:val="0"/>
        <w:spacing w:line="360" w:lineRule="auto"/>
        <w:jc w:val="center"/>
        <w:outlineLvl w:val="9"/>
        <w:rPr>
          <w:rFonts w:hint="eastAsia" w:ascii="宋体" w:hAnsi="宋体" w:eastAsia="宋体" w:cs="宋体"/>
          <w:color w:val="auto"/>
          <w:sz w:val="24"/>
          <w:szCs w:val="24"/>
          <w:highlight w:val="none"/>
          <w:u w:val="single"/>
        </w:rPr>
      </w:pPr>
    </w:p>
    <w:p w14:paraId="4FBEDBFD">
      <w:pPr>
        <w:snapToGrid w:val="0"/>
        <w:spacing w:line="360" w:lineRule="auto"/>
        <w:jc w:val="both"/>
        <w:outlineLvl w:val="9"/>
        <w:rPr>
          <w:rFonts w:hint="eastAsia" w:ascii="宋体" w:hAnsi="宋体" w:eastAsia="宋体" w:cs="宋体"/>
          <w:color w:val="auto"/>
          <w:sz w:val="24"/>
          <w:szCs w:val="24"/>
          <w:highlight w:val="none"/>
          <w:u w:val="single"/>
        </w:rPr>
      </w:pPr>
    </w:p>
    <w:p w14:paraId="7F4DE478">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r>
    </w:p>
    <w:p w14:paraId="78277B0A">
      <w:pPr>
        <w:spacing w:line="360" w:lineRule="auto"/>
        <w:jc w:val="center"/>
        <w:rPr>
          <w:rFonts w:hint="default" w:ascii="宋体" w:hAnsi="宋体" w:eastAsia="宋体" w:cs="宋体"/>
          <w:b/>
          <w:bCs/>
          <w:color w:val="auto"/>
          <w:highlight w:val="none"/>
          <w:lang w:val="en-US"/>
        </w:rPr>
      </w:pPr>
      <w:r>
        <w:rPr>
          <w:rFonts w:hint="eastAsia" w:ascii="宋体" w:hAnsi="宋体" w:eastAsia="宋体" w:cs="宋体"/>
          <w:b/>
          <w:color w:val="auto"/>
          <w:sz w:val="32"/>
          <w:szCs w:val="32"/>
          <w:highlight w:val="none"/>
          <w:lang w:val="en-US" w:eastAsia="zh-CN"/>
        </w:rPr>
        <w:t>六、保证金缴纳凭证</w:t>
      </w:r>
    </w:p>
    <w:p w14:paraId="77D828E5">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r>
    </w:p>
    <w:p w14:paraId="077835B5">
      <w:pPr>
        <w:spacing w:line="360" w:lineRule="auto"/>
        <w:jc w:val="center"/>
        <w:rPr>
          <w:rFonts w:hint="eastAsia" w:ascii="宋体" w:hAnsi="宋体" w:eastAsia="宋体" w:cs="宋体"/>
          <w:b/>
          <w:bCs/>
          <w:color w:val="auto"/>
          <w:highlight w:val="none"/>
        </w:rPr>
      </w:pPr>
      <w:r>
        <w:rPr>
          <w:rFonts w:hint="eastAsia" w:cs="宋体"/>
          <w:b/>
          <w:color w:val="auto"/>
          <w:sz w:val="32"/>
          <w:szCs w:val="32"/>
          <w:highlight w:val="none"/>
          <w:lang w:val="en-US" w:eastAsia="zh-CN"/>
        </w:rPr>
        <w:t>七</w:t>
      </w:r>
      <w:r>
        <w:rPr>
          <w:rFonts w:hint="eastAsia" w:ascii="宋体" w:hAnsi="宋体" w:eastAsia="宋体" w:cs="宋体"/>
          <w:b/>
          <w:color w:val="auto"/>
          <w:sz w:val="32"/>
          <w:szCs w:val="32"/>
          <w:highlight w:val="none"/>
          <w:lang w:val="en-US" w:eastAsia="zh-CN"/>
        </w:rPr>
        <w: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Start w:id="68" w:name="_Toc11100"/>
      <w:bookmarkStart w:id="69" w:name="_Toc6157"/>
      <w:bookmarkStart w:id="70" w:name="_Toc3802"/>
      <w:bookmarkStart w:id="71" w:name="_Toc9285"/>
      <w:r>
        <w:rPr>
          <w:rFonts w:hint="eastAsia" w:ascii="宋体" w:hAnsi="宋体" w:eastAsia="宋体" w:cs="宋体"/>
          <w:b/>
          <w:color w:val="auto"/>
          <w:sz w:val="32"/>
          <w:szCs w:val="32"/>
          <w:highlight w:val="none"/>
          <w:lang w:val="en-US" w:eastAsia="zh-CN"/>
        </w:rPr>
        <w:t>服务</w:t>
      </w:r>
      <w:r>
        <w:rPr>
          <w:rFonts w:hint="eastAsia" w:ascii="宋体" w:hAnsi="宋体" w:eastAsia="宋体" w:cs="宋体"/>
          <w:b/>
          <w:color w:val="auto"/>
          <w:sz w:val="32"/>
          <w:szCs w:val="32"/>
          <w:highlight w:val="none"/>
        </w:rPr>
        <w:t>方案说明</w:t>
      </w:r>
      <w:bookmarkEnd w:id="68"/>
      <w:bookmarkEnd w:id="69"/>
      <w:bookmarkEnd w:id="70"/>
      <w:bookmarkEnd w:id="71"/>
    </w:p>
    <w:p w14:paraId="448A86C5">
      <w:pPr>
        <w:pStyle w:val="7"/>
        <w:snapToGrid w:val="0"/>
        <w:spacing w:line="360" w:lineRule="auto"/>
        <w:ind w:firstLine="480" w:firstLineChars="20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(参照磋商文件和评审办法的内容进行编写，格式自拟)</w:t>
      </w:r>
    </w:p>
    <w:p w14:paraId="4B3DB84E">
      <w:pPr>
        <w:spacing w:line="249" w:lineRule="auto"/>
        <w:rPr>
          <w:rFonts w:hint="eastAsia" w:ascii="宋体" w:hAnsi="宋体" w:eastAsia="宋体" w:cs="宋体"/>
          <w:color w:val="auto"/>
          <w:sz w:val="21"/>
          <w:highlight w:val="none"/>
        </w:rPr>
      </w:pPr>
    </w:p>
    <w:p w14:paraId="3185F178">
      <w:pPr>
        <w:spacing w:line="600" w:lineRule="exact"/>
        <w:rPr>
          <w:rFonts w:hint="eastAsia" w:ascii="宋体" w:hAnsi="宋体" w:eastAsia="宋体" w:cs="宋体"/>
          <w:color w:val="auto"/>
          <w:sz w:val="24"/>
          <w:highlight w:val="none"/>
        </w:rPr>
      </w:pPr>
    </w:p>
    <w:p w14:paraId="7D664902">
      <w:pPr>
        <w:pStyle w:val="18"/>
        <w:rPr>
          <w:rFonts w:hint="eastAsia" w:ascii="宋体" w:hAnsi="宋体" w:eastAsia="宋体" w:cs="宋体"/>
          <w:color w:val="auto"/>
          <w:sz w:val="24"/>
          <w:highlight w:val="none"/>
        </w:rPr>
      </w:pPr>
    </w:p>
    <w:p w14:paraId="6083DBA6">
      <w:pPr>
        <w:spacing w:before="75" w:line="233" w:lineRule="auto"/>
        <w:ind w:left="44"/>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6BF9F3D4">
      <w:pPr>
        <w:spacing w:before="75" w:line="233" w:lineRule="auto"/>
        <w:ind w:left="44"/>
        <w:rPr>
          <w:rFonts w:hint="eastAsia" w:ascii="宋体" w:hAnsi="宋体" w:eastAsia="宋体" w:cs="宋体"/>
          <w:b/>
          <w:bCs/>
          <w:color w:val="auto"/>
          <w:sz w:val="23"/>
          <w:szCs w:val="23"/>
          <w:highlight w:val="none"/>
        </w:rPr>
      </w:pPr>
      <w:r>
        <w:rPr>
          <w:rFonts w:hint="eastAsia" w:ascii="宋体" w:hAnsi="宋体" w:eastAsia="宋体" w:cs="宋体"/>
          <w:b/>
          <w:bCs/>
          <w:color w:val="auto"/>
          <w:spacing w:val="8"/>
          <w:sz w:val="23"/>
          <w:szCs w:val="23"/>
          <w:highlight w:val="none"/>
        </w:rPr>
        <w:t>附表</w:t>
      </w:r>
      <w:r>
        <w:rPr>
          <w:rFonts w:hint="eastAsia" w:ascii="宋体" w:hAnsi="宋体" w:eastAsia="宋体" w:cs="宋体"/>
          <w:b/>
          <w:bCs/>
          <w:color w:val="auto"/>
          <w:spacing w:val="4"/>
          <w:sz w:val="23"/>
          <w:szCs w:val="23"/>
          <w:highlight w:val="none"/>
        </w:rPr>
        <w:t>1 本项目拟投入人员汇总表</w:t>
      </w:r>
    </w:p>
    <w:p w14:paraId="22914724">
      <w:pPr>
        <w:numPr>
          <w:ilvl w:val="0"/>
          <w:numId w:val="7"/>
        </w:numPr>
        <w:spacing w:before="187" w:line="233" w:lineRule="auto"/>
        <w:ind w:left="0" w:leftChars="0" w:firstLine="0" w:firstLineChars="0"/>
        <w:jc w:val="center"/>
        <w:rPr>
          <w:rFonts w:hint="eastAsia" w:ascii="宋体" w:hAnsi="宋体" w:eastAsia="宋体" w:cs="宋体"/>
          <w:color w:val="auto"/>
          <w:spacing w:val="15"/>
          <w:sz w:val="23"/>
          <w:szCs w:val="23"/>
          <w:highlight w:val="none"/>
        </w:rPr>
      </w:pPr>
      <w:r>
        <w:rPr>
          <w:rFonts w:hint="eastAsia" w:ascii="宋体" w:hAnsi="宋体" w:eastAsia="宋体" w:cs="宋体"/>
          <w:color w:val="auto"/>
          <w:spacing w:val="15"/>
          <w:sz w:val="23"/>
          <w:szCs w:val="23"/>
          <w:highlight w:val="none"/>
        </w:rPr>
        <w:t>本项目拟投入人员汇总表</w:t>
      </w:r>
    </w:p>
    <w:tbl>
      <w:tblPr>
        <w:tblStyle w:val="44"/>
        <w:tblW w:w="899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0"/>
        <w:gridCol w:w="1663"/>
        <w:gridCol w:w="763"/>
        <w:gridCol w:w="763"/>
        <w:gridCol w:w="1072"/>
        <w:gridCol w:w="1353"/>
        <w:gridCol w:w="1279"/>
        <w:gridCol w:w="1353"/>
      </w:tblGrid>
      <w:tr w14:paraId="7B53AE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0" w:hRule="atLeast"/>
        </w:trPr>
        <w:tc>
          <w:tcPr>
            <w:tcW w:w="750" w:type="dxa"/>
            <w:noWrap w:val="0"/>
            <w:vAlign w:val="top"/>
          </w:tcPr>
          <w:p w14:paraId="0229D65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p w14:paraId="0D1AE01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63" w:type="dxa"/>
            <w:noWrap w:val="0"/>
            <w:vAlign w:val="top"/>
          </w:tcPr>
          <w:p w14:paraId="36E5802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p w14:paraId="468FD33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763" w:type="dxa"/>
            <w:noWrap w:val="0"/>
            <w:vAlign w:val="top"/>
          </w:tcPr>
          <w:p w14:paraId="7A3EDCD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p w14:paraId="2431E89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763" w:type="dxa"/>
            <w:noWrap w:val="0"/>
            <w:vAlign w:val="top"/>
          </w:tcPr>
          <w:p w14:paraId="003234C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p w14:paraId="38FEA96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072" w:type="dxa"/>
            <w:noWrap w:val="0"/>
            <w:vAlign w:val="top"/>
          </w:tcPr>
          <w:p w14:paraId="489709E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p w14:paraId="057E2B0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353" w:type="dxa"/>
            <w:noWrap w:val="0"/>
            <w:vAlign w:val="top"/>
          </w:tcPr>
          <w:p w14:paraId="53A6405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w:t>
            </w:r>
          </w:p>
          <w:p w14:paraId="740DDAC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年限</w:t>
            </w:r>
          </w:p>
        </w:tc>
        <w:tc>
          <w:tcPr>
            <w:tcW w:w="1279" w:type="dxa"/>
            <w:noWrap w:val="0"/>
            <w:vAlign w:val="center"/>
          </w:tcPr>
          <w:p w14:paraId="643161D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拥有的执业资格</w:t>
            </w:r>
            <w:r>
              <w:rPr>
                <w:rFonts w:hint="eastAsia" w:cs="宋体"/>
                <w:color w:val="auto"/>
                <w:sz w:val="24"/>
                <w:szCs w:val="24"/>
                <w:highlight w:val="none"/>
                <w:lang w:val="en-US" w:eastAsia="zh-CN"/>
              </w:rPr>
              <w:t>/职称</w:t>
            </w:r>
          </w:p>
        </w:tc>
        <w:tc>
          <w:tcPr>
            <w:tcW w:w="1353" w:type="dxa"/>
            <w:noWrap w:val="0"/>
            <w:vAlign w:val="top"/>
          </w:tcPr>
          <w:p w14:paraId="3767498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拟担任的职务</w:t>
            </w:r>
          </w:p>
        </w:tc>
      </w:tr>
      <w:tr w14:paraId="63A107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08D48F8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4475057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20C9C39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0C434EE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2922E12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67F0800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350362F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0E2ECB5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404DDF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460D9DB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3BDF844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7F46E85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7B83FF6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1BB5289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1BD461E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78E8C7C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7D72576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4ADF2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6864A12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0E88DCD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3759254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0A3183D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04D8A2A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178431D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68B7747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3C4EFEE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5C0E9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4C5C6FB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6ED8A0E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4AB08FB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7725B17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14D9A84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3767506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0209498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348D578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687B7B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253D9D7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3A5A7F8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793DC4C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0B19112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7E096A9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64251B0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2A76D94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5DD3264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C23E4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2729372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04832B4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5CFB97B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689F7D5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5883AF2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12144A7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13986AF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352D561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4061A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32F7C31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7F2FE00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005B856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398A396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47F4DBF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7E993B8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5DC1115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7A4BB58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3CA2D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322F71B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19688C4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41C7537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32E5600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4BD2620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5C2BFC1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21FB04B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30E320E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5E95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2A90A90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227AFD3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3E6BE08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05BA1B2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23DD9EB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7FEF1C1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6A43398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17B4FF0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29395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5E1A2B1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4C812DC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07FA63D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1D9C96B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6F7D322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7199274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526861C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412B9DC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BA49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30B3F4A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1CDB186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6B9B4B5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2BDAE02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26E61DD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79C0598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64E0FB8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3717CC0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0AD27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2507512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37A98B1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098CE1E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5D4AEB9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7F0C7B7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5719693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0178483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5C5AE5C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61E2B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2B1F162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7294727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3AF7D34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652DA65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72A9864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139D075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3DD57E7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587359F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253F3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2B956B3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108B6B5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4469A67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05EF4E5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67CC4F3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46F056C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757337D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3D8BDAA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1034FF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50" w:type="dxa"/>
            <w:noWrap w:val="0"/>
            <w:vAlign w:val="top"/>
          </w:tcPr>
          <w:p w14:paraId="694B653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26B87F9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0E7523A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137CC43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596255E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3794F51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006168C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1AF8EA3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4D52B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750" w:type="dxa"/>
            <w:noWrap w:val="0"/>
            <w:vAlign w:val="top"/>
          </w:tcPr>
          <w:p w14:paraId="574B06D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663" w:type="dxa"/>
            <w:noWrap w:val="0"/>
            <w:vAlign w:val="top"/>
          </w:tcPr>
          <w:p w14:paraId="52F257A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5C29AA5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763" w:type="dxa"/>
            <w:noWrap w:val="0"/>
            <w:vAlign w:val="top"/>
          </w:tcPr>
          <w:p w14:paraId="0D9EA80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072" w:type="dxa"/>
            <w:noWrap w:val="0"/>
            <w:vAlign w:val="top"/>
          </w:tcPr>
          <w:p w14:paraId="65CDD1A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3D331E8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279" w:type="dxa"/>
            <w:noWrap w:val="0"/>
            <w:vAlign w:val="top"/>
          </w:tcPr>
          <w:p w14:paraId="624EC33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353" w:type="dxa"/>
            <w:noWrap w:val="0"/>
            <w:vAlign w:val="top"/>
          </w:tcPr>
          <w:p w14:paraId="4120506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bl>
    <w:p w14:paraId="187A6FB5">
      <w:pPr>
        <w:spacing w:line="249" w:lineRule="auto"/>
        <w:rPr>
          <w:rFonts w:hint="eastAsia" w:ascii="宋体" w:hAnsi="宋体" w:eastAsia="宋体" w:cs="宋体"/>
          <w:color w:val="auto"/>
          <w:sz w:val="21"/>
          <w:highlight w:val="none"/>
        </w:rPr>
      </w:pPr>
    </w:p>
    <w:p w14:paraId="4395B9A7">
      <w:pPr>
        <w:spacing w:line="249" w:lineRule="auto"/>
        <w:rPr>
          <w:rFonts w:hint="eastAsia" w:ascii="宋体" w:hAnsi="宋体" w:eastAsia="宋体" w:cs="宋体"/>
          <w:color w:val="auto"/>
          <w:sz w:val="21"/>
          <w:highlight w:val="none"/>
        </w:rPr>
      </w:pPr>
    </w:p>
    <w:p w14:paraId="46C1AF0D">
      <w:pPr>
        <w:spacing w:line="250" w:lineRule="auto"/>
        <w:rPr>
          <w:rFonts w:hint="eastAsia" w:ascii="宋体" w:hAnsi="宋体" w:eastAsia="宋体" w:cs="宋体"/>
          <w:color w:val="auto"/>
          <w:sz w:val="21"/>
          <w:highlight w:val="none"/>
        </w:rPr>
      </w:pPr>
    </w:p>
    <w:p w14:paraId="3CA75F42">
      <w:pPr>
        <w:spacing w:before="75" w:line="303" w:lineRule="exact"/>
        <w:ind w:left="40"/>
        <w:rPr>
          <w:rFonts w:hint="eastAsia" w:ascii="宋体" w:hAnsi="宋体" w:eastAsia="宋体" w:cs="宋体"/>
          <w:color w:val="auto"/>
          <w:sz w:val="23"/>
          <w:szCs w:val="23"/>
          <w:highlight w:val="none"/>
        </w:rPr>
      </w:pPr>
      <w:r>
        <w:rPr>
          <w:rFonts w:hint="eastAsia" w:ascii="宋体" w:hAnsi="宋体" w:eastAsia="宋体" w:cs="宋体"/>
          <w:color w:val="auto"/>
          <w:spacing w:val="16"/>
          <w:position w:val="1"/>
          <w:sz w:val="23"/>
          <w:szCs w:val="23"/>
          <w:highlight w:val="none"/>
        </w:rPr>
        <w:t>注</w:t>
      </w:r>
      <w:r>
        <w:rPr>
          <w:rFonts w:hint="eastAsia" w:ascii="宋体" w:hAnsi="宋体" w:eastAsia="宋体" w:cs="宋体"/>
          <w:color w:val="auto"/>
          <w:spacing w:val="12"/>
          <w:position w:val="1"/>
          <w:sz w:val="23"/>
          <w:szCs w:val="23"/>
          <w:highlight w:val="none"/>
        </w:rPr>
        <w:t>：</w:t>
      </w:r>
      <w:r>
        <w:rPr>
          <w:rFonts w:hint="eastAsia" w:ascii="宋体" w:hAnsi="宋体" w:eastAsia="宋体" w:cs="宋体"/>
          <w:color w:val="auto"/>
          <w:spacing w:val="8"/>
          <w:position w:val="1"/>
          <w:sz w:val="23"/>
          <w:szCs w:val="23"/>
          <w:highlight w:val="none"/>
        </w:rPr>
        <w:t>1.供应商可适当调整该表格式，但不得减少信息内容。</w:t>
      </w:r>
    </w:p>
    <w:p w14:paraId="16E8B46E">
      <w:pPr>
        <w:numPr>
          <w:ilvl w:val="0"/>
          <w:numId w:val="8"/>
        </w:numPr>
        <w:spacing w:before="250" w:line="323" w:lineRule="exact"/>
        <w:ind w:left="506"/>
        <w:rPr>
          <w:rFonts w:hint="eastAsia" w:ascii="宋体" w:hAnsi="宋体" w:eastAsia="宋体" w:cs="宋体"/>
          <w:color w:val="auto"/>
          <w:spacing w:val="5"/>
          <w:position w:val="1"/>
          <w:sz w:val="23"/>
          <w:szCs w:val="23"/>
          <w:highlight w:val="none"/>
        </w:rPr>
      </w:pPr>
      <w:r>
        <w:rPr>
          <w:rFonts w:hint="eastAsia" w:cs="宋体"/>
          <w:color w:val="auto"/>
          <w:spacing w:val="9"/>
          <w:position w:val="1"/>
          <w:sz w:val="23"/>
          <w:szCs w:val="23"/>
          <w:highlight w:val="none"/>
          <w:lang w:val="en-US" w:eastAsia="zh-CN"/>
        </w:rPr>
        <w:t>本表后应附拟投入人员相关证件</w:t>
      </w:r>
      <w:r>
        <w:rPr>
          <w:rFonts w:hint="eastAsia" w:ascii="宋体" w:hAnsi="宋体" w:eastAsia="宋体" w:cs="宋体"/>
          <w:color w:val="auto"/>
          <w:spacing w:val="5"/>
          <w:position w:val="1"/>
          <w:sz w:val="23"/>
          <w:szCs w:val="23"/>
          <w:highlight w:val="none"/>
        </w:rPr>
        <w:t>。</w:t>
      </w:r>
    </w:p>
    <w:p w14:paraId="7B2DDA69">
      <w:pPr>
        <w:snapToGrid w:val="0"/>
        <w:spacing w:line="360" w:lineRule="auto"/>
        <w:ind w:firstLine="3158" w:firstLineChars="1316"/>
        <w:rPr>
          <w:rFonts w:hint="eastAsia" w:ascii="宋体" w:hAnsi="宋体" w:eastAsia="宋体" w:cs="宋体"/>
          <w:color w:val="auto"/>
          <w:sz w:val="24"/>
          <w:szCs w:val="24"/>
          <w:highlight w:val="none"/>
        </w:rPr>
      </w:pPr>
    </w:p>
    <w:p w14:paraId="1F46CB0A">
      <w:pPr>
        <w:snapToGrid w:val="0"/>
        <w:spacing w:line="360" w:lineRule="auto"/>
        <w:ind w:firstLine="3158" w:firstLineChars="13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DB274CA">
      <w:pPr>
        <w:snapToGrid w:val="0"/>
        <w:spacing w:line="360" w:lineRule="auto"/>
        <w:ind w:firstLine="3158" w:firstLineChars="131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法定代表人或授权代表（签字或盖章）：</w:t>
      </w:r>
      <w:r>
        <w:rPr>
          <w:rFonts w:hint="eastAsia" w:ascii="宋体" w:hAnsi="宋体" w:eastAsia="宋体" w:cs="宋体"/>
          <w:color w:val="auto"/>
          <w:sz w:val="24"/>
          <w:szCs w:val="24"/>
          <w:highlight w:val="none"/>
          <w:u w:val="single"/>
        </w:rPr>
        <w:t xml:space="preserve">             </w:t>
      </w:r>
    </w:p>
    <w:p w14:paraId="50DCB86C">
      <w:pPr>
        <w:snapToGrid w:val="0"/>
        <w:spacing w:line="360" w:lineRule="auto"/>
        <w:ind w:firstLine="3120" w:firstLineChars="1300"/>
        <w:jc w:val="both"/>
        <w:outlineLvl w:val="9"/>
        <w:rPr>
          <w:rFonts w:hint="eastAsia" w:ascii="宋体" w:hAnsi="宋体" w:eastAsia="宋体" w:cs="宋体"/>
          <w:color w:val="auto"/>
          <w:sz w:val="24"/>
          <w:szCs w:val="24"/>
          <w:highlight w:val="none"/>
          <w:u w:val="single"/>
        </w:rPr>
      </w:pPr>
      <w:bookmarkStart w:id="72" w:name="_Toc5436"/>
      <w:r>
        <w:rPr>
          <w:rFonts w:hint="eastAsia" w:ascii="宋体" w:hAnsi="宋体" w:eastAsia="宋体" w:cs="宋体"/>
          <w:color w:val="auto"/>
          <w:sz w:val="24"/>
          <w:szCs w:val="24"/>
          <w:highlight w:val="none"/>
        </w:rPr>
        <w:t>日    期：</w:t>
      </w:r>
      <w:bookmarkEnd w:id="7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17D01B4">
      <w:pPr>
        <w:pStyle w:val="37"/>
        <w:numPr>
          <w:ilvl w:val="0"/>
          <w:numId w:val="8"/>
        </w:numPr>
        <w:rPr>
          <w:rFonts w:hint="eastAsia" w:ascii="宋体" w:hAnsi="宋体" w:eastAsia="宋体" w:cs="宋体"/>
          <w:color w:val="auto"/>
          <w:highlight w:val="none"/>
        </w:rPr>
        <w:sectPr>
          <w:pgSz w:w="11905" w:h="16838"/>
          <w:pgMar w:top="1100" w:right="1417" w:bottom="1140" w:left="1395" w:header="884" w:footer="896" w:gutter="0"/>
          <w:pgNumType w:fmt="decimal"/>
          <w:cols w:space="0" w:num="1"/>
          <w:rtlGutter w:val="0"/>
          <w:docGrid w:linePitch="0" w:charSpace="0"/>
        </w:sectPr>
      </w:pPr>
    </w:p>
    <w:p w14:paraId="27EDF8F0">
      <w:pPr>
        <w:pStyle w:val="18"/>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附件</w:t>
      </w:r>
      <w:r>
        <w:rPr>
          <w:rFonts w:hint="eastAsia" w:eastAsia="宋体" w:cs="宋体"/>
          <w:b/>
          <w:color w:val="auto"/>
          <w:sz w:val="24"/>
          <w:highlight w:val="none"/>
          <w:lang w:val="en-US" w:eastAsia="zh-CN"/>
        </w:rPr>
        <w:t>2</w:t>
      </w:r>
      <w:r>
        <w:rPr>
          <w:rFonts w:hint="eastAsia" w:ascii="宋体" w:hAnsi="宋体" w:eastAsia="宋体" w:cs="宋体"/>
          <w:b/>
          <w:color w:val="auto"/>
          <w:sz w:val="24"/>
          <w:highlight w:val="none"/>
          <w:lang w:val="en-US" w:eastAsia="zh-CN"/>
        </w:rPr>
        <w:t>：</w:t>
      </w:r>
    </w:p>
    <w:p w14:paraId="10264683">
      <w:pPr>
        <w:pStyle w:val="10"/>
        <w:adjustRightInd w:val="0"/>
        <w:snapToGrid w:val="0"/>
        <w:spacing w:line="360" w:lineRule="auto"/>
        <w:jc w:val="center"/>
        <w:outlineLvl w:val="9"/>
        <w:rPr>
          <w:rFonts w:hint="eastAsia" w:ascii="宋体" w:hAnsi="宋体" w:eastAsia="宋体" w:cs="宋体"/>
          <w:b/>
          <w:color w:val="auto"/>
          <w:sz w:val="30"/>
          <w:szCs w:val="30"/>
          <w:highlight w:val="none"/>
          <w:lang w:val="zh-CN"/>
        </w:rPr>
      </w:pPr>
      <w:bookmarkStart w:id="73" w:name="_Toc20429"/>
      <w:r>
        <w:rPr>
          <w:rFonts w:hint="eastAsia" w:ascii="宋体" w:hAnsi="宋体" w:eastAsia="宋体" w:cs="宋体"/>
          <w:b/>
          <w:color w:val="auto"/>
          <w:sz w:val="30"/>
          <w:szCs w:val="30"/>
          <w:highlight w:val="none"/>
          <w:lang w:val="zh-CN"/>
        </w:rPr>
        <w:t>业绩一览表</w:t>
      </w:r>
      <w:bookmarkEnd w:id="73"/>
    </w:p>
    <w:p w14:paraId="33C60B9E">
      <w:pPr>
        <w:adjustRightInd w:val="0"/>
        <w:snapToGrid w:val="0"/>
        <w:spacing w:line="360" w:lineRule="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lang w:eastAsia="zh-CN"/>
        </w:rPr>
        <w:t>采购</w:t>
      </w:r>
      <w:r>
        <w:rPr>
          <w:rFonts w:hint="eastAsia" w:ascii="宋体" w:hAnsi="宋体" w:eastAsia="宋体" w:cs="宋体"/>
          <w:b w:val="0"/>
          <w:bCs/>
          <w:color w:val="auto"/>
          <w:kern w:val="0"/>
          <w:sz w:val="24"/>
          <w:szCs w:val="24"/>
          <w:highlight w:val="none"/>
        </w:rPr>
        <w:t xml:space="preserve">项目名称：                   </w:t>
      </w:r>
    </w:p>
    <w:p w14:paraId="4CEC511D">
      <w:pPr>
        <w:pStyle w:val="7"/>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kern w:val="0"/>
          <w:sz w:val="24"/>
          <w:szCs w:val="24"/>
          <w:highlight w:val="none"/>
          <w:lang w:eastAsia="zh-CN"/>
        </w:rPr>
        <w:t>采购项目编号</w:t>
      </w:r>
      <w:r>
        <w:rPr>
          <w:rFonts w:hint="eastAsia" w:ascii="宋体" w:hAnsi="宋体" w:eastAsia="宋体" w:cs="宋体"/>
          <w:b w:val="0"/>
          <w:bCs/>
          <w:color w:val="auto"/>
          <w:kern w:val="0"/>
          <w:sz w:val="24"/>
          <w:szCs w:val="24"/>
          <w:highlight w:val="none"/>
        </w:rPr>
        <w:t>：</w:t>
      </w:r>
      <w:r>
        <w:rPr>
          <w:rFonts w:hint="eastAsia" w:ascii="宋体" w:hAnsi="宋体" w:eastAsia="宋体" w:cs="宋体"/>
          <w:b w:val="0"/>
          <w:bCs/>
          <w:color w:val="auto"/>
          <w:highlight w:val="none"/>
        </w:rPr>
        <w:t xml:space="preserve"> </w:t>
      </w:r>
    </w:p>
    <w:tbl>
      <w:tblPr>
        <w:tblStyle w:val="20"/>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2445"/>
        <w:gridCol w:w="1763"/>
        <w:gridCol w:w="2102"/>
        <w:gridCol w:w="2102"/>
      </w:tblGrid>
      <w:tr w14:paraId="5B627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67" w:type="dxa"/>
            <w:noWrap w:val="0"/>
            <w:vAlign w:val="center"/>
          </w:tcPr>
          <w:p w14:paraId="66F481C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445" w:type="dxa"/>
            <w:noWrap w:val="0"/>
            <w:vAlign w:val="center"/>
          </w:tcPr>
          <w:p w14:paraId="6CD8304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763" w:type="dxa"/>
            <w:noWrap w:val="0"/>
            <w:vAlign w:val="center"/>
          </w:tcPr>
          <w:p w14:paraId="5C34E29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合同签订时间</w:t>
            </w:r>
          </w:p>
        </w:tc>
        <w:tc>
          <w:tcPr>
            <w:tcW w:w="2102" w:type="dxa"/>
            <w:noWrap w:val="0"/>
            <w:vAlign w:val="center"/>
          </w:tcPr>
          <w:p w14:paraId="3F498C0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项目金额</w:t>
            </w:r>
          </w:p>
        </w:tc>
        <w:tc>
          <w:tcPr>
            <w:tcW w:w="2102" w:type="dxa"/>
            <w:noWrap w:val="0"/>
            <w:vAlign w:val="center"/>
          </w:tcPr>
          <w:p w14:paraId="01473DF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业主</w:t>
            </w:r>
            <w:r>
              <w:rPr>
                <w:rFonts w:hint="eastAsia" w:ascii="宋体" w:hAnsi="宋体" w:eastAsia="宋体" w:cs="宋体"/>
                <w:color w:val="auto"/>
                <w:sz w:val="24"/>
                <w:szCs w:val="24"/>
                <w:highlight w:val="none"/>
              </w:rPr>
              <w:t>单位</w:t>
            </w:r>
          </w:p>
        </w:tc>
      </w:tr>
      <w:tr w14:paraId="311D7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67" w:type="dxa"/>
            <w:noWrap w:val="0"/>
            <w:vAlign w:val="top"/>
          </w:tcPr>
          <w:p w14:paraId="38208D9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68C1465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57B4083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43D662D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3A33C2D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4EEC1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noWrap w:val="0"/>
            <w:vAlign w:val="top"/>
          </w:tcPr>
          <w:p w14:paraId="4A0B05D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4FB956E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3D31D44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691151C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07138D2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3E67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noWrap w:val="0"/>
            <w:vAlign w:val="top"/>
          </w:tcPr>
          <w:p w14:paraId="49AC68E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0851426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3FB0A22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42EDCE4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792D676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26AC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noWrap w:val="0"/>
            <w:vAlign w:val="top"/>
          </w:tcPr>
          <w:p w14:paraId="3E60C16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125C121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4839074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73CC041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31C86AF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516F0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noWrap w:val="0"/>
            <w:vAlign w:val="top"/>
          </w:tcPr>
          <w:p w14:paraId="11BF58C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3E59138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46058DB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2E4675F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05E226B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2C0C5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noWrap w:val="0"/>
            <w:vAlign w:val="top"/>
          </w:tcPr>
          <w:p w14:paraId="66DC9B7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400DE5F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463C7C1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497A225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0DD24C3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BAC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noWrap w:val="0"/>
            <w:vAlign w:val="top"/>
          </w:tcPr>
          <w:p w14:paraId="3104451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7D34026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42A8659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4E7D7C2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49B8931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FC9F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noWrap w:val="0"/>
            <w:vAlign w:val="top"/>
          </w:tcPr>
          <w:p w14:paraId="517FFA5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732A512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7C9B54F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31B8753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43C2E49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34AF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noWrap w:val="0"/>
            <w:vAlign w:val="top"/>
          </w:tcPr>
          <w:p w14:paraId="6689C71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4BCFBEC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23FE041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1E3FBF7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4058B53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3B074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noWrap w:val="0"/>
            <w:vAlign w:val="top"/>
          </w:tcPr>
          <w:p w14:paraId="12AF31C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12D7751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192869B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0C520E8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761350C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79FE9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noWrap w:val="0"/>
            <w:vAlign w:val="top"/>
          </w:tcPr>
          <w:p w14:paraId="5CEE94F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38FA71A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32667AA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460C76D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016A85F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r w14:paraId="6752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noWrap w:val="0"/>
            <w:vAlign w:val="top"/>
          </w:tcPr>
          <w:p w14:paraId="274DC58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445" w:type="dxa"/>
            <w:noWrap w:val="0"/>
            <w:vAlign w:val="top"/>
          </w:tcPr>
          <w:p w14:paraId="18AE2AA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1763" w:type="dxa"/>
            <w:noWrap w:val="0"/>
            <w:vAlign w:val="top"/>
          </w:tcPr>
          <w:p w14:paraId="15CB196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0FF74AC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c>
          <w:tcPr>
            <w:tcW w:w="2102" w:type="dxa"/>
            <w:noWrap w:val="0"/>
            <w:vAlign w:val="top"/>
          </w:tcPr>
          <w:p w14:paraId="39F4E66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p>
        </w:tc>
      </w:tr>
    </w:tbl>
    <w:p w14:paraId="4AFF7D72">
      <w:pPr>
        <w:autoSpaceDE w:val="0"/>
        <w:autoSpaceDN w:val="0"/>
        <w:adjustRightInd w:val="0"/>
        <w:snapToGrid w:val="0"/>
        <w:spacing w:line="360" w:lineRule="auto"/>
        <w:jc w:val="left"/>
        <w:rPr>
          <w:rFonts w:hint="eastAsia" w:ascii="宋体" w:hAnsi="宋体" w:eastAsia="宋体" w:cs="宋体"/>
          <w:color w:val="auto"/>
          <w:sz w:val="24"/>
          <w:szCs w:val="24"/>
          <w:highlight w:val="none"/>
          <w:lang w:val="zh-CN"/>
        </w:rPr>
      </w:pPr>
    </w:p>
    <w:p w14:paraId="02ED6948">
      <w:pPr>
        <w:autoSpaceDE w:val="0"/>
        <w:autoSpaceDN w:val="0"/>
        <w:adjustRightInd w:val="0"/>
        <w:snapToGrid w:val="0"/>
        <w:spacing w:line="360" w:lineRule="auto"/>
        <w:jc w:val="left"/>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注：后附合同</w:t>
      </w:r>
      <w:r>
        <w:rPr>
          <w:rFonts w:hint="eastAsia" w:cs="宋体"/>
          <w:color w:val="auto"/>
          <w:sz w:val="24"/>
          <w:szCs w:val="24"/>
          <w:highlight w:val="none"/>
          <w:u w:val="none"/>
          <w:lang w:val="en-US" w:eastAsia="zh-CN"/>
        </w:rPr>
        <w:t>协议书</w:t>
      </w:r>
      <w:r>
        <w:rPr>
          <w:rFonts w:hint="eastAsia" w:ascii="宋体" w:hAnsi="宋体" w:eastAsia="宋体" w:cs="宋体"/>
          <w:color w:val="auto"/>
          <w:sz w:val="24"/>
          <w:szCs w:val="24"/>
          <w:highlight w:val="none"/>
          <w:u w:val="none"/>
          <w:lang w:val="zh-CN"/>
        </w:rPr>
        <w:t>复印件加盖公章。</w:t>
      </w:r>
    </w:p>
    <w:p w14:paraId="569DA772">
      <w:pPr>
        <w:snapToGrid w:val="0"/>
        <w:spacing w:line="360" w:lineRule="auto"/>
        <w:jc w:val="center"/>
        <w:rPr>
          <w:rFonts w:hint="eastAsia" w:ascii="宋体" w:hAnsi="宋体" w:eastAsia="宋体" w:cs="宋体"/>
          <w:color w:val="auto"/>
          <w:sz w:val="28"/>
          <w:szCs w:val="28"/>
          <w:highlight w:val="none"/>
        </w:rPr>
      </w:pPr>
    </w:p>
    <w:p w14:paraId="4E0754CF">
      <w:pPr>
        <w:snapToGrid w:val="0"/>
        <w:spacing w:line="360" w:lineRule="auto"/>
        <w:ind w:firstLine="3578" w:firstLineChars="14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p>
    <w:p w14:paraId="5D74F411">
      <w:pPr>
        <w:snapToGrid w:val="0"/>
        <w:spacing w:line="360" w:lineRule="auto"/>
        <w:ind w:firstLine="3578" w:firstLineChars="1491"/>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法定代表人/授权代表（签字或盖章）：</w:t>
      </w:r>
      <w:r>
        <w:rPr>
          <w:rFonts w:hint="eastAsia" w:ascii="宋体" w:hAnsi="宋体" w:eastAsia="宋体" w:cs="宋体"/>
          <w:color w:val="auto"/>
          <w:sz w:val="24"/>
          <w:szCs w:val="24"/>
          <w:highlight w:val="none"/>
          <w:u w:val="single"/>
        </w:rPr>
        <w:t xml:space="preserve">       </w:t>
      </w:r>
    </w:p>
    <w:p w14:paraId="017D4ECB">
      <w:pPr>
        <w:tabs>
          <w:tab w:val="left" w:pos="7665"/>
        </w:tabs>
        <w:spacing w:line="360" w:lineRule="auto"/>
        <w:ind w:firstLine="3604" w:firstLineChars="1502"/>
        <w:jc w:val="both"/>
        <w:rPr>
          <w:rFonts w:hint="eastAsia" w:ascii="宋体" w:hAnsi="宋体" w:eastAsia="宋体" w:cs="宋体"/>
          <w:color w:val="auto"/>
          <w:sz w:val="24"/>
          <w:szCs w:val="24"/>
          <w:highlight w:val="none"/>
        </w:rPr>
        <w:sectPr>
          <w:headerReference r:id="rId18" w:type="default"/>
          <w:footerReference r:id="rId19" w:type="default"/>
          <w:pgSz w:w="11905" w:h="16838"/>
          <w:pgMar w:top="1100" w:right="1417" w:bottom="1140" w:left="1395" w:header="884" w:footer="896"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D46F1C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8"/>
          <w:szCs w:val="28"/>
          <w:highlight w:val="none"/>
        </w:rPr>
      </w:pPr>
      <w:bookmarkStart w:id="74" w:name="_Toc1560"/>
      <w:bookmarkStart w:id="75" w:name="_Toc3994"/>
      <w:bookmarkStart w:id="76" w:name="_Toc6404"/>
      <w:bookmarkStart w:id="77" w:name="_Toc11510"/>
      <w:r>
        <w:rPr>
          <w:rFonts w:hint="eastAsia" w:cs="宋体"/>
          <w:b/>
          <w:bCs/>
          <w:color w:val="auto"/>
          <w:sz w:val="32"/>
          <w:szCs w:val="32"/>
          <w:highlight w:val="none"/>
          <w:lang w:val="en-US" w:eastAsia="zh-CN"/>
        </w:rPr>
        <w:t>八</w:t>
      </w:r>
      <w:r>
        <w:rPr>
          <w:rFonts w:hint="eastAsia" w:ascii="宋体" w:hAnsi="宋体" w:eastAsia="宋体" w:cs="宋体"/>
          <w:b/>
          <w:bCs/>
          <w:color w:val="auto"/>
          <w:sz w:val="32"/>
          <w:szCs w:val="32"/>
          <w:highlight w:val="none"/>
          <w:lang w:val="zh-CN" w:eastAsia="zh-CN"/>
        </w:rPr>
        <w:t>、</w:t>
      </w:r>
      <w:r>
        <w:rPr>
          <w:rFonts w:hint="eastAsia" w:ascii="宋体" w:hAnsi="宋体" w:eastAsia="宋体" w:cs="宋体"/>
          <w:b/>
          <w:bCs/>
          <w:color w:val="auto"/>
          <w:sz w:val="32"/>
          <w:szCs w:val="32"/>
          <w:highlight w:val="none"/>
          <w:lang w:val="zh-CN"/>
        </w:rPr>
        <w:t>供应商资格证明文件</w:t>
      </w:r>
      <w:bookmarkEnd w:id="74"/>
      <w:bookmarkEnd w:id="75"/>
      <w:bookmarkEnd w:id="76"/>
      <w:bookmarkEnd w:id="77"/>
    </w:p>
    <w:p w14:paraId="210652DB">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rPr>
          <w:rFonts w:hint="eastAsia" w:ascii="宋体" w:hAnsi="宋体" w:eastAsia="宋体" w:cs="宋体"/>
          <w:b/>
          <w:color w:val="auto"/>
          <w:sz w:val="32"/>
          <w:szCs w:val="32"/>
          <w:highlight w:val="none"/>
        </w:rPr>
      </w:pPr>
      <w:bookmarkStart w:id="78" w:name="_Toc25157"/>
      <w:bookmarkStart w:id="79" w:name="_Toc18761"/>
      <w:bookmarkStart w:id="80" w:name="_Toc6540"/>
      <w:bookmarkStart w:id="81" w:name="_Toc408785214"/>
      <w:bookmarkStart w:id="82" w:name="_Toc387415867"/>
      <w:bookmarkStart w:id="83" w:name="_Toc188808842"/>
      <w:bookmarkStart w:id="84" w:name="_Toc193126891"/>
      <w:r>
        <w:rPr>
          <w:rFonts w:hint="eastAsia" w:ascii="宋体" w:hAnsi="宋体" w:eastAsia="宋体" w:cs="宋体"/>
          <w:color w:val="auto"/>
          <w:kern w:val="0"/>
          <w:sz w:val="24"/>
          <w:szCs w:val="24"/>
          <w:highlight w:val="none"/>
          <w:lang w:val="en-US" w:eastAsia="zh-CN" w:bidi="ar"/>
        </w:rPr>
        <w:t>按照第三章磋商评审办法，资格审查标准提供资格证明文件。资格审查标准所列为</w:t>
      </w:r>
      <w:r>
        <w:rPr>
          <w:rFonts w:hint="eastAsia" w:ascii="宋体" w:hAnsi="宋体" w:eastAsia="宋体" w:cs="宋体"/>
          <w:color w:val="auto"/>
          <w:kern w:val="0"/>
          <w:sz w:val="24"/>
          <w:szCs w:val="24"/>
          <w:highlight w:val="none"/>
          <w:lang w:val="zh-CN" w:eastAsia="zh-CN" w:bidi="ar"/>
        </w:rPr>
        <w:t>各供应商必备资格要求，不得缺项。各供应商在磋商时须在响应文件中附有复印件加盖公章，有格式要求，按后附格式执行，无格式要求的，其格式自拟。</w:t>
      </w:r>
    </w:p>
    <w:p w14:paraId="2E169154">
      <w:pPr>
        <w:ind w:left="0" w:leftChars="0" w:firstLine="0" w:firstLineChars="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6C8920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宋体" w:hAnsi="宋体" w:eastAsia="宋体" w:cs="宋体"/>
          <w:b/>
          <w:color w:val="auto"/>
          <w:sz w:val="24"/>
          <w:szCs w:val="24"/>
          <w:highlight w:val="none"/>
          <w:lang w:val="en-US" w:eastAsia="zh-CN"/>
        </w:rPr>
      </w:pPr>
      <w:r>
        <w:rPr>
          <w:rFonts w:hint="eastAsia" w:cs="宋体"/>
          <w:b/>
          <w:color w:val="auto"/>
          <w:sz w:val="24"/>
          <w:szCs w:val="24"/>
          <w:highlight w:val="none"/>
          <w:lang w:val="en-US" w:eastAsia="zh-CN"/>
        </w:rPr>
        <w:t>附件-1</w:t>
      </w:r>
    </w:p>
    <w:p w14:paraId="6B7ABD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3" w:firstLineChars="200"/>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32"/>
          <w:szCs w:val="32"/>
          <w:highlight w:val="none"/>
        </w:rPr>
        <w:t>供应商基本情况表</w:t>
      </w:r>
      <w:bookmarkEnd w:id="78"/>
      <w:bookmarkEnd w:id="79"/>
      <w:bookmarkEnd w:id="80"/>
    </w:p>
    <w:tbl>
      <w:tblPr>
        <w:tblStyle w:val="20"/>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4"/>
        <w:gridCol w:w="2776"/>
        <w:gridCol w:w="1847"/>
        <w:gridCol w:w="1302"/>
      </w:tblGrid>
      <w:tr w14:paraId="419FA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2734" w:type="dxa"/>
            <w:noWrap w:val="0"/>
            <w:vAlign w:val="center"/>
          </w:tcPr>
          <w:p w14:paraId="0F9E0AEF">
            <w:pPr>
              <w:jc w:val="center"/>
              <w:rPr>
                <w:rFonts w:hint="eastAsia" w:ascii="宋体" w:hAnsi="宋体" w:eastAsia="宋体" w:cs="宋体"/>
                <w:kern w:val="0"/>
                <w:sz w:val="24"/>
                <w:szCs w:val="24"/>
              </w:rPr>
            </w:pPr>
            <w:r>
              <w:rPr>
                <w:rFonts w:hint="eastAsia" w:ascii="宋体" w:hAnsi="宋体" w:eastAsia="宋体" w:cs="宋体"/>
                <w:kern w:val="0"/>
                <w:sz w:val="24"/>
                <w:szCs w:val="24"/>
              </w:rPr>
              <w:t>单位全称</w:t>
            </w:r>
          </w:p>
        </w:tc>
        <w:tc>
          <w:tcPr>
            <w:tcW w:w="5925" w:type="dxa"/>
            <w:gridSpan w:val="3"/>
            <w:noWrap w:val="0"/>
            <w:vAlign w:val="center"/>
          </w:tcPr>
          <w:p w14:paraId="38894682">
            <w:pPr>
              <w:jc w:val="center"/>
              <w:rPr>
                <w:rFonts w:hint="eastAsia" w:ascii="宋体" w:hAnsi="宋体" w:eastAsia="宋体" w:cs="宋体"/>
                <w:kern w:val="0"/>
                <w:sz w:val="24"/>
                <w:szCs w:val="24"/>
              </w:rPr>
            </w:pPr>
          </w:p>
        </w:tc>
      </w:tr>
      <w:tr w14:paraId="30D2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2734" w:type="dxa"/>
            <w:noWrap w:val="0"/>
            <w:vAlign w:val="center"/>
          </w:tcPr>
          <w:p w14:paraId="673793A5">
            <w:pPr>
              <w:jc w:val="center"/>
              <w:rPr>
                <w:rFonts w:hint="eastAsia" w:ascii="宋体" w:hAnsi="宋体" w:eastAsia="宋体" w:cs="宋体"/>
                <w:kern w:val="0"/>
                <w:sz w:val="24"/>
                <w:szCs w:val="24"/>
              </w:rPr>
            </w:pPr>
            <w:r>
              <w:rPr>
                <w:rFonts w:hint="eastAsia" w:ascii="宋体" w:hAnsi="宋体" w:eastAsia="宋体" w:cs="宋体"/>
                <w:kern w:val="0"/>
                <w:sz w:val="24"/>
                <w:szCs w:val="24"/>
              </w:rPr>
              <w:t>主要业务范围</w:t>
            </w:r>
          </w:p>
        </w:tc>
        <w:tc>
          <w:tcPr>
            <w:tcW w:w="5925" w:type="dxa"/>
            <w:gridSpan w:val="3"/>
            <w:noWrap w:val="0"/>
            <w:vAlign w:val="center"/>
          </w:tcPr>
          <w:p w14:paraId="7D68B33D">
            <w:pPr>
              <w:jc w:val="center"/>
              <w:rPr>
                <w:rFonts w:hint="eastAsia" w:ascii="宋体" w:hAnsi="宋体" w:eastAsia="宋体" w:cs="宋体"/>
                <w:kern w:val="0"/>
                <w:sz w:val="24"/>
                <w:szCs w:val="24"/>
              </w:rPr>
            </w:pPr>
          </w:p>
        </w:tc>
      </w:tr>
      <w:tr w14:paraId="5998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2734" w:type="dxa"/>
            <w:noWrap w:val="0"/>
            <w:vAlign w:val="center"/>
          </w:tcPr>
          <w:p w14:paraId="71BBC3DA">
            <w:pPr>
              <w:jc w:val="center"/>
              <w:rPr>
                <w:rFonts w:hint="eastAsia" w:ascii="宋体" w:hAnsi="宋体" w:eastAsia="宋体" w:cs="宋体"/>
                <w:kern w:val="0"/>
                <w:sz w:val="24"/>
                <w:szCs w:val="24"/>
              </w:rPr>
            </w:pPr>
            <w:r>
              <w:rPr>
                <w:rFonts w:hint="eastAsia" w:ascii="宋体" w:hAnsi="宋体" w:eastAsia="宋体" w:cs="宋体"/>
                <w:kern w:val="0"/>
                <w:sz w:val="24"/>
                <w:szCs w:val="24"/>
              </w:rPr>
              <w:t>法定代表人姓名</w:t>
            </w:r>
          </w:p>
        </w:tc>
        <w:tc>
          <w:tcPr>
            <w:tcW w:w="2776" w:type="dxa"/>
            <w:noWrap w:val="0"/>
            <w:vAlign w:val="center"/>
          </w:tcPr>
          <w:p w14:paraId="263836B9">
            <w:pPr>
              <w:jc w:val="center"/>
              <w:rPr>
                <w:rFonts w:hint="eastAsia" w:ascii="宋体" w:hAnsi="宋体" w:eastAsia="宋体" w:cs="宋体"/>
                <w:kern w:val="0"/>
                <w:sz w:val="24"/>
                <w:szCs w:val="24"/>
              </w:rPr>
            </w:pPr>
          </w:p>
        </w:tc>
        <w:tc>
          <w:tcPr>
            <w:tcW w:w="1847" w:type="dxa"/>
            <w:noWrap w:val="0"/>
            <w:vAlign w:val="center"/>
          </w:tcPr>
          <w:p w14:paraId="7F69A268">
            <w:pPr>
              <w:jc w:val="center"/>
              <w:rPr>
                <w:rFonts w:hint="eastAsia" w:ascii="宋体" w:hAnsi="宋体" w:eastAsia="宋体" w:cs="宋体"/>
                <w:kern w:val="0"/>
                <w:sz w:val="24"/>
                <w:szCs w:val="24"/>
              </w:rPr>
            </w:pPr>
            <w:r>
              <w:rPr>
                <w:rFonts w:hint="eastAsia" w:ascii="宋体" w:hAnsi="宋体" w:eastAsia="宋体" w:cs="宋体"/>
                <w:kern w:val="0"/>
                <w:sz w:val="24"/>
                <w:szCs w:val="24"/>
              </w:rPr>
              <w:t>职   务</w:t>
            </w:r>
          </w:p>
        </w:tc>
        <w:tc>
          <w:tcPr>
            <w:tcW w:w="1302" w:type="dxa"/>
            <w:noWrap w:val="0"/>
            <w:vAlign w:val="center"/>
          </w:tcPr>
          <w:p w14:paraId="6E2E2535">
            <w:pPr>
              <w:jc w:val="center"/>
              <w:rPr>
                <w:rFonts w:hint="eastAsia" w:ascii="宋体" w:hAnsi="宋体" w:eastAsia="宋体" w:cs="宋体"/>
                <w:kern w:val="0"/>
                <w:sz w:val="24"/>
                <w:szCs w:val="24"/>
              </w:rPr>
            </w:pPr>
          </w:p>
        </w:tc>
      </w:tr>
      <w:tr w14:paraId="16CB4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2734" w:type="dxa"/>
            <w:noWrap w:val="0"/>
            <w:vAlign w:val="center"/>
          </w:tcPr>
          <w:p w14:paraId="2310ACD0">
            <w:pPr>
              <w:jc w:val="center"/>
              <w:rPr>
                <w:rFonts w:hint="eastAsia" w:ascii="宋体" w:hAnsi="宋体" w:eastAsia="宋体" w:cs="宋体"/>
                <w:kern w:val="0"/>
                <w:sz w:val="24"/>
                <w:szCs w:val="24"/>
              </w:rPr>
            </w:pPr>
            <w:r>
              <w:rPr>
                <w:rFonts w:hint="eastAsia" w:ascii="宋体" w:hAnsi="宋体" w:eastAsia="宋体" w:cs="宋体"/>
                <w:kern w:val="0"/>
                <w:sz w:val="24"/>
                <w:szCs w:val="24"/>
              </w:rPr>
              <w:t>地   址</w:t>
            </w:r>
          </w:p>
        </w:tc>
        <w:tc>
          <w:tcPr>
            <w:tcW w:w="2776" w:type="dxa"/>
            <w:noWrap w:val="0"/>
            <w:vAlign w:val="center"/>
          </w:tcPr>
          <w:p w14:paraId="7093DF0F">
            <w:pPr>
              <w:jc w:val="center"/>
              <w:rPr>
                <w:rFonts w:hint="eastAsia" w:ascii="宋体" w:hAnsi="宋体" w:eastAsia="宋体" w:cs="宋体"/>
                <w:kern w:val="0"/>
                <w:sz w:val="24"/>
                <w:szCs w:val="24"/>
              </w:rPr>
            </w:pPr>
          </w:p>
        </w:tc>
        <w:tc>
          <w:tcPr>
            <w:tcW w:w="1847" w:type="dxa"/>
            <w:noWrap w:val="0"/>
            <w:vAlign w:val="center"/>
          </w:tcPr>
          <w:p w14:paraId="212FAD97">
            <w:pPr>
              <w:jc w:val="center"/>
              <w:rPr>
                <w:rFonts w:hint="eastAsia" w:ascii="宋体" w:hAnsi="宋体" w:eastAsia="宋体" w:cs="宋体"/>
                <w:kern w:val="0"/>
                <w:sz w:val="24"/>
                <w:szCs w:val="24"/>
              </w:rPr>
            </w:pPr>
            <w:r>
              <w:rPr>
                <w:rFonts w:hint="eastAsia" w:ascii="宋体" w:hAnsi="宋体" w:eastAsia="宋体" w:cs="宋体"/>
                <w:kern w:val="0"/>
                <w:sz w:val="24"/>
                <w:szCs w:val="24"/>
              </w:rPr>
              <w:t>邮政编码</w:t>
            </w:r>
          </w:p>
        </w:tc>
        <w:tc>
          <w:tcPr>
            <w:tcW w:w="1302" w:type="dxa"/>
            <w:noWrap w:val="0"/>
            <w:vAlign w:val="center"/>
          </w:tcPr>
          <w:p w14:paraId="1F65DDE1">
            <w:pPr>
              <w:jc w:val="center"/>
              <w:rPr>
                <w:rFonts w:hint="eastAsia" w:ascii="宋体" w:hAnsi="宋体" w:eastAsia="宋体" w:cs="宋体"/>
                <w:kern w:val="0"/>
                <w:sz w:val="24"/>
                <w:szCs w:val="24"/>
              </w:rPr>
            </w:pPr>
          </w:p>
        </w:tc>
      </w:tr>
      <w:tr w14:paraId="35D16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2734" w:type="dxa"/>
            <w:noWrap w:val="0"/>
            <w:vAlign w:val="center"/>
          </w:tcPr>
          <w:p w14:paraId="4130CCB9">
            <w:pPr>
              <w:jc w:val="center"/>
              <w:rPr>
                <w:rFonts w:hint="eastAsia" w:ascii="宋体" w:hAnsi="宋体" w:eastAsia="宋体" w:cs="宋体"/>
                <w:kern w:val="0"/>
                <w:sz w:val="24"/>
                <w:szCs w:val="24"/>
              </w:rPr>
            </w:pPr>
            <w:r>
              <w:rPr>
                <w:rFonts w:hint="eastAsia" w:ascii="宋体" w:hAnsi="宋体" w:eastAsia="宋体" w:cs="宋体"/>
                <w:kern w:val="0"/>
                <w:sz w:val="24"/>
                <w:szCs w:val="24"/>
              </w:rPr>
              <w:t>电    话</w:t>
            </w:r>
          </w:p>
        </w:tc>
        <w:tc>
          <w:tcPr>
            <w:tcW w:w="2776" w:type="dxa"/>
            <w:noWrap w:val="0"/>
            <w:vAlign w:val="center"/>
          </w:tcPr>
          <w:p w14:paraId="2DFB6D1F">
            <w:pPr>
              <w:jc w:val="center"/>
              <w:rPr>
                <w:rFonts w:hint="eastAsia" w:ascii="宋体" w:hAnsi="宋体" w:eastAsia="宋体" w:cs="宋体"/>
                <w:kern w:val="0"/>
                <w:sz w:val="24"/>
                <w:szCs w:val="24"/>
              </w:rPr>
            </w:pPr>
          </w:p>
        </w:tc>
        <w:tc>
          <w:tcPr>
            <w:tcW w:w="1847" w:type="dxa"/>
            <w:noWrap w:val="0"/>
            <w:vAlign w:val="center"/>
          </w:tcPr>
          <w:p w14:paraId="4AF6358B">
            <w:pPr>
              <w:jc w:val="center"/>
              <w:rPr>
                <w:rFonts w:hint="eastAsia" w:ascii="宋体" w:hAnsi="宋体" w:eastAsia="宋体" w:cs="宋体"/>
                <w:kern w:val="0"/>
                <w:sz w:val="24"/>
                <w:szCs w:val="24"/>
              </w:rPr>
            </w:pPr>
            <w:r>
              <w:rPr>
                <w:rFonts w:hint="eastAsia" w:ascii="宋体" w:hAnsi="宋体" w:eastAsia="宋体" w:cs="宋体"/>
                <w:kern w:val="0"/>
                <w:sz w:val="24"/>
                <w:szCs w:val="24"/>
              </w:rPr>
              <w:t>传   真</w:t>
            </w:r>
          </w:p>
        </w:tc>
        <w:tc>
          <w:tcPr>
            <w:tcW w:w="1302" w:type="dxa"/>
            <w:noWrap w:val="0"/>
            <w:vAlign w:val="center"/>
          </w:tcPr>
          <w:p w14:paraId="41A86C28">
            <w:pPr>
              <w:jc w:val="center"/>
              <w:rPr>
                <w:rFonts w:hint="eastAsia" w:ascii="宋体" w:hAnsi="宋体" w:eastAsia="宋体" w:cs="宋体"/>
                <w:kern w:val="0"/>
                <w:sz w:val="24"/>
                <w:szCs w:val="24"/>
              </w:rPr>
            </w:pPr>
          </w:p>
        </w:tc>
      </w:tr>
      <w:tr w14:paraId="710EE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8" w:hRule="atLeast"/>
          <w:jc w:val="center"/>
        </w:trPr>
        <w:tc>
          <w:tcPr>
            <w:tcW w:w="2734" w:type="dxa"/>
            <w:noWrap w:val="0"/>
            <w:vAlign w:val="center"/>
          </w:tcPr>
          <w:p w14:paraId="32D0197C">
            <w:pPr>
              <w:jc w:val="center"/>
              <w:rPr>
                <w:rFonts w:hint="eastAsia" w:ascii="宋体" w:hAnsi="宋体" w:eastAsia="宋体" w:cs="宋体"/>
                <w:kern w:val="0"/>
                <w:sz w:val="24"/>
                <w:szCs w:val="24"/>
              </w:rPr>
            </w:pPr>
            <w:r>
              <w:rPr>
                <w:rFonts w:hint="eastAsia" w:ascii="宋体" w:hAnsi="宋体" w:eastAsia="宋体" w:cs="宋体"/>
                <w:kern w:val="0"/>
                <w:sz w:val="24"/>
                <w:szCs w:val="24"/>
              </w:rPr>
              <w:t>成 立 日 期</w:t>
            </w:r>
          </w:p>
        </w:tc>
        <w:tc>
          <w:tcPr>
            <w:tcW w:w="2776" w:type="dxa"/>
            <w:noWrap w:val="0"/>
            <w:vAlign w:val="center"/>
          </w:tcPr>
          <w:p w14:paraId="79B8C98B">
            <w:pPr>
              <w:jc w:val="center"/>
              <w:rPr>
                <w:rFonts w:hint="eastAsia" w:ascii="宋体" w:hAnsi="宋体" w:eastAsia="宋体" w:cs="宋体"/>
                <w:kern w:val="0"/>
                <w:sz w:val="24"/>
                <w:szCs w:val="24"/>
              </w:rPr>
            </w:pPr>
          </w:p>
        </w:tc>
        <w:tc>
          <w:tcPr>
            <w:tcW w:w="1847" w:type="dxa"/>
            <w:noWrap w:val="0"/>
            <w:vAlign w:val="center"/>
          </w:tcPr>
          <w:p w14:paraId="5412BA03">
            <w:pPr>
              <w:jc w:val="center"/>
              <w:rPr>
                <w:rFonts w:hint="eastAsia" w:ascii="宋体" w:hAnsi="宋体" w:eastAsia="宋体" w:cs="宋体"/>
                <w:kern w:val="0"/>
                <w:sz w:val="24"/>
                <w:szCs w:val="24"/>
              </w:rPr>
            </w:pPr>
            <w:r>
              <w:rPr>
                <w:rFonts w:hint="eastAsia" w:ascii="宋体" w:hAnsi="宋体" w:eastAsia="宋体" w:cs="宋体"/>
                <w:kern w:val="0"/>
                <w:sz w:val="24"/>
                <w:szCs w:val="24"/>
              </w:rPr>
              <w:t>现 有 职</w:t>
            </w:r>
          </w:p>
          <w:p w14:paraId="67688044">
            <w:pPr>
              <w:jc w:val="center"/>
              <w:rPr>
                <w:rFonts w:hint="eastAsia" w:ascii="宋体" w:hAnsi="宋体" w:eastAsia="宋体" w:cs="宋体"/>
                <w:kern w:val="0"/>
                <w:sz w:val="24"/>
                <w:szCs w:val="24"/>
              </w:rPr>
            </w:pPr>
            <w:r>
              <w:rPr>
                <w:rFonts w:hint="eastAsia" w:ascii="宋体" w:hAnsi="宋体" w:eastAsia="宋体" w:cs="宋体"/>
                <w:kern w:val="0"/>
                <w:sz w:val="24"/>
                <w:szCs w:val="24"/>
              </w:rPr>
              <w:t>工 人 数</w:t>
            </w:r>
          </w:p>
        </w:tc>
        <w:tc>
          <w:tcPr>
            <w:tcW w:w="1302" w:type="dxa"/>
            <w:noWrap w:val="0"/>
            <w:vAlign w:val="center"/>
          </w:tcPr>
          <w:p w14:paraId="36ACB6D3">
            <w:pPr>
              <w:jc w:val="center"/>
              <w:rPr>
                <w:rFonts w:hint="eastAsia" w:ascii="宋体" w:hAnsi="宋体" w:eastAsia="宋体" w:cs="宋体"/>
                <w:kern w:val="0"/>
                <w:sz w:val="24"/>
                <w:szCs w:val="24"/>
              </w:rPr>
            </w:pPr>
          </w:p>
        </w:tc>
      </w:tr>
    </w:tbl>
    <w:p w14:paraId="510530E8">
      <w:pPr>
        <w:adjustRightInd w:val="0"/>
        <w:snapToGrid w:val="0"/>
        <w:spacing w:line="360" w:lineRule="auto"/>
        <w:jc w:val="left"/>
        <w:rPr>
          <w:rFonts w:hint="eastAsia" w:ascii="宋体" w:hAnsi="宋体" w:eastAsia="宋体" w:cs="宋体"/>
          <w:b/>
          <w:bCs/>
          <w:color w:val="auto"/>
          <w:sz w:val="24"/>
          <w:szCs w:val="24"/>
          <w:highlight w:val="none"/>
        </w:rPr>
      </w:pPr>
    </w:p>
    <w:p w14:paraId="285452AF">
      <w:pPr>
        <w:adjustRightInd w:val="0"/>
        <w:snapToGrid w:val="0"/>
        <w:spacing w:line="360" w:lineRule="auto"/>
        <w:jc w:val="left"/>
        <w:rPr>
          <w:rFonts w:hint="eastAsia" w:ascii="宋体" w:hAnsi="宋体" w:eastAsia="宋体" w:cs="宋体"/>
          <w:b/>
          <w:bCs/>
          <w:color w:val="auto"/>
          <w:sz w:val="24"/>
          <w:szCs w:val="24"/>
          <w:highlight w:val="none"/>
        </w:rPr>
      </w:pPr>
    </w:p>
    <w:p w14:paraId="7896FE8D">
      <w:pPr>
        <w:adjustRightInd w:val="0"/>
        <w:snapToGrid w:val="0"/>
        <w:spacing w:line="360" w:lineRule="auto"/>
        <w:jc w:val="left"/>
        <w:rPr>
          <w:rFonts w:hint="eastAsia" w:ascii="宋体" w:hAnsi="宋体" w:eastAsia="宋体" w:cs="宋体"/>
          <w:b/>
          <w:bCs/>
          <w:color w:val="auto"/>
          <w:sz w:val="24"/>
          <w:szCs w:val="24"/>
          <w:highlight w:val="none"/>
        </w:rPr>
      </w:pPr>
    </w:p>
    <w:p w14:paraId="12B6E21F">
      <w:pPr>
        <w:tabs>
          <w:tab w:val="center" w:pos="4153"/>
          <w:tab w:val="right" w:pos="8306"/>
        </w:tabs>
        <w:snapToGrid w:val="0"/>
        <w:spacing w:line="360" w:lineRule="auto"/>
        <w:jc w:val="left"/>
        <w:rPr>
          <w:rFonts w:hint="eastAsia" w:ascii="宋体" w:hAnsi="宋体" w:eastAsia="宋体" w:cs="宋体"/>
          <w:color w:val="auto"/>
          <w:sz w:val="24"/>
          <w:szCs w:val="24"/>
          <w:highlight w:val="none"/>
        </w:rPr>
      </w:pPr>
    </w:p>
    <w:p w14:paraId="11A01152">
      <w:pPr>
        <w:snapToGrid w:val="0"/>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（供应商名称）            </w:t>
      </w:r>
    </w:p>
    <w:p w14:paraId="2CC6D8CE">
      <w:pPr>
        <w:snapToGrid w:val="0"/>
        <w:spacing w:line="360" w:lineRule="auto"/>
        <w:ind w:firstLine="3360" w:firstLineChars="1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授权代表（签字或盖章）：</w:t>
      </w:r>
      <w:r>
        <w:rPr>
          <w:rFonts w:hint="eastAsia" w:ascii="宋体" w:hAnsi="宋体" w:eastAsia="宋体" w:cs="宋体"/>
          <w:color w:val="auto"/>
          <w:sz w:val="24"/>
          <w:szCs w:val="24"/>
          <w:highlight w:val="none"/>
          <w:u w:val="single"/>
        </w:rPr>
        <w:t xml:space="preserve">             </w:t>
      </w:r>
    </w:p>
    <w:p w14:paraId="7130DE6D">
      <w:pPr>
        <w:adjustRightInd w:val="0"/>
        <w:snapToGrid w:val="0"/>
        <w:spacing w:line="360" w:lineRule="auto"/>
        <w:ind w:firstLine="3360" w:firstLineChars="1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0601C6BF">
      <w:pPr>
        <w:adjustRightInd w:val="0"/>
        <w:snapToGrid w:val="0"/>
        <w:spacing w:line="360" w:lineRule="auto"/>
        <w:jc w:val="left"/>
        <w:rPr>
          <w:rFonts w:hint="eastAsia" w:ascii="宋体" w:hAnsi="宋体" w:eastAsia="宋体" w:cs="宋体"/>
          <w:b/>
          <w:bCs/>
          <w:color w:val="auto"/>
          <w:sz w:val="24"/>
          <w:szCs w:val="24"/>
          <w:highlight w:val="none"/>
        </w:rPr>
      </w:pPr>
    </w:p>
    <w:p w14:paraId="5428E192">
      <w:pPr>
        <w:rPr>
          <w:rFonts w:hint="eastAsia" w:ascii="宋体" w:hAnsi="宋体" w:eastAsia="宋体" w:cs="宋体"/>
          <w:b/>
          <w:color w:val="auto"/>
          <w:sz w:val="24"/>
          <w:szCs w:val="24"/>
          <w:highlight w:val="none"/>
        </w:rPr>
      </w:pPr>
      <w:bookmarkStart w:id="85" w:name="_Toc25643"/>
      <w:bookmarkStart w:id="86" w:name="_Toc19164"/>
      <w:bookmarkStart w:id="87" w:name="_Toc31684"/>
      <w:bookmarkStart w:id="88" w:name="_Toc31039"/>
      <w:r>
        <w:rPr>
          <w:rFonts w:hint="eastAsia" w:ascii="宋体" w:hAnsi="宋体" w:eastAsia="宋体" w:cs="宋体"/>
          <w:b/>
          <w:color w:val="auto"/>
          <w:sz w:val="24"/>
          <w:szCs w:val="24"/>
          <w:highlight w:val="none"/>
        </w:rPr>
        <w:br w:type="page"/>
      </w:r>
    </w:p>
    <w:p w14:paraId="420E4F5A">
      <w:pPr>
        <w:adjustRightInd w:val="0"/>
        <w:snapToGrid w:val="0"/>
        <w:spacing w:line="360" w:lineRule="auto"/>
        <w:jc w:val="left"/>
        <w:outlineLvl w:val="9"/>
        <w:rPr>
          <w:rFonts w:hint="default" w:ascii="宋体" w:hAnsi="宋体" w:eastAsia="宋体" w:cs="宋体"/>
          <w:b/>
          <w:bCs/>
          <w:color w:val="auto"/>
          <w:sz w:val="24"/>
          <w:szCs w:val="24"/>
          <w:highlight w:val="none"/>
          <w:lang w:val="en-US"/>
        </w:rPr>
      </w:pPr>
      <w:r>
        <w:rPr>
          <w:rFonts w:hint="eastAsia" w:ascii="宋体" w:hAnsi="宋体" w:eastAsia="宋体" w:cs="宋体"/>
          <w:b/>
          <w:color w:val="auto"/>
          <w:sz w:val="24"/>
          <w:szCs w:val="24"/>
          <w:highlight w:val="none"/>
        </w:rPr>
        <w:t>附件</w:t>
      </w:r>
      <w:r>
        <w:rPr>
          <w:rFonts w:hint="eastAsia" w:cs="宋体"/>
          <w:b/>
          <w:color w:val="auto"/>
          <w:sz w:val="24"/>
          <w:szCs w:val="24"/>
          <w:highlight w:val="none"/>
          <w:lang w:val="en-US" w:eastAsia="zh-CN"/>
        </w:rPr>
        <w:t>-</w:t>
      </w:r>
      <w:bookmarkEnd w:id="85"/>
      <w:bookmarkEnd w:id="86"/>
      <w:bookmarkEnd w:id="87"/>
      <w:bookmarkEnd w:id="88"/>
      <w:r>
        <w:rPr>
          <w:rFonts w:hint="eastAsia" w:cs="宋体"/>
          <w:b/>
          <w:color w:val="auto"/>
          <w:sz w:val="24"/>
          <w:szCs w:val="24"/>
          <w:highlight w:val="none"/>
          <w:lang w:val="en-US" w:eastAsia="zh-CN"/>
        </w:rPr>
        <w:t>2</w:t>
      </w:r>
    </w:p>
    <w:p w14:paraId="0BF15CA3">
      <w:pPr>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法定代表人身份证明</w:t>
      </w:r>
    </w:p>
    <w:p w14:paraId="0049F673">
      <w:pPr>
        <w:autoSpaceDE w:val="0"/>
        <w:autoSpaceDN w:val="0"/>
        <w:adjustRightInd w:val="0"/>
        <w:snapToGrid w:val="0"/>
        <w:spacing w:before="120" w:beforeLines="50"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kern w:val="0"/>
          <w:sz w:val="24"/>
          <w:szCs w:val="24"/>
          <w:highlight w:val="none"/>
        </w:rPr>
        <w:t>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4ACFE4DA">
      <w:pPr>
        <w:autoSpaceDE w:val="0"/>
        <w:autoSpaceDN w:val="0"/>
        <w:adjustRightInd w:val="0"/>
        <w:snapToGrid w:val="0"/>
        <w:spacing w:before="120" w:beforeLines="50"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u w:val="single"/>
        </w:rPr>
        <w:t xml:space="preserve">                                     </w:t>
      </w:r>
    </w:p>
    <w:p w14:paraId="6077AE58">
      <w:pPr>
        <w:autoSpaceDE w:val="0"/>
        <w:autoSpaceDN w:val="0"/>
        <w:adjustRightInd w:val="0"/>
        <w:snapToGrid w:val="0"/>
        <w:spacing w:before="120" w:beforeLines="50" w:line="36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注册地址：</w:t>
      </w:r>
      <w:r>
        <w:rPr>
          <w:rFonts w:hint="eastAsia" w:ascii="宋体" w:hAnsi="宋体" w:eastAsia="宋体" w:cs="宋体"/>
          <w:color w:val="auto"/>
          <w:kern w:val="0"/>
          <w:sz w:val="24"/>
          <w:szCs w:val="24"/>
          <w:highlight w:val="none"/>
          <w:u w:val="single"/>
        </w:rPr>
        <w:t xml:space="preserve">                                             </w:t>
      </w:r>
    </w:p>
    <w:p w14:paraId="3F2BA494">
      <w:pPr>
        <w:autoSpaceDE w:val="0"/>
        <w:autoSpaceDN w:val="0"/>
        <w:adjustRightInd w:val="0"/>
        <w:snapToGrid w:val="0"/>
        <w:spacing w:before="120" w:beforeLines="50" w:line="36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成立时间：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年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日；经营期限：</w:t>
      </w:r>
      <w:r>
        <w:rPr>
          <w:rFonts w:hint="eastAsia" w:ascii="宋体" w:hAnsi="宋体" w:eastAsia="宋体" w:cs="宋体"/>
          <w:color w:val="auto"/>
          <w:kern w:val="0"/>
          <w:sz w:val="24"/>
          <w:szCs w:val="24"/>
          <w:highlight w:val="none"/>
          <w:u w:val="single"/>
        </w:rPr>
        <w:t xml:space="preserve">                  </w:t>
      </w:r>
    </w:p>
    <w:p w14:paraId="5DFD7A2E">
      <w:pPr>
        <w:autoSpaceDE w:val="0"/>
        <w:autoSpaceDN w:val="0"/>
        <w:adjustRightInd w:val="0"/>
        <w:snapToGrid w:val="0"/>
        <w:spacing w:before="120" w:beforeLines="50"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性别：</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sz w:val="24"/>
          <w:szCs w:val="24"/>
          <w:highlight w:val="none"/>
          <w:u w:val="single"/>
        </w:rPr>
        <w:t>供应商</w:t>
      </w:r>
      <w:r>
        <w:rPr>
          <w:rFonts w:hint="eastAsia" w:ascii="宋体" w:hAnsi="宋体" w:eastAsia="宋体" w:cs="宋体"/>
          <w:color w:val="auto"/>
          <w:kern w:val="0"/>
          <w:sz w:val="24"/>
          <w:szCs w:val="24"/>
          <w:highlight w:val="none"/>
          <w:u w:val="single"/>
        </w:rPr>
        <w:t xml:space="preserve">名称）    </w:t>
      </w:r>
      <w:r>
        <w:rPr>
          <w:rFonts w:hint="eastAsia" w:ascii="宋体" w:hAnsi="宋体" w:eastAsia="宋体" w:cs="宋体"/>
          <w:color w:val="auto"/>
          <w:kern w:val="0"/>
          <w:sz w:val="24"/>
          <w:szCs w:val="24"/>
          <w:highlight w:val="none"/>
        </w:rPr>
        <w:t>的法定代表人。</w:t>
      </w:r>
    </w:p>
    <w:p w14:paraId="7E8435CE">
      <w:pPr>
        <w:autoSpaceDE w:val="0"/>
        <w:autoSpaceDN w:val="0"/>
        <w:adjustRightInd w:val="0"/>
        <w:snapToGrid w:val="0"/>
        <w:spacing w:before="120" w:beforeLines="50"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特此证明。</w:t>
      </w:r>
    </w:p>
    <w:p w14:paraId="717FBFE1">
      <w:pPr>
        <w:autoSpaceDE w:val="0"/>
        <w:autoSpaceDN w:val="0"/>
        <w:adjustRightInd w:val="0"/>
        <w:snapToGrid w:val="0"/>
        <w:spacing w:before="120" w:beforeLines="50" w:line="360" w:lineRule="auto"/>
        <w:ind w:firstLine="480" w:firstLineChars="200"/>
        <w:jc w:val="left"/>
        <w:rPr>
          <w:rFonts w:hint="eastAsia" w:ascii="宋体" w:hAnsi="宋体" w:eastAsia="宋体" w:cs="宋体"/>
          <w:color w:val="auto"/>
          <w:sz w:val="24"/>
          <w:szCs w:val="24"/>
          <w:highlight w:val="none"/>
        </w:rPr>
      </w:pPr>
    </w:p>
    <w:tbl>
      <w:tblPr>
        <w:tblStyle w:val="20"/>
        <w:tblW w:w="0" w:type="auto"/>
        <w:jc w:val="center"/>
        <w:tblLayout w:type="fixed"/>
        <w:tblCellMar>
          <w:top w:w="0" w:type="dxa"/>
          <w:left w:w="108" w:type="dxa"/>
          <w:bottom w:w="0" w:type="dxa"/>
          <w:right w:w="108" w:type="dxa"/>
        </w:tblCellMar>
      </w:tblPr>
      <w:tblGrid>
        <w:gridCol w:w="7753"/>
      </w:tblGrid>
      <w:tr w14:paraId="06ACB874">
        <w:tblPrEx>
          <w:tblCellMar>
            <w:top w:w="0" w:type="dxa"/>
            <w:left w:w="108" w:type="dxa"/>
            <w:bottom w:w="0" w:type="dxa"/>
            <w:right w:w="108" w:type="dxa"/>
          </w:tblCellMar>
        </w:tblPrEx>
        <w:trPr>
          <w:trHeight w:val="2818" w:hRule="atLeast"/>
          <w:jc w:val="center"/>
        </w:trPr>
        <w:tc>
          <w:tcPr>
            <w:tcW w:w="7753" w:type="dxa"/>
            <w:tcBorders>
              <w:top w:val="single" w:color="auto" w:sz="6" w:space="0"/>
              <w:left w:val="single" w:color="auto" w:sz="6" w:space="0"/>
              <w:bottom w:val="single" w:color="auto" w:sz="6" w:space="0"/>
              <w:right w:val="single" w:color="auto" w:sz="4" w:space="0"/>
            </w:tcBorders>
            <w:noWrap w:val="0"/>
            <w:vAlign w:val="center"/>
          </w:tcPr>
          <w:p w14:paraId="6BC0CC7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法定代表人身份证复印件</w:t>
            </w:r>
            <w:r>
              <w:rPr>
                <w:rFonts w:hint="eastAsia" w:ascii="宋体" w:hAnsi="宋体" w:eastAsia="宋体" w:cs="宋体"/>
                <w:color w:val="auto"/>
                <w:sz w:val="24"/>
                <w:szCs w:val="24"/>
                <w:highlight w:val="none"/>
              </w:rPr>
              <w:t>或扫描件</w:t>
            </w:r>
          </w:p>
          <w:p w14:paraId="5FDE814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（国徽面、人像面）</w:t>
            </w:r>
          </w:p>
        </w:tc>
      </w:tr>
    </w:tbl>
    <w:p w14:paraId="2A1CCC52">
      <w:pPr>
        <w:autoSpaceDE w:val="0"/>
        <w:autoSpaceDN w:val="0"/>
        <w:adjustRightInd w:val="0"/>
        <w:snapToGrid w:val="0"/>
        <w:spacing w:before="120" w:beforeLines="5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184C19F">
      <w:pPr>
        <w:snapToGrid w:val="0"/>
        <w:spacing w:line="360" w:lineRule="auto"/>
        <w:ind w:firstLine="1920" w:firstLineChars="800"/>
        <w:rPr>
          <w:rFonts w:hint="eastAsia" w:ascii="宋体" w:hAnsi="宋体" w:eastAsia="宋体" w:cs="宋体"/>
          <w:color w:val="auto"/>
          <w:kern w:val="0"/>
          <w:sz w:val="24"/>
          <w:szCs w:val="24"/>
          <w:highlight w:val="none"/>
        </w:rPr>
      </w:pPr>
    </w:p>
    <w:p w14:paraId="41434CFA">
      <w:pPr>
        <w:snapToGrid w:val="0"/>
        <w:spacing w:line="360" w:lineRule="auto"/>
        <w:ind w:firstLine="3158" w:firstLineChars="13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（供应商名称）              </w:t>
      </w:r>
    </w:p>
    <w:p w14:paraId="32CF53DA">
      <w:pPr>
        <w:adjustRightInd w:val="0"/>
        <w:snapToGrid w:val="0"/>
        <w:spacing w:line="360" w:lineRule="auto"/>
        <w:ind w:firstLine="3158" w:firstLineChars="1316"/>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3B3AB9A">
      <w:pPr>
        <w:adjustRightInd w:val="0"/>
        <w:snapToGrid w:val="0"/>
        <w:spacing w:line="360" w:lineRule="auto"/>
        <w:jc w:val="left"/>
        <w:rPr>
          <w:rFonts w:hint="eastAsia" w:ascii="宋体" w:hAnsi="宋体" w:eastAsia="宋体" w:cs="宋体"/>
          <w:b/>
          <w:bCs/>
          <w:color w:val="auto"/>
          <w:sz w:val="24"/>
          <w:szCs w:val="24"/>
          <w:highlight w:val="none"/>
        </w:rPr>
      </w:pPr>
    </w:p>
    <w:p w14:paraId="1AE5EAD1">
      <w:pPr>
        <w:adjustRightInd w:val="0"/>
        <w:snapToGrid w:val="0"/>
        <w:spacing w:line="360" w:lineRule="auto"/>
        <w:jc w:val="left"/>
        <w:rPr>
          <w:rFonts w:hint="eastAsia" w:ascii="宋体" w:hAnsi="宋体" w:eastAsia="宋体" w:cs="宋体"/>
          <w:b/>
          <w:bCs/>
          <w:color w:val="auto"/>
          <w:sz w:val="24"/>
          <w:szCs w:val="24"/>
          <w:highlight w:val="none"/>
        </w:rPr>
      </w:pPr>
    </w:p>
    <w:p w14:paraId="5E96496F">
      <w:pPr>
        <w:adjustRightInd w:val="0"/>
        <w:snapToGrid w:val="0"/>
        <w:spacing w:line="360" w:lineRule="auto"/>
        <w:jc w:val="left"/>
        <w:rPr>
          <w:rFonts w:hint="default" w:ascii="宋体" w:hAnsi="宋体" w:eastAsia="宋体" w:cs="宋体"/>
          <w:b/>
          <w:color w:val="auto"/>
          <w:sz w:val="24"/>
          <w:szCs w:val="24"/>
          <w:highlight w:val="none"/>
          <w:lang w:val="en-US"/>
        </w:rPr>
      </w:pPr>
      <w:r>
        <w:rPr>
          <w:rFonts w:hint="eastAsia" w:ascii="宋体" w:hAnsi="宋体" w:eastAsia="宋体" w:cs="宋体"/>
          <w:b/>
          <w:bCs/>
          <w:color w:val="auto"/>
          <w:sz w:val="24"/>
          <w:szCs w:val="24"/>
          <w:highlight w:val="none"/>
        </w:rPr>
        <w:br w:type="page"/>
      </w:r>
      <w:r>
        <w:rPr>
          <w:rFonts w:hint="eastAsia" w:ascii="宋体" w:hAnsi="宋体" w:eastAsia="宋体" w:cs="宋体"/>
          <w:b/>
          <w:color w:val="auto"/>
          <w:sz w:val="24"/>
          <w:szCs w:val="24"/>
          <w:highlight w:val="none"/>
        </w:rPr>
        <w:t>附件</w:t>
      </w:r>
      <w:r>
        <w:rPr>
          <w:rFonts w:hint="eastAsia" w:cs="宋体"/>
          <w:b/>
          <w:color w:val="auto"/>
          <w:sz w:val="24"/>
          <w:szCs w:val="24"/>
          <w:highlight w:val="none"/>
          <w:lang w:val="en-US" w:eastAsia="zh-CN"/>
        </w:rPr>
        <w:t>-3</w:t>
      </w:r>
    </w:p>
    <w:p w14:paraId="7D1E4AAE">
      <w:pPr>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法定代表人授权书</w:t>
      </w:r>
    </w:p>
    <w:p w14:paraId="2B0393AE">
      <w:pPr>
        <w:adjustRightInd w:val="0"/>
        <w:snapToGrid w:val="0"/>
        <w:spacing w:line="360" w:lineRule="auto"/>
        <w:rPr>
          <w:rFonts w:hint="eastAsia" w:ascii="宋体" w:hAnsi="宋体" w:eastAsia="宋体" w:cs="宋体"/>
          <w:color w:val="auto"/>
          <w:sz w:val="24"/>
          <w:szCs w:val="24"/>
          <w:highlight w:val="none"/>
          <w:lang w:val="zh-CN"/>
        </w:rPr>
      </w:pPr>
    </w:p>
    <w:p w14:paraId="1C0B47B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本授权书声明：注</w:t>
      </w:r>
      <w:r>
        <w:rPr>
          <w:rFonts w:hint="eastAsia" w:ascii="宋体" w:hAnsi="宋体" w:eastAsia="宋体" w:cs="宋体"/>
          <w:color w:val="auto"/>
          <w:sz w:val="24"/>
          <w:szCs w:val="24"/>
          <w:highlight w:val="none"/>
          <w:lang w:val="zh-CN"/>
        </w:rPr>
        <w:t>册于</w:t>
      </w:r>
      <w:r>
        <w:rPr>
          <w:rFonts w:hint="eastAsia" w:ascii="宋体" w:hAnsi="宋体" w:eastAsia="宋体" w:cs="宋体"/>
          <w:color w:val="auto"/>
          <w:sz w:val="24"/>
          <w:szCs w:val="24"/>
          <w:highlight w:val="none"/>
          <w:u w:val="single"/>
          <w:lang w:val="zh-CN"/>
        </w:rPr>
        <w:t xml:space="preserve">  （供应商地址）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之</w:t>
      </w:r>
      <w:r>
        <w:rPr>
          <w:rFonts w:hint="eastAsia" w:ascii="宋体" w:hAnsi="宋体" w:eastAsia="宋体" w:cs="宋体"/>
          <w:color w:val="auto"/>
          <w:sz w:val="24"/>
          <w:szCs w:val="24"/>
          <w:highlight w:val="none"/>
          <w:u w:val="single"/>
          <w:lang w:val="zh-CN"/>
        </w:rPr>
        <w:t xml:space="preserve">  （供应商全称）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的法定代表人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授权</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（被授权人姓名）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为我方合法代理人。</w:t>
      </w:r>
      <w:r>
        <w:rPr>
          <w:rFonts w:hint="eastAsia" w:ascii="宋体" w:hAnsi="宋体" w:eastAsia="宋体" w:cs="宋体"/>
          <w:color w:val="auto"/>
          <w:spacing w:val="4"/>
          <w:sz w:val="24"/>
          <w:szCs w:val="24"/>
          <w:highlight w:val="none"/>
        </w:rPr>
        <w:t>被授权人</w:t>
      </w:r>
      <w:r>
        <w:rPr>
          <w:rFonts w:hint="eastAsia" w:ascii="宋体" w:hAnsi="宋体" w:eastAsia="宋体" w:cs="宋体"/>
          <w:color w:val="auto"/>
          <w:sz w:val="24"/>
          <w:szCs w:val="24"/>
          <w:highlight w:val="none"/>
        </w:rPr>
        <w:t>根据授权，以我方名义签署、澄清、说明、</w:t>
      </w:r>
      <w:r>
        <w:rPr>
          <w:rFonts w:hint="eastAsia" w:ascii="宋体" w:hAnsi="宋体" w:eastAsia="宋体" w:cs="宋体"/>
          <w:color w:val="auto"/>
          <w:sz w:val="24"/>
          <w:szCs w:val="24"/>
          <w:highlight w:val="none"/>
          <w:lang w:eastAsia="zh-CN"/>
        </w:rPr>
        <w:t>提交</w:t>
      </w:r>
      <w:r>
        <w:rPr>
          <w:rFonts w:hint="eastAsia" w:ascii="宋体" w:hAnsi="宋体" w:eastAsia="宋体" w:cs="宋体"/>
          <w:color w:val="auto"/>
          <w:sz w:val="24"/>
          <w:szCs w:val="24"/>
          <w:highlight w:val="none"/>
        </w:rPr>
        <w:t>、撤回、修改</w:t>
      </w:r>
      <w:r>
        <w:rPr>
          <w:rFonts w:hint="eastAsia" w:ascii="宋体" w:hAnsi="宋体" w:eastAsia="宋体" w:cs="宋体"/>
          <w:color w:val="auto"/>
          <w:sz w:val="24"/>
          <w:szCs w:val="24"/>
          <w:highlight w:val="none"/>
          <w:u w:val="single"/>
        </w:rPr>
        <w:t xml:space="preserve">   （项目名称）（项目编号）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、签订合同和处理有关事宜，其法律后果由我方承担。</w:t>
      </w:r>
    </w:p>
    <w:p w14:paraId="208E5A21">
      <w:pPr>
        <w:snapToGrid w:val="0"/>
        <w:spacing w:line="360" w:lineRule="auto"/>
        <w:ind w:firstLine="49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被授权人</w:t>
      </w:r>
      <w:r>
        <w:rPr>
          <w:rFonts w:hint="eastAsia" w:ascii="宋体" w:hAnsi="宋体" w:eastAsia="宋体" w:cs="宋体"/>
          <w:color w:val="auto"/>
          <w:sz w:val="24"/>
          <w:szCs w:val="24"/>
          <w:highlight w:val="none"/>
        </w:rPr>
        <w:t>无转委托权。</w:t>
      </w:r>
    </w:p>
    <w:p w14:paraId="3384A7AC">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日签字生效，特此声明。</w:t>
      </w:r>
    </w:p>
    <w:tbl>
      <w:tblPr>
        <w:tblStyle w:val="20"/>
        <w:tblW w:w="0" w:type="auto"/>
        <w:tblInd w:w="633" w:type="dxa"/>
        <w:tblLayout w:type="fixed"/>
        <w:tblCellMar>
          <w:top w:w="0" w:type="dxa"/>
          <w:left w:w="108" w:type="dxa"/>
          <w:bottom w:w="0" w:type="dxa"/>
          <w:right w:w="108" w:type="dxa"/>
        </w:tblCellMar>
      </w:tblPr>
      <w:tblGrid>
        <w:gridCol w:w="4045"/>
        <w:gridCol w:w="3844"/>
      </w:tblGrid>
      <w:tr w14:paraId="060C1489">
        <w:tblPrEx>
          <w:tblCellMar>
            <w:top w:w="0" w:type="dxa"/>
            <w:left w:w="108" w:type="dxa"/>
            <w:bottom w:w="0" w:type="dxa"/>
            <w:right w:w="108" w:type="dxa"/>
          </w:tblCellMar>
        </w:tblPrEx>
        <w:trPr>
          <w:trHeight w:val="600" w:hRule="atLeast"/>
        </w:trPr>
        <w:tc>
          <w:tcPr>
            <w:tcW w:w="4045" w:type="dxa"/>
            <w:noWrap w:val="0"/>
            <w:vAlign w:val="top"/>
          </w:tcPr>
          <w:p w14:paraId="206E543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法定代表人签字：   </w:t>
            </w:r>
          </w:p>
        </w:tc>
        <w:tc>
          <w:tcPr>
            <w:tcW w:w="3844" w:type="dxa"/>
            <w:noWrap w:val="0"/>
            <w:vAlign w:val="top"/>
          </w:tcPr>
          <w:p w14:paraId="775F9AD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被授权人签字：</w:t>
            </w:r>
          </w:p>
        </w:tc>
      </w:tr>
      <w:tr w14:paraId="0C0C77D0">
        <w:tblPrEx>
          <w:tblCellMar>
            <w:top w:w="0" w:type="dxa"/>
            <w:left w:w="108" w:type="dxa"/>
            <w:bottom w:w="0" w:type="dxa"/>
            <w:right w:w="108" w:type="dxa"/>
          </w:tblCellMar>
        </w:tblPrEx>
        <w:trPr>
          <w:trHeight w:val="600" w:hRule="atLeast"/>
        </w:trPr>
        <w:tc>
          <w:tcPr>
            <w:tcW w:w="4045" w:type="dxa"/>
            <w:noWrap w:val="0"/>
            <w:vAlign w:val="top"/>
          </w:tcPr>
          <w:p w14:paraId="5B00C64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职务：                     </w:t>
            </w:r>
          </w:p>
        </w:tc>
        <w:tc>
          <w:tcPr>
            <w:tcW w:w="3844" w:type="dxa"/>
            <w:noWrap w:val="0"/>
            <w:vAlign w:val="top"/>
          </w:tcPr>
          <w:p w14:paraId="2EAC8F3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职务：</w:t>
            </w:r>
          </w:p>
        </w:tc>
      </w:tr>
      <w:tr w14:paraId="77CF48B1">
        <w:tblPrEx>
          <w:tblCellMar>
            <w:top w:w="0" w:type="dxa"/>
            <w:left w:w="108" w:type="dxa"/>
            <w:bottom w:w="0" w:type="dxa"/>
            <w:right w:w="108" w:type="dxa"/>
          </w:tblCellMar>
        </w:tblPrEx>
        <w:trPr>
          <w:trHeight w:val="600" w:hRule="atLeast"/>
        </w:trPr>
        <w:tc>
          <w:tcPr>
            <w:tcW w:w="4045" w:type="dxa"/>
            <w:noWrap w:val="0"/>
            <w:vAlign w:val="top"/>
          </w:tcPr>
          <w:p w14:paraId="30B987D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p>
        </w:tc>
        <w:tc>
          <w:tcPr>
            <w:tcW w:w="3844" w:type="dxa"/>
            <w:noWrap w:val="0"/>
            <w:vAlign w:val="top"/>
          </w:tcPr>
          <w:p w14:paraId="5879B7D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所在部门：</w:t>
            </w:r>
          </w:p>
        </w:tc>
      </w:tr>
    </w:tbl>
    <w:p w14:paraId="1F1BBAA8">
      <w:pPr>
        <w:snapToGrid w:val="0"/>
        <w:spacing w:line="360" w:lineRule="auto"/>
        <w:ind w:right="112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（供应商名称）</w:t>
      </w:r>
      <w:r>
        <w:rPr>
          <w:rFonts w:hint="eastAsia" w:ascii="宋体" w:hAnsi="宋体" w:eastAsia="宋体" w:cs="宋体"/>
          <w:color w:val="auto"/>
          <w:sz w:val="24"/>
          <w:szCs w:val="24"/>
          <w:highlight w:val="none"/>
        </w:rPr>
        <w:t>（加盖公章）</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644"/>
      </w:tblGrid>
      <w:tr w14:paraId="5359F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3" w:hRule="atLeast"/>
          <w:jc w:val="center"/>
        </w:trPr>
        <w:tc>
          <w:tcPr>
            <w:tcW w:w="4643" w:type="dxa"/>
            <w:noWrap w:val="0"/>
            <w:vAlign w:val="center"/>
          </w:tcPr>
          <w:p w14:paraId="5ABA0F2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法定代表人身份证复印件或扫描件</w:t>
            </w:r>
          </w:p>
          <w:p w14:paraId="305FE5C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（国徽面、人像面）</w:t>
            </w:r>
          </w:p>
        </w:tc>
        <w:tc>
          <w:tcPr>
            <w:tcW w:w="4644" w:type="dxa"/>
            <w:noWrap w:val="0"/>
            <w:vAlign w:val="center"/>
          </w:tcPr>
          <w:p w14:paraId="76F8B6D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pacing w:val="4"/>
                <w:sz w:val="24"/>
                <w:szCs w:val="24"/>
                <w:highlight w:val="none"/>
              </w:rPr>
              <w:t>被授权人</w:t>
            </w:r>
            <w:r>
              <w:rPr>
                <w:rFonts w:hint="eastAsia" w:ascii="宋体" w:hAnsi="宋体" w:eastAsia="宋体" w:cs="宋体"/>
                <w:color w:val="auto"/>
                <w:sz w:val="24"/>
                <w:szCs w:val="24"/>
                <w:highlight w:val="none"/>
                <w:lang w:val="zh-CN"/>
              </w:rPr>
              <w:t>身份证复印件或扫描件</w:t>
            </w:r>
          </w:p>
          <w:p w14:paraId="4CC8850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（国徽面、人像面）</w:t>
            </w:r>
          </w:p>
        </w:tc>
      </w:tr>
    </w:tbl>
    <w:p w14:paraId="79B06B83">
      <w:pPr>
        <w:adjustRightInd w:val="0"/>
        <w:snapToGrid w:val="0"/>
        <w:spacing w:line="360" w:lineRule="auto"/>
        <w:jc w:val="left"/>
        <w:rPr>
          <w:rFonts w:hint="eastAsia" w:ascii="宋体" w:hAnsi="宋体" w:eastAsia="宋体" w:cs="宋体"/>
          <w:color w:val="auto"/>
          <w:sz w:val="24"/>
          <w:szCs w:val="24"/>
          <w:highlight w:val="none"/>
        </w:rPr>
      </w:pPr>
    </w:p>
    <w:p w14:paraId="62C3AA8C">
      <w:pPr>
        <w:adjustRightInd w:val="0"/>
        <w:snapToGrid w:val="0"/>
        <w:spacing w:line="360" w:lineRule="auto"/>
        <w:jc w:val="left"/>
        <w:rPr>
          <w:rFonts w:hint="eastAsia" w:ascii="宋体" w:hAnsi="宋体" w:eastAsia="宋体" w:cs="宋体"/>
          <w:color w:val="auto"/>
          <w:sz w:val="24"/>
          <w:szCs w:val="24"/>
          <w:highlight w:val="none"/>
        </w:rPr>
      </w:pPr>
    </w:p>
    <w:p w14:paraId="2AFF9D4E">
      <w:pPr>
        <w:pStyle w:val="5"/>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注：如法定代表人参与磋商，此表可不填写</w:t>
      </w:r>
    </w:p>
    <w:p w14:paraId="3EB15F20">
      <w:pPr>
        <w:pStyle w:val="18"/>
        <w:rPr>
          <w:rFonts w:hint="eastAsia" w:ascii="宋体" w:hAnsi="宋体" w:eastAsia="宋体" w:cs="宋体"/>
          <w:color w:val="auto"/>
          <w:sz w:val="24"/>
          <w:szCs w:val="24"/>
          <w:highlight w:val="none"/>
        </w:rPr>
      </w:pPr>
    </w:p>
    <w:p w14:paraId="145E5939">
      <w:pPr>
        <w:adjustRightInd w:val="0"/>
        <w:snapToGrid w:val="0"/>
        <w:spacing w:line="360" w:lineRule="auto"/>
        <w:jc w:val="left"/>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br w:type="page"/>
      </w:r>
      <w:bookmarkStart w:id="89" w:name="_Toc11864"/>
      <w:bookmarkStart w:id="90" w:name="_Toc231"/>
      <w:bookmarkStart w:id="91" w:name="_Toc14980"/>
      <w:bookmarkStart w:id="92" w:name="_Toc2996"/>
      <w:r>
        <w:rPr>
          <w:rFonts w:hint="eastAsia" w:ascii="宋体" w:hAnsi="宋体" w:eastAsia="宋体" w:cs="宋体"/>
          <w:b/>
          <w:color w:val="auto"/>
          <w:sz w:val="24"/>
          <w:szCs w:val="24"/>
          <w:highlight w:val="none"/>
        </w:rPr>
        <w:t>附件</w:t>
      </w:r>
      <w:bookmarkEnd w:id="89"/>
      <w:bookmarkEnd w:id="90"/>
      <w:bookmarkEnd w:id="91"/>
      <w:bookmarkEnd w:id="92"/>
      <w:r>
        <w:rPr>
          <w:rFonts w:hint="eastAsia" w:cs="宋体"/>
          <w:b/>
          <w:color w:val="auto"/>
          <w:sz w:val="24"/>
          <w:szCs w:val="24"/>
          <w:highlight w:val="none"/>
          <w:lang w:val="en-US" w:eastAsia="zh-CN"/>
        </w:rPr>
        <w:t>-4</w:t>
      </w:r>
    </w:p>
    <w:p w14:paraId="04D64798">
      <w:pPr>
        <w:pStyle w:val="7"/>
        <w:snapToGrid w:val="0"/>
        <w:spacing w:line="360" w:lineRule="auto"/>
        <w:rPr>
          <w:rFonts w:hint="eastAsia" w:ascii="宋体" w:hAnsi="宋体" w:eastAsia="宋体" w:cs="宋体"/>
          <w:color w:val="auto"/>
          <w:sz w:val="24"/>
          <w:szCs w:val="24"/>
          <w:highlight w:val="none"/>
        </w:rPr>
      </w:pPr>
    </w:p>
    <w:p w14:paraId="3ED546B6">
      <w:pPr>
        <w:adjustRightInd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履行合同所必需的设备和专业技术能力的说明及承诺</w:t>
      </w:r>
    </w:p>
    <w:p w14:paraId="19DD1740">
      <w:pPr>
        <w:adjustRightInd w:val="0"/>
        <w:snapToGrid w:val="0"/>
        <w:spacing w:line="360" w:lineRule="auto"/>
        <w:jc w:val="both"/>
        <w:rPr>
          <w:rFonts w:hint="eastAsia" w:ascii="宋体" w:hAnsi="宋体" w:eastAsia="宋体" w:cs="宋体"/>
          <w:b/>
          <w:color w:val="auto"/>
          <w:sz w:val="24"/>
          <w:szCs w:val="24"/>
          <w:highlight w:val="none"/>
        </w:rPr>
      </w:pPr>
    </w:p>
    <w:p w14:paraId="6CF1CF70">
      <w:pPr>
        <w:snapToGrid w:val="0"/>
        <w:spacing w:line="36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（采购人名称）    ：</w:t>
      </w:r>
    </w:p>
    <w:p w14:paraId="43095528">
      <w:pPr>
        <w:snapToGrid w:val="0"/>
        <w:spacing w:before="240" w:beforeLines="100" w:after="120" w:afterLines="50" w:line="360" w:lineRule="auto"/>
        <w:ind w:firstLine="620" w:firstLineChars="25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u w:val="single"/>
        </w:rPr>
        <w:t xml:space="preserve">（供应商名称）           </w:t>
      </w:r>
      <w:r>
        <w:rPr>
          <w:rFonts w:hint="eastAsia" w:ascii="宋体" w:hAnsi="宋体" w:eastAsia="宋体" w:cs="宋体"/>
          <w:color w:val="auto"/>
          <w:spacing w:val="4"/>
          <w:sz w:val="24"/>
          <w:szCs w:val="24"/>
          <w:highlight w:val="none"/>
        </w:rPr>
        <w:t xml:space="preserve"> 于</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年</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月</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日在中华人民共和国境内</w:t>
      </w:r>
      <w:r>
        <w:rPr>
          <w:rFonts w:hint="eastAsia" w:ascii="宋体" w:hAnsi="宋体" w:eastAsia="宋体" w:cs="宋体"/>
          <w:color w:val="auto"/>
          <w:spacing w:val="4"/>
          <w:sz w:val="24"/>
          <w:szCs w:val="24"/>
          <w:highlight w:val="none"/>
          <w:u w:val="single"/>
        </w:rPr>
        <w:t xml:space="preserve">  （详细注册地址）     </w:t>
      </w:r>
      <w:r>
        <w:rPr>
          <w:rFonts w:hint="eastAsia" w:ascii="宋体" w:hAnsi="宋体" w:eastAsia="宋体" w:cs="宋体"/>
          <w:color w:val="auto"/>
          <w:spacing w:val="4"/>
          <w:sz w:val="24"/>
          <w:szCs w:val="24"/>
          <w:highlight w:val="none"/>
        </w:rPr>
        <w:t>合法注册并经营，公司主营业务为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，营业（生产经营）面积为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 ，现有员工数量为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，其中与履行本合同相关的专业技术人员有（</w:t>
      </w:r>
      <w:r>
        <w:rPr>
          <w:rFonts w:hint="eastAsia" w:ascii="宋体" w:hAnsi="宋体" w:eastAsia="宋体" w:cs="宋体"/>
          <w:color w:val="auto"/>
          <w:spacing w:val="4"/>
          <w:sz w:val="24"/>
          <w:szCs w:val="24"/>
          <w:highlight w:val="none"/>
          <w:u w:val="single"/>
        </w:rPr>
        <w:t xml:space="preserve">             专业能力、数量        </w:t>
      </w:r>
      <w:r>
        <w:rPr>
          <w:rFonts w:hint="eastAsia" w:ascii="宋体" w:hAnsi="宋体" w:eastAsia="宋体" w:cs="宋体"/>
          <w:color w:val="auto"/>
          <w:spacing w:val="4"/>
          <w:sz w:val="24"/>
          <w:szCs w:val="24"/>
          <w:highlight w:val="none"/>
        </w:rPr>
        <w:t>），本公司郑重承诺，具有履行本合同所必需的设备和专业技术能力。</w:t>
      </w:r>
    </w:p>
    <w:p w14:paraId="56FF8D18">
      <w:pPr>
        <w:snapToGrid w:val="0"/>
        <w:spacing w:before="240" w:beforeLines="100" w:after="120" w:afterLines="50" w:line="360" w:lineRule="auto"/>
        <w:ind w:firstLine="170"/>
        <w:rPr>
          <w:rFonts w:hint="eastAsia" w:ascii="宋体" w:hAnsi="宋体" w:eastAsia="宋体" w:cs="宋体"/>
          <w:color w:val="auto"/>
          <w:spacing w:val="4"/>
          <w:sz w:val="24"/>
          <w:szCs w:val="24"/>
          <w:highlight w:val="none"/>
        </w:rPr>
      </w:pPr>
    </w:p>
    <w:p w14:paraId="0BFDF71A">
      <w:pPr>
        <w:snapToGrid w:val="0"/>
        <w:spacing w:before="240" w:beforeLines="100" w:after="120" w:afterLines="50" w:line="360" w:lineRule="auto"/>
        <w:ind w:firstLine="170"/>
        <w:rPr>
          <w:rFonts w:hint="eastAsia" w:ascii="宋体" w:hAnsi="宋体" w:eastAsia="宋体" w:cs="宋体"/>
          <w:color w:val="auto"/>
          <w:spacing w:val="4"/>
          <w:sz w:val="24"/>
          <w:szCs w:val="24"/>
          <w:highlight w:val="none"/>
        </w:rPr>
      </w:pPr>
    </w:p>
    <w:p w14:paraId="782218E6">
      <w:pPr>
        <w:tabs>
          <w:tab w:val="center" w:pos="4153"/>
          <w:tab w:val="right" w:pos="8306"/>
        </w:tabs>
        <w:snapToGrid w:val="0"/>
        <w:spacing w:line="360" w:lineRule="auto"/>
        <w:jc w:val="left"/>
        <w:rPr>
          <w:rFonts w:hint="eastAsia" w:ascii="宋体" w:hAnsi="宋体" w:eastAsia="宋体" w:cs="宋体"/>
          <w:color w:val="auto"/>
          <w:sz w:val="24"/>
          <w:szCs w:val="24"/>
          <w:highlight w:val="none"/>
        </w:rPr>
      </w:pPr>
    </w:p>
    <w:p w14:paraId="7AEB8DE2">
      <w:pPr>
        <w:snapToGrid w:val="0"/>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（供应商名称）            </w:t>
      </w:r>
    </w:p>
    <w:p w14:paraId="389F08A0">
      <w:pPr>
        <w:snapToGrid w:val="0"/>
        <w:spacing w:line="360" w:lineRule="auto"/>
        <w:ind w:firstLine="3360" w:firstLineChars="1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授权代表（签字或盖章）：</w:t>
      </w:r>
      <w:r>
        <w:rPr>
          <w:rFonts w:hint="eastAsia" w:ascii="宋体" w:hAnsi="宋体" w:eastAsia="宋体" w:cs="宋体"/>
          <w:color w:val="auto"/>
          <w:sz w:val="24"/>
          <w:szCs w:val="24"/>
          <w:highlight w:val="none"/>
          <w:u w:val="single"/>
        </w:rPr>
        <w:t xml:space="preserve">             </w:t>
      </w:r>
    </w:p>
    <w:p w14:paraId="7C8924BF">
      <w:pPr>
        <w:adjustRightInd w:val="0"/>
        <w:snapToGrid w:val="0"/>
        <w:spacing w:line="360" w:lineRule="auto"/>
        <w:ind w:firstLine="3360" w:firstLineChars="1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3EEF539C">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738F03A1">
      <w:pPr>
        <w:pStyle w:val="10"/>
        <w:adjustRightInd w:val="0"/>
        <w:snapToGrid w:val="0"/>
        <w:spacing w:line="360" w:lineRule="auto"/>
        <w:jc w:val="both"/>
        <w:rPr>
          <w:rFonts w:hint="default" w:ascii="宋体" w:hAnsi="宋体" w:eastAsia="宋体" w:cs="宋体"/>
          <w:b/>
          <w:sz w:val="24"/>
          <w:szCs w:val="24"/>
          <w:highlight w:val="none"/>
          <w:lang w:val="en-US" w:eastAsia="zh-CN"/>
        </w:rPr>
      </w:pPr>
      <w:r>
        <w:rPr>
          <w:rFonts w:hint="eastAsia" w:ascii="宋体" w:hAnsi="宋体" w:eastAsia="宋体" w:cs="宋体"/>
          <w:b/>
          <w:color w:val="auto"/>
          <w:sz w:val="24"/>
          <w:szCs w:val="24"/>
          <w:highlight w:val="none"/>
        </w:rPr>
        <w:t>附件</w:t>
      </w:r>
      <w:r>
        <w:rPr>
          <w:rFonts w:hint="eastAsia" w:hAnsi="宋体" w:cs="宋体"/>
          <w:b/>
          <w:color w:val="auto"/>
          <w:sz w:val="24"/>
          <w:szCs w:val="24"/>
          <w:highlight w:val="none"/>
          <w:lang w:val="en-US" w:eastAsia="zh-CN"/>
        </w:rPr>
        <w:t>-5</w:t>
      </w:r>
    </w:p>
    <w:p w14:paraId="2102901A">
      <w:pPr>
        <w:pStyle w:val="10"/>
        <w:adjustRightInd w:val="0"/>
        <w:snapToGrid w:val="0"/>
        <w:spacing w:line="360" w:lineRule="auto"/>
        <w:jc w:val="center"/>
        <w:rPr>
          <w:rFonts w:hint="eastAsia" w:ascii="宋体" w:hAnsi="宋体" w:eastAsia="宋体" w:cs="宋体"/>
          <w:b/>
          <w:sz w:val="32"/>
          <w:szCs w:val="32"/>
          <w:highlight w:val="none"/>
        </w:rPr>
      </w:pPr>
      <w:r>
        <w:rPr>
          <w:rFonts w:hint="eastAsia" w:ascii="宋体" w:hAnsi="宋体" w:eastAsia="宋体" w:cs="宋体"/>
          <w:b/>
          <w:sz w:val="24"/>
          <w:szCs w:val="24"/>
          <w:highlight w:val="none"/>
        </w:rPr>
        <w:t>供应商书面信用声明函</w:t>
      </w:r>
    </w:p>
    <w:p w14:paraId="696E1F8B">
      <w:pPr>
        <w:pStyle w:val="10"/>
        <w:adjustRightInd w:val="0"/>
        <w:snapToGrid w:val="0"/>
        <w:spacing w:line="360" w:lineRule="auto"/>
        <w:jc w:val="center"/>
        <w:rPr>
          <w:rFonts w:hint="eastAsia" w:ascii="宋体" w:hAnsi="宋体" w:eastAsia="宋体" w:cs="宋体"/>
          <w:b/>
          <w:sz w:val="13"/>
          <w:szCs w:val="13"/>
          <w:highlight w:val="none"/>
        </w:rPr>
      </w:pPr>
    </w:p>
    <w:p w14:paraId="0D339AC9">
      <w:pPr>
        <w:autoSpaceDE w:val="0"/>
        <w:autoSpaceDN w:val="0"/>
        <w:adjustRightInd w:val="0"/>
        <w:snapToGrid w:val="0"/>
        <w:spacing w:line="480" w:lineRule="auto"/>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u w:val="single"/>
        </w:rPr>
        <w:t>（</w:t>
      </w:r>
      <w:r>
        <w:rPr>
          <w:rFonts w:hint="eastAsia" w:ascii="宋体" w:hAnsi="宋体" w:eastAsia="宋体" w:cs="宋体"/>
          <w:spacing w:val="4"/>
          <w:sz w:val="24"/>
          <w:szCs w:val="24"/>
          <w:highlight w:val="none"/>
          <w:u w:val="single"/>
          <w:lang w:eastAsia="zh-CN"/>
        </w:rPr>
        <w:t>采购人</w:t>
      </w:r>
      <w:r>
        <w:rPr>
          <w:rFonts w:hint="eastAsia" w:ascii="宋体" w:hAnsi="宋体" w:eastAsia="宋体" w:cs="宋体"/>
          <w:spacing w:val="4"/>
          <w:sz w:val="24"/>
          <w:szCs w:val="24"/>
          <w:highlight w:val="none"/>
          <w:u w:val="single"/>
        </w:rPr>
        <w:t>名称）</w:t>
      </w:r>
      <w:r>
        <w:rPr>
          <w:rFonts w:hint="eastAsia" w:ascii="宋体" w:hAnsi="宋体" w:eastAsia="宋体" w:cs="宋体"/>
          <w:spacing w:val="4"/>
          <w:sz w:val="24"/>
          <w:szCs w:val="24"/>
          <w:highlight w:val="none"/>
        </w:rPr>
        <w:t>：</w:t>
      </w:r>
    </w:p>
    <w:p w14:paraId="6C19606B">
      <w:pPr>
        <w:autoSpaceDE w:val="0"/>
        <w:autoSpaceDN w:val="0"/>
        <w:adjustRightInd w:val="0"/>
        <w:snapToGrid w:val="0"/>
        <w:spacing w:line="48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我方郑重声明在参加本次政府采购活动前3年内的经营活动没有重大违法记录，以及未被列入失信被执行人、</w:t>
      </w:r>
      <w:r>
        <w:rPr>
          <w:rFonts w:hint="eastAsia" w:cs="宋体"/>
          <w:sz w:val="24"/>
          <w:szCs w:val="24"/>
          <w:highlight w:val="none"/>
          <w:lang w:eastAsia="zh-CN"/>
        </w:rPr>
        <w:t>重大税收违法失信主体</w:t>
      </w:r>
      <w:r>
        <w:rPr>
          <w:rFonts w:hint="eastAsia" w:ascii="宋体" w:hAnsi="宋体" w:eastAsia="宋体" w:cs="宋体"/>
          <w:sz w:val="24"/>
          <w:szCs w:val="24"/>
          <w:highlight w:val="none"/>
        </w:rPr>
        <w:t>、政府采购严重违法失信行为记录名单。如有不实，我方将无条件退出本项目的采购活动，并遵照《中华人民共和国政府采购法》有关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提供虚假材料的规定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接受处罚。</w:t>
      </w:r>
    </w:p>
    <w:p w14:paraId="6C4700C0">
      <w:pPr>
        <w:autoSpaceDE w:val="0"/>
        <w:autoSpaceDN w:val="0"/>
        <w:adjustRightInd w:val="0"/>
        <w:snapToGrid w:val="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48D0BF85">
      <w:pPr>
        <w:autoSpaceDE w:val="0"/>
        <w:autoSpaceDN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0DD679A4">
      <w:pPr>
        <w:autoSpaceDE w:val="0"/>
        <w:autoSpaceDN w:val="0"/>
        <w:adjustRightInd w:val="0"/>
        <w:snapToGrid w:val="0"/>
        <w:spacing w:line="360" w:lineRule="auto"/>
        <w:rPr>
          <w:rFonts w:hint="eastAsia" w:ascii="宋体" w:hAnsi="宋体" w:eastAsia="宋体" w:cs="宋体"/>
          <w:sz w:val="24"/>
          <w:szCs w:val="24"/>
          <w:highlight w:val="none"/>
        </w:rPr>
      </w:pPr>
    </w:p>
    <w:p w14:paraId="216EB5B5">
      <w:pPr>
        <w:autoSpaceDE w:val="0"/>
        <w:autoSpaceDN w:val="0"/>
        <w:adjustRightInd w:val="0"/>
        <w:snapToGrid w:val="0"/>
        <w:spacing w:line="360" w:lineRule="auto"/>
        <w:ind w:firstLine="480" w:firstLineChars="200"/>
        <w:rPr>
          <w:rFonts w:hint="eastAsia" w:ascii="宋体" w:hAnsi="宋体" w:eastAsia="宋体" w:cs="宋体"/>
          <w:sz w:val="24"/>
          <w:szCs w:val="24"/>
          <w:highlight w:val="none"/>
        </w:rPr>
      </w:pPr>
    </w:p>
    <w:p w14:paraId="7DDCB3B9">
      <w:pPr>
        <w:autoSpaceDE w:val="0"/>
        <w:autoSpaceDN w:val="0"/>
        <w:adjustRightInd w:val="0"/>
        <w:snapToGrid w:val="0"/>
        <w:spacing w:line="360" w:lineRule="auto"/>
        <w:ind w:firstLine="480" w:firstLineChars="200"/>
        <w:rPr>
          <w:rFonts w:hint="eastAsia" w:ascii="宋体" w:hAnsi="宋体" w:eastAsia="宋体" w:cs="宋体"/>
          <w:sz w:val="24"/>
          <w:szCs w:val="24"/>
          <w:highlight w:val="none"/>
        </w:rPr>
      </w:pPr>
    </w:p>
    <w:p w14:paraId="19E978F6">
      <w:pPr>
        <w:snapToGrid w:val="0"/>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（供应商名称）            </w:t>
      </w:r>
    </w:p>
    <w:p w14:paraId="270B5B7B">
      <w:pPr>
        <w:snapToGrid w:val="0"/>
        <w:spacing w:line="360" w:lineRule="auto"/>
        <w:ind w:firstLine="3360" w:firstLineChars="1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授权代表（签字或盖章）：</w:t>
      </w:r>
      <w:r>
        <w:rPr>
          <w:rFonts w:hint="eastAsia" w:ascii="宋体" w:hAnsi="宋体" w:eastAsia="宋体" w:cs="宋体"/>
          <w:color w:val="auto"/>
          <w:sz w:val="24"/>
          <w:szCs w:val="24"/>
          <w:highlight w:val="none"/>
          <w:u w:val="single"/>
        </w:rPr>
        <w:t xml:space="preserve">             </w:t>
      </w:r>
    </w:p>
    <w:p w14:paraId="40E5E581">
      <w:pPr>
        <w:adjustRightInd w:val="0"/>
        <w:snapToGrid w:val="0"/>
        <w:spacing w:line="360" w:lineRule="auto"/>
        <w:ind w:firstLine="3360" w:firstLineChars="1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28F1A793">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br w:type="page"/>
      </w:r>
    </w:p>
    <w:p w14:paraId="17E23A0A">
      <w:pPr>
        <w:pStyle w:val="10"/>
        <w:adjustRightInd w:val="0"/>
        <w:snapToGrid w:val="0"/>
        <w:spacing w:line="360" w:lineRule="auto"/>
        <w:jc w:val="both"/>
        <w:rPr>
          <w:rFonts w:hint="default" w:ascii="宋体" w:hAnsi="宋体" w:eastAsia="宋体" w:cs="宋体"/>
          <w:b/>
          <w:sz w:val="24"/>
          <w:szCs w:val="24"/>
          <w:highlight w:val="none"/>
          <w:lang w:val="en-US" w:eastAsia="zh-CN"/>
        </w:rPr>
      </w:pPr>
      <w:r>
        <w:rPr>
          <w:rFonts w:hint="eastAsia" w:ascii="宋体" w:hAnsi="宋体" w:eastAsia="宋体" w:cs="宋体"/>
          <w:b/>
          <w:color w:val="auto"/>
          <w:sz w:val="24"/>
          <w:szCs w:val="24"/>
          <w:highlight w:val="none"/>
        </w:rPr>
        <w:t>附件</w:t>
      </w:r>
      <w:r>
        <w:rPr>
          <w:rFonts w:hint="eastAsia" w:hAnsi="宋体" w:cs="宋体"/>
          <w:b/>
          <w:color w:val="auto"/>
          <w:sz w:val="24"/>
          <w:szCs w:val="24"/>
          <w:highlight w:val="none"/>
          <w:lang w:val="en-US" w:eastAsia="zh-CN"/>
        </w:rPr>
        <w:t>-6</w:t>
      </w:r>
    </w:p>
    <w:bookmarkEnd w:id="81"/>
    <w:bookmarkEnd w:id="82"/>
    <w:p w14:paraId="436A5C8F">
      <w:pPr>
        <w:autoSpaceDE w:val="0"/>
        <w:autoSpaceDN w:val="0"/>
        <w:adjustRightInd w:val="0"/>
        <w:snapToGrid w:val="0"/>
        <w:spacing w:line="360" w:lineRule="auto"/>
        <w:jc w:val="center"/>
        <w:outlineLvl w:val="9"/>
        <w:rPr>
          <w:rFonts w:hint="eastAsia" w:asciiTheme="minorEastAsia" w:hAnsiTheme="minorEastAsia" w:eastAsiaTheme="minorEastAsia" w:cstheme="minorEastAsia"/>
          <w:b/>
          <w:color w:val="auto"/>
          <w:kern w:val="2"/>
          <w:sz w:val="24"/>
          <w:szCs w:val="24"/>
          <w:highlight w:val="none"/>
          <w:lang w:val="en-US" w:eastAsia="zh-CN" w:bidi="ar-SA"/>
        </w:rPr>
      </w:pPr>
      <w:bookmarkStart w:id="93" w:name="_Toc9699"/>
      <w:bookmarkStart w:id="94" w:name="_Toc9353"/>
      <w:bookmarkStart w:id="95" w:name="_Toc20488"/>
      <w:bookmarkStart w:id="96" w:name="_Toc188808855"/>
      <w:bookmarkStart w:id="97" w:name="_Toc194663942"/>
      <w:bookmarkStart w:id="98" w:name="_Toc193126905"/>
      <w:bookmarkStart w:id="99" w:name="_Toc193187111"/>
      <w:r>
        <w:rPr>
          <w:rFonts w:hint="eastAsia" w:asciiTheme="minorEastAsia" w:hAnsiTheme="minorEastAsia" w:eastAsiaTheme="minorEastAsia" w:cstheme="minorEastAsia"/>
          <w:b/>
          <w:color w:val="auto"/>
          <w:kern w:val="2"/>
          <w:sz w:val="24"/>
          <w:szCs w:val="24"/>
          <w:highlight w:val="none"/>
          <w:lang w:val="en-US" w:eastAsia="zh-CN" w:bidi="ar-SA"/>
        </w:rPr>
        <w:t>供应商企业关系关联承诺书</w:t>
      </w:r>
    </w:p>
    <w:p w14:paraId="4AEC60A0">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我方承诺，不存在相关法律法规规定的禁止磋商的情形。我单位的股权关系、与其他单位的管理关系和其他与本项目有关的利害关系等，作如下说明和承诺：</w:t>
      </w:r>
    </w:p>
    <w:p w14:paraId="5FD4BB9D">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1.我方在本项目磋商中，不存在与其他供应商单位负责人为同一人或者存在直接控股、管理关系。</w:t>
      </w:r>
    </w:p>
    <w:p w14:paraId="021BBEAD">
      <w:pPr>
        <w:autoSpaceDE w:val="0"/>
        <w:autoSpaceDN w:val="0"/>
        <w:adjustRightInd w:val="0"/>
        <w:snapToGrid w:val="0"/>
        <w:spacing w:line="360" w:lineRule="auto"/>
        <w:ind w:firstLine="480" w:firstLineChars="200"/>
        <w:jc w:val="left"/>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1.1 股权关系说明</w:t>
      </w:r>
    </w:p>
    <w:p w14:paraId="76A51FD6">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1.1.1 我单位法定代表人（单位负责人）姓名：</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w:t>
      </w:r>
    </w:p>
    <w:p w14:paraId="06AF6A27">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u w:val="single"/>
          <w:lang w:val="zh-CN"/>
        </w:rPr>
      </w:pPr>
      <w:r>
        <w:rPr>
          <w:rFonts w:hint="eastAsia" w:asciiTheme="minorEastAsia" w:hAnsiTheme="minorEastAsia" w:eastAsiaTheme="minorEastAsia" w:cstheme="minorEastAsia"/>
          <w:color w:val="auto"/>
          <w:sz w:val="24"/>
          <w:szCs w:val="24"/>
          <w:highlight w:val="none"/>
          <w:lang w:val="zh-CN"/>
        </w:rPr>
        <w:t>1.1.2 我单位控股的单位有</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rPr>
        <w:t>(没有填“无”)</w:t>
      </w:r>
    </w:p>
    <w:p w14:paraId="2AD0CC7C">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1.1.3 我单位被</w:t>
      </w:r>
      <w:r>
        <w:rPr>
          <w:rFonts w:hint="eastAsia" w:asciiTheme="minorEastAsia" w:hAnsiTheme="minorEastAsia" w:eastAsiaTheme="minorEastAsia" w:cstheme="minorEastAsia"/>
          <w:color w:val="auto"/>
          <w:sz w:val="24"/>
          <w:szCs w:val="24"/>
          <w:highlight w:val="none"/>
          <w:u w:val="single"/>
          <w:lang w:val="zh-CN"/>
        </w:rPr>
        <w:t xml:space="preserve">      （单位或自然人）        </w:t>
      </w:r>
      <w:r>
        <w:rPr>
          <w:rFonts w:hint="eastAsia" w:asciiTheme="minorEastAsia" w:hAnsiTheme="minorEastAsia" w:eastAsiaTheme="minorEastAsia" w:cstheme="minorEastAsia"/>
          <w:color w:val="auto"/>
          <w:sz w:val="24"/>
          <w:szCs w:val="24"/>
          <w:highlight w:val="none"/>
          <w:lang w:val="zh-CN"/>
        </w:rPr>
        <w:t>控股。</w:t>
      </w:r>
      <w:r>
        <w:rPr>
          <w:rFonts w:hint="eastAsia" w:asciiTheme="minorEastAsia" w:hAnsiTheme="minorEastAsia" w:eastAsiaTheme="minorEastAsia" w:cstheme="minorEastAsia"/>
          <w:color w:val="auto"/>
          <w:sz w:val="24"/>
          <w:szCs w:val="24"/>
          <w:highlight w:val="none"/>
        </w:rPr>
        <w:t>(没有填“无”)</w:t>
      </w:r>
    </w:p>
    <w:p w14:paraId="3C07571C">
      <w:pPr>
        <w:autoSpaceDE w:val="0"/>
        <w:autoSpaceDN w:val="0"/>
        <w:adjustRightInd w:val="0"/>
        <w:snapToGrid w:val="0"/>
        <w:spacing w:line="360" w:lineRule="auto"/>
        <w:ind w:firstLine="480" w:firstLineChars="200"/>
        <w:jc w:val="left"/>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1.2.管理关系说明</w:t>
      </w:r>
    </w:p>
    <w:p w14:paraId="24E03375">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1.2.1 我单位管理的下属单位有</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rPr>
        <w:t>(没有填“无”)</w:t>
      </w:r>
    </w:p>
    <w:p w14:paraId="7D9C3282">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1.2.2 我单位的上级管理单位有</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rPr>
        <w:t>(没有填“无”)</w:t>
      </w:r>
    </w:p>
    <w:p w14:paraId="30E64630">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2.我方与采购人不存在利害关系及其他可能影响</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lang w:val="zh-CN"/>
        </w:rPr>
        <w:t>公正性的情形。</w:t>
      </w:r>
    </w:p>
    <w:p w14:paraId="6D76D49F">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val="zh-CN"/>
        </w:rPr>
        <w:t>.其他与本项目有关的利害关系说明：</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rPr>
        <w:t>(没有填“无”)</w:t>
      </w:r>
    </w:p>
    <w:p w14:paraId="5DFBF3FB">
      <w:pPr>
        <w:autoSpaceDE w:val="0"/>
        <w:autoSpaceDN w:val="0"/>
        <w:adjustRightInd w:val="0"/>
        <w:snapToGrid w:val="0"/>
        <w:spacing w:line="360" w:lineRule="auto"/>
        <w:ind w:firstLine="3600" w:firstLineChars="1500"/>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 </w:t>
      </w:r>
    </w:p>
    <w:p w14:paraId="14632F94">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我方承诺以上说明真实有效，无虚假内容或隐瞒。</w:t>
      </w:r>
    </w:p>
    <w:p w14:paraId="4E105ACD">
      <w:pPr>
        <w:snapToGrid w:val="0"/>
        <w:spacing w:line="360" w:lineRule="auto"/>
        <w:ind w:firstLine="1920" w:firstLineChars="800"/>
        <w:rPr>
          <w:rFonts w:hint="eastAsia" w:asciiTheme="minorEastAsia" w:hAnsiTheme="minorEastAsia" w:eastAsiaTheme="minorEastAsia" w:cstheme="minorEastAsia"/>
          <w:color w:val="auto"/>
          <w:sz w:val="24"/>
          <w:szCs w:val="24"/>
          <w:highlight w:val="none"/>
        </w:rPr>
      </w:pPr>
    </w:p>
    <w:p w14:paraId="26DB0B06">
      <w:pPr>
        <w:pStyle w:val="7"/>
        <w:spacing w:before="79" w:line="347" w:lineRule="auto"/>
        <w:ind w:left="4540" w:leftChars="1400" w:right="277" w:hanging="1180" w:hangingChars="500"/>
        <w:rPr>
          <w:rFonts w:hint="eastAsia" w:ascii="宋体" w:hAnsi="宋体" w:eastAsia="宋体" w:cs="宋体"/>
          <w:spacing w:val="10"/>
          <w:sz w:val="24"/>
          <w:szCs w:val="24"/>
        </w:rPr>
      </w:pPr>
      <w:r>
        <w:rPr>
          <w:rFonts w:hint="eastAsia" w:ascii="宋体" w:hAnsi="宋体" w:eastAsia="宋体" w:cs="宋体"/>
          <w:spacing w:val="-2"/>
          <w:sz w:val="24"/>
          <w:szCs w:val="24"/>
        </w:rPr>
        <w:t>供应商名称（公章</w:t>
      </w:r>
      <w:r>
        <w:rPr>
          <w:rFonts w:hint="eastAsia" w:ascii="宋体" w:hAnsi="宋体" w:eastAsia="宋体" w:cs="宋体"/>
          <w:spacing w:val="2"/>
          <w:sz w:val="24"/>
          <w:szCs w:val="24"/>
        </w:rPr>
        <w:t>）：</w:t>
      </w:r>
      <w:r>
        <w:rPr>
          <w:rFonts w:hint="eastAsia" w:ascii="宋体" w:hAnsi="宋体" w:eastAsia="宋体" w:cs="宋体"/>
          <w:spacing w:val="1"/>
          <w:sz w:val="24"/>
          <w:szCs w:val="24"/>
          <w:u w:val="single" w:color="auto"/>
        </w:rPr>
        <w:t xml:space="preserve">                 </w:t>
      </w:r>
      <w:r>
        <w:rPr>
          <w:rFonts w:hint="eastAsia" w:ascii="宋体" w:hAnsi="宋体" w:eastAsia="宋体" w:cs="宋体"/>
          <w:spacing w:val="10"/>
          <w:sz w:val="24"/>
          <w:szCs w:val="24"/>
        </w:rPr>
        <w:t xml:space="preserve"> </w:t>
      </w:r>
    </w:p>
    <w:p w14:paraId="2ADD7CB1">
      <w:pPr>
        <w:pStyle w:val="7"/>
        <w:spacing w:before="79" w:line="347" w:lineRule="auto"/>
        <w:ind w:left="4540" w:leftChars="1400" w:right="277" w:hanging="1180" w:hangingChars="500"/>
        <w:rPr>
          <w:rFonts w:hint="eastAsia" w:ascii="宋体" w:hAnsi="宋体" w:eastAsia="宋体" w:cs="宋体"/>
          <w:sz w:val="24"/>
          <w:szCs w:val="24"/>
        </w:rPr>
      </w:pPr>
      <w:r>
        <w:rPr>
          <w:rFonts w:hint="eastAsia" w:ascii="宋体" w:hAnsi="宋体" w:eastAsia="宋体" w:cs="宋体"/>
          <w:spacing w:val="-2"/>
          <w:sz w:val="24"/>
          <w:szCs w:val="24"/>
        </w:rPr>
        <w:t>法定代表人</w:t>
      </w:r>
      <w:r>
        <w:rPr>
          <w:rFonts w:hint="eastAsia" w:cs="宋体"/>
          <w:spacing w:val="-2"/>
          <w:sz w:val="24"/>
          <w:szCs w:val="24"/>
          <w:lang w:val="en-US" w:eastAsia="zh-CN"/>
        </w:rPr>
        <w:t>或</w:t>
      </w:r>
      <w:r>
        <w:rPr>
          <w:rFonts w:hint="eastAsia" w:ascii="宋体" w:hAnsi="宋体" w:eastAsia="宋体" w:cs="宋体"/>
          <w:spacing w:val="25"/>
          <w:sz w:val="24"/>
          <w:szCs w:val="24"/>
        </w:rPr>
        <w:t>被授权人</w:t>
      </w:r>
      <w:r>
        <w:rPr>
          <w:rFonts w:hint="eastAsia" w:ascii="宋体" w:hAnsi="宋体" w:eastAsia="宋体" w:cs="宋体"/>
          <w:spacing w:val="-2"/>
          <w:sz w:val="24"/>
          <w:szCs w:val="24"/>
        </w:rPr>
        <w:t>（签字</w:t>
      </w:r>
      <w:r>
        <w:rPr>
          <w:rFonts w:hint="eastAsia" w:cs="宋体"/>
          <w:spacing w:val="-2"/>
          <w:sz w:val="24"/>
          <w:szCs w:val="24"/>
          <w:lang w:val="en-US" w:eastAsia="zh-CN"/>
        </w:rPr>
        <w:t>或盖章</w:t>
      </w:r>
      <w:r>
        <w:rPr>
          <w:rFonts w:hint="eastAsia" w:ascii="宋体" w:hAnsi="宋体" w:eastAsia="宋体" w:cs="宋体"/>
          <w:spacing w:val="2"/>
          <w:sz w:val="24"/>
          <w:szCs w:val="24"/>
        </w:rPr>
        <w:t>）：</w:t>
      </w:r>
      <w:r>
        <w:rPr>
          <w:rFonts w:hint="eastAsia" w:ascii="宋体" w:hAnsi="宋体" w:eastAsia="宋体" w:cs="宋体"/>
          <w:sz w:val="24"/>
          <w:szCs w:val="24"/>
          <w:u w:val="single" w:color="auto"/>
        </w:rPr>
        <w:t xml:space="preserve">          </w:t>
      </w:r>
    </w:p>
    <w:p w14:paraId="27FA5C0D">
      <w:pPr>
        <w:ind w:firstLine="3150" w:firstLineChars="1500"/>
        <w:rPr>
          <w:rFonts w:hint="eastAsia" w:ascii="宋体" w:hAnsi="宋体" w:eastAsia="宋体" w:cs="宋体"/>
          <w:b/>
          <w:bCs/>
          <w:color w:val="auto"/>
          <w:sz w:val="32"/>
          <w:szCs w:val="32"/>
          <w:highlight w:val="none"/>
          <w:lang w:val="en-US" w:eastAsia="zh-CN"/>
        </w:rPr>
      </w:pPr>
      <w:r>
        <w:rPr>
          <w:rFonts w:hint="eastAsia" w:ascii="宋体" w:hAnsi="宋体" w:eastAsia="宋体" w:cs="宋体"/>
          <w:spacing w:val="-15"/>
          <w:sz w:val="24"/>
          <w:szCs w:val="24"/>
          <w:lang w:val="en-US" w:eastAsia="zh-CN"/>
        </w:rPr>
        <w:t xml:space="preserve">  </w:t>
      </w:r>
      <w:r>
        <w:rPr>
          <w:rFonts w:hint="eastAsia" w:ascii="宋体" w:hAnsi="宋体" w:eastAsia="宋体" w:cs="宋体"/>
          <w:spacing w:val="-15"/>
          <w:sz w:val="24"/>
          <w:szCs w:val="24"/>
        </w:rPr>
        <w:t>日</w:t>
      </w:r>
      <w:r>
        <w:rPr>
          <w:rFonts w:hint="eastAsia" w:ascii="宋体" w:hAnsi="宋体" w:eastAsia="宋体" w:cs="宋体"/>
          <w:spacing w:val="6"/>
          <w:sz w:val="24"/>
          <w:szCs w:val="24"/>
        </w:rPr>
        <w:t xml:space="preserve">  </w:t>
      </w:r>
      <w:r>
        <w:rPr>
          <w:rFonts w:hint="eastAsia" w:ascii="宋体" w:hAnsi="宋体" w:eastAsia="宋体" w:cs="宋体"/>
          <w:spacing w:val="-15"/>
          <w:sz w:val="24"/>
          <w:szCs w:val="24"/>
        </w:rPr>
        <w:t>期：</w:t>
      </w:r>
      <w:r>
        <w:rPr>
          <w:rFonts w:hint="eastAsia" w:ascii="宋体" w:hAnsi="宋体" w:eastAsia="宋体" w:cs="宋体"/>
          <w:sz w:val="24"/>
          <w:szCs w:val="24"/>
          <w:u w:val="single" w:color="auto"/>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5"/>
          <w:sz w:val="24"/>
          <w:szCs w:val="24"/>
        </w:rPr>
        <w:t>年</w:t>
      </w:r>
      <w:r>
        <w:rPr>
          <w:rFonts w:hint="eastAsia" w:ascii="宋体" w:hAnsi="宋体" w:eastAsia="宋体" w:cs="宋体"/>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15"/>
          <w:sz w:val="24"/>
          <w:szCs w:val="24"/>
        </w:rPr>
        <w:t>月</w:t>
      </w:r>
      <w:r>
        <w:rPr>
          <w:rFonts w:hint="eastAsia" w:ascii="宋体" w:hAnsi="宋体" w:eastAsia="宋体" w:cs="宋体"/>
          <w:sz w:val="24"/>
          <w:szCs w:val="24"/>
          <w:u w:val="single" w:color="auto"/>
        </w:rPr>
        <w:t xml:space="preserve">    </w:t>
      </w:r>
      <w:r>
        <w:rPr>
          <w:rFonts w:hint="eastAsia" w:ascii="宋体" w:hAnsi="宋体" w:eastAsia="宋体" w:cs="宋体"/>
          <w:spacing w:val="-70"/>
          <w:sz w:val="24"/>
          <w:szCs w:val="24"/>
        </w:rPr>
        <w:t xml:space="preserve"> </w:t>
      </w:r>
      <w:r>
        <w:rPr>
          <w:rFonts w:hint="eastAsia" w:ascii="宋体" w:hAnsi="宋体" w:eastAsia="宋体" w:cs="宋体"/>
          <w:spacing w:val="-15"/>
          <w:sz w:val="24"/>
          <w:szCs w:val="24"/>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宋体" w:hAnsi="宋体" w:eastAsia="宋体" w:cs="宋体"/>
          <w:b/>
          <w:bCs/>
          <w:color w:val="auto"/>
          <w:sz w:val="32"/>
          <w:szCs w:val="32"/>
          <w:highlight w:val="none"/>
          <w:lang w:val="en-US" w:eastAsia="zh-CN"/>
        </w:rPr>
        <w:br w:type="page"/>
      </w:r>
    </w:p>
    <w:p w14:paraId="4C114004">
      <w:pPr>
        <w:pStyle w:val="10"/>
        <w:adjustRightInd w:val="0"/>
        <w:snapToGrid w:val="0"/>
        <w:spacing w:line="360" w:lineRule="auto"/>
        <w:jc w:val="both"/>
        <w:rPr>
          <w:rFonts w:hint="default" w:ascii="宋体" w:hAnsi="宋体" w:eastAsia="宋体" w:cs="宋体"/>
          <w:b/>
          <w:sz w:val="24"/>
          <w:szCs w:val="24"/>
          <w:highlight w:val="none"/>
          <w:lang w:val="en-US" w:eastAsia="zh-CN"/>
        </w:rPr>
      </w:pPr>
      <w:r>
        <w:rPr>
          <w:rFonts w:hint="eastAsia" w:ascii="宋体" w:hAnsi="宋体" w:eastAsia="宋体" w:cs="宋体"/>
          <w:b/>
          <w:color w:val="auto"/>
          <w:sz w:val="24"/>
          <w:szCs w:val="24"/>
          <w:highlight w:val="none"/>
        </w:rPr>
        <w:t>附件</w:t>
      </w:r>
      <w:r>
        <w:rPr>
          <w:rFonts w:hint="eastAsia" w:hAnsi="宋体" w:cs="宋体"/>
          <w:b/>
          <w:color w:val="auto"/>
          <w:sz w:val="24"/>
          <w:szCs w:val="24"/>
          <w:highlight w:val="none"/>
          <w:lang w:val="en-US" w:eastAsia="zh-CN"/>
        </w:rPr>
        <w:t>-7</w:t>
      </w:r>
    </w:p>
    <w:p w14:paraId="070E01A3">
      <w:pPr>
        <w:bidi w:val="0"/>
        <w:jc w:val="center"/>
        <w:rPr>
          <w:rFonts w:hint="eastAsia" w:ascii="宋体" w:hAnsi="宋体" w:eastAsia="宋体" w:cs="宋体"/>
          <w:b/>
          <w:bCs/>
          <w:color w:val="auto"/>
          <w:sz w:val="24"/>
          <w:szCs w:val="24"/>
          <w:highlight w:val="none"/>
        </w:rPr>
      </w:pPr>
    </w:p>
    <w:p w14:paraId="1FD03B83">
      <w:pPr>
        <w:bidi w:val="0"/>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中小企业声明函（服务）</w:t>
      </w:r>
    </w:p>
    <w:p w14:paraId="446894CD">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本公司（联合体）郑重声明，根据《政府采购促进中小企业发展管理办法》（财库﹝2020﹞46 号）的规定，本公司（联合体）参加（</w:t>
      </w:r>
      <w:r>
        <w:rPr>
          <w:rFonts w:hint="eastAsia" w:ascii="宋体" w:hAnsi="宋体" w:eastAsia="宋体" w:cs="宋体"/>
          <w:i/>
          <w:color w:val="auto"/>
          <w:spacing w:val="6"/>
          <w:sz w:val="24"/>
          <w:szCs w:val="24"/>
          <w:highlight w:val="none"/>
          <w:u w:val="single"/>
        </w:rPr>
        <w:t>单位名称）</w:t>
      </w:r>
      <w:r>
        <w:rPr>
          <w:rFonts w:hint="eastAsia" w:ascii="宋体" w:hAnsi="宋体" w:eastAsia="宋体" w:cs="宋体"/>
          <w:color w:val="auto"/>
          <w:spacing w:val="6"/>
          <w:sz w:val="24"/>
          <w:szCs w:val="24"/>
          <w:highlight w:val="none"/>
        </w:rPr>
        <w:t>的（</w:t>
      </w:r>
      <w:r>
        <w:rPr>
          <w:rFonts w:hint="eastAsia" w:ascii="宋体" w:hAnsi="宋体" w:eastAsia="宋体" w:cs="宋体"/>
          <w:i/>
          <w:color w:val="auto"/>
          <w:spacing w:val="6"/>
          <w:sz w:val="24"/>
          <w:szCs w:val="24"/>
          <w:highlight w:val="none"/>
          <w:u w:val="single"/>
        </w:rPr>
        <w:t>项目名称</w:t>
      </w:r>
      <w:r>
        <w:rPr>
          <w:rFonts w:hint="eastAsia" w:ascii="宋体" w:hAnsi="宋体" w:eastAsia="宋体" w:cs="宋体"/>
          <w:color w:val="auto"/>
          <w:spacing w:val="6"/>
          <w:sz w:val="24"/>
          <w:szCs w:val="24"/>
          <w:highlight w:val="none"/>
        </w:rPr>
        <w:t>）采购活动，服务全部由符合政策要求的中小企业承接。相关企业（含联合体中的中小企业、签订分包意向协议的中小企业）的具体情况如下：</w:t>
      </w:r>
    </w:p>
    <w:p w14:paraId="154017A8">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sz w:val="24"/>
          <w:szCs w:val="24"/>
          <w:highlight w:val="none"/>
        </w:rPr>
        <w:t>1、</w:t>
      </w:r>
      <w:r>
        <w:rPr>
          <w:rFonts w:hint="eastAsia" w:ascii="宋体" w:hAnsi="宋体" w:eastAsia="宋体" w:cs="宋体"/>
          <w:i w:val="0"/>
          <w:iCs w:val="0"/>
          <w:color w:val="auto"/>
          <w:spacing w:val="6"/>
          <w:sz w:val="24"/>
          <w:szCs w:val="24"/>
          <w:highlight w:val="none"/>
          <w:u w:val="single"/>
        </w:rPr>
        <w:t>（标的名称）</w:t>
      </w:r>
      <w:r>
        <w:rPr>
          <w:rFonts w:hint="eastAsia" w:ascii="宋体" w:hAnsi="宋体" w:eastAsia="宋体" w:cs="宋体"/>
          <w:i w:val="0"/>
          <w:iCs w:val="0"/>
          <w:color w:val="auto"/>
          <w:spacing w:val="6"/>
          <w:sz w:val="24"/>
          <w:szCs w:val="24"/>
          <w:highlight w:val="none"/>
        </w:rPr>
        <w:t>，属于</w:t>
      </w:r>
      <w:r>
        <w:rPr>
          <w:rFonts w:hint="eastAsia" w:ascii="宋体" w:hAnsi="宋体" w:eastAsia="宋体" w:cs="宋体"/>
          <w:i w:val="0"/>
          <w:iCs w:val="0"/>
          <w:color w:val="auto"/>
          <w:spacing w:val="6"/>
          <w:sz w:val="24"/>
          <w:szCs w:val="24"/>
          <w:highlight w:val="none"/>
          <w:u w:val="single"/>
        </w:rPr>
        <w:t>（采购文件中明确的所属行业）</w:t>
      </w:r>
      <w:r>
        <w:rPr>
          <w:rFonts w:hint="eastAsia" w:ascii="宋体" w:hAnsi="宋体" w:eastAsia="宋体" w:cs="宋体"/>
          <w:i w:val="0"/>
          <w:iCs w:val="0"/>
          <w:color w:val="auto"/>
          <w:spacing w:val="6"/>
          <w:sz w:val="24"/>
          <w:szCs w:val="24"/>
          <w:highlight w:val="none"/>
        </w:rPr>
        <w:t>；承接企业为</w:t>
      </w:r>
      <w:r>
        <w:rPr>
          <w:rFonts w:hint="eastAsia" w:ascii="宋体" w:hAnsi="宋体" w:eastAsia="宋体" w:cs="宋体"/>
          <w:i w:val="0"/>
          <w:iCs w:val="0"/>
          <w:color w:val="auto"/>
          <w:spacing w:val="6"/>
          <w:sz w:val="24"/>
          <w:szCs w:val="24"/>
          <w:highlight w:val="none"/>
          <w:u w:val="single"/>
        </w:rPr>
        <w:t>（企业名称），</w:t>
      </w:r>
      <w:r>
        <w:rPr>
          <w:rFonts w:hint="eastAsia" w:ascii="宋体" w:hAnsi="宋体" w:eastAsia="宋体" w:cs="宋体"/>
          <w:i w:val="0"/>
          <w:iCs w:val="0"/>
          <w:color w:val="auto"/>
          <w:spacing w:val="6"/>
          <w:sz w:val="24"/>
          <w:szCs w:val="24"/>
          <w:highlight w:val="none"/>
        </w:rPr>
        <w:t>从业人员</w:t>
      </w:r>
      <w:r>
        <w:rPr>
          <w:rFonts w:hint="eastAsia" w:ascii="宋体" w:hAnsi="宋体" w:eastAsia="宋体" w:cs="宋体"/>
          <w:i w:val="0"/>
          <w:iCs w:val="0"/>
          <w:color w:val="auto"/>
          <w:spacing w:val="6"/>
          <w:sz w:val="24"/>
          <w:szCs w:val="24"/>
          <w:highlight w:val="none"/>
          <w:u w:val="single"/>
        </w:rPr>
        <w:t xml:space="preserve">      </w:t>
      </w:r>
      <w:r>
        <w:rPr>
          <w:rFonts w:hint="eastAsia" w:ascii="宋体" w:hAnsi="宋体" w:eastAsia="宋体" w:cs="宋体"/>
          <w:i w:val="0"/>
          <w:iCs w:val="0"/>
          <w:color w:val="auto"/>
          <w:spacing w:val="6"/>
          <w:sz w:val="24"/>
          <w:szCs w:val="24"/>
          <w:highlight w:val="none"/>
          <w:u w:val="single"/>
        </w:rPr>
        <w:tab/>
      </w:r>
      <w:r>
        <w:rPr>
          <w:rFonts w:hint="eastAsia" w:ascii="宋体" w:hAnsi="宋体" w:eastAsia="宋体" w:cs="宋体"/>
          <w:i w:val="0"/>
          <w:iCs w:val="0"/>
          <w:color w:val="auto"/>
          <w:spacing w:val="6"/>
          <w:sz w:val="24"/>
          <w:szCs w:val="24"/>
          <w:highlight w:val="none"/>
        </w:rPr>
        <w:t>人，营业收入为</w:t>
      </w:r>
      <w:r>
        <w:rPr>
          <w:rFonts w:hint="eastAsia" w:ascii="宋体" w:hAnsi="宋体" w:eastAsia="宋体" w:cs="宋体"/>
          <w:i w:val="0"/>
          <w:iCs w:val="0"/>
          <w:color w:val="auto"/>
          <w:spacing w:val="6"/>
          <w:sz w:val="24"/>
          <w:szCs w:val="24"/>
          <w:highlight w:val="none"/>
          <w:u w:val="single"/>
        </w:rPr>
        <w:t xml:space="preserve"> </w:t>
      </w:r>
      <w:r>
        <w:rPr>
          <w:rFonts w:hint="eastAsia" w:ascii="宋体" w:hAnsi="宋体" w:eastAsia="宋体" w:cs="宋体"/>
          <w:i w:val="0"/>
          <w:iCs w:val="0"/>
          <w:color w:val="auto"/>
          <w:spacing w:val="6"/>
          <w:sz w:val="24"/>
          <w:szCs w:val="24"/>
          <w:highlight w:val="none"/>
          <w:u w:val="single"/>
        </w:rPr>
        <w:tab/>
      </w:r>
      <w:r>
        <w:rPr>
          <w:rFonts w:hint="eastAsia" w:ascii="宋体" w:hAnsi="宋体" w:eastAsia="宋体" w:cs="宋体"/>
          <w:i w:val="0"/>
          <w:iCs w:val="0"/>
          <w:color w:val="auto"/>
          <w:spacing w:val="6"/>
          <w:sz w:val="24"/>
          <w:szCs w:val="24"/>
          <w:highlight w:val="none"/>
        </w:rPr>
        <w:t>万元，资产总额为</w:t>
      </w:r>
      <w:r>
        <w:rPr>
          <w:rFonts w:hint="eastAsia" w:ascii="宋体" w:hAnsi="宋体" w:eastAsia="宋体" w:cs="宋体"/>
          <w:i w:val="0"/>
          <w:iCs w:val="0"/>
          <w:color w:val="auto"/>
          <w:spacing w:val="6"/>
          <w:sz w:val="24"/>
          <w:szCs w:val="24"/>
          <w:highlight w:val="none"/>
          <w:u w:val="single"/>
        </w:rPr>
        <w:t xml:space="preserve"> </w:t>
      </w:r>
      <w:r>
        <w:rPr>
          <w:rFonts w:hint="eastAsia" w:ascii="宋体" w:hAnsi="宋体" w:eastAsia="宋体" w:cs="宋体"/>
          <w:i w:val="0"/>
          <w:iCs w:val="0"/>
          <w:color w:val="auto"/>
          <w:spacing w:val="6"/>
          <w:sz w:val="24"/>
          <w:szCs w:val="24"/>
          <w:highlight w:val="none"/>
          <w:u w:val="single"/>
        </w:rPr>
        <w:tab/>
      </w:r>
      <w:r>
        <w:rPr>
          <w:rFonts w:hint="eastAsia" w:ascii="宋体" w:hAnsi="宋体" w:eastAsia="宋体" w:cs="宋体"/>
          <w:i w:val="0"/>
          <w:iCs w:val="0"/>
          <w:color w:val="auto"/>
          <w:spacing w:val="6"/>
          <w:sz w:val="24"/>
          <w:szCs w:val="24"/>
          <w:highlight w:val="none"/>
          <w:u w:val="single"/>
        </w:rPr>
        <w:t xml:space="preserve">   </w:t>
      </w:r>
      <w:r>
        <w:rPr>
          <w:rFonts w:hint="eastAsia" w:ascii="宋体" w:hAnsi="宋体" w:eastAsia="宋体" w:cs="宋体"/>
          <w:i w:val="0"/>
          <w:iCs w:val="0"/>
          <w:color w:val="auto"/>
          <w:spacing w:val="6"/>
          <w:sz w:val="24"/>
          <w:szCs w:val="24"/>
          <w:highlight w:val="none"/>
        </w:rPr>
        <w:t xml:space="preserve"> 万元，属于</w:t>
      </w:r>
      <w:r>
        <w:rPr>
          <w:rFonts w:hint="eastAsia" w:ascii="宋体" w:hAnsi="宋体" w:eastAsia="宋体" w:cs="宋体"/>
          <w:i w:val="0"/>
          <w:iCs w:val="0"/>
          <w:color w:val="auto"/>
          <w:spacing w:val="6"/>
          <w:sz w:val="24"/>
          <w:szCs w:val="24"/>
          <w:highlight w:val="none"/>
          <w:u w:val="single"/>
        </w:rPr>
        <w:t>（中型企业、小型企业、微型企业）</w:t>
      </w:r>
      <w:r>
        <w:rPr>
          <w:rFonts w:hint="eastAsia" w:ascii="宋体" w:hAnsi="宋体" w:eastAsia="宋体" w:cs="宋体"/>
          <w:i w:val="0"/>
          <w:iCs w:val="0"/>
          <w:color w:val="auto"/>
          <w:spacing w:val="6"/>
          <w:sz w:val="24"/>
          <w:szCs w:val="24"/>
          <w:highlight w:val="none"/>
        </w:rPr>
        <w:t>；</w:t>
      </w:r>
    </w:p>
    <w:p w14:paraId="4D99D62A">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sz w:val="24"/>
          <w:szCs w:val="24"/>
          <w:highlight w:val="none"/>
        </w:rPr>
        <w:t>2、</w:t>
      </w:r>
      <w:r>
        <w:rPr>
          <w:rFonts w:hint="eastAsia" w:ascii="宋体" w:hAnsi="宋体" w:eastAsia="宋体" w:cs="宋体"/>
          <w:i w:val="0"/>
          <w:iCs w:val="0"/>
          <w:color w:val="auto"/>
          <w:spacing w:val="6"/>
          <w:sz w:val="24"/>
          <w:szCs w:val="24"/>
          <w:highlight w:val="none"/>
          <w:u w:val="single"/>
        </w:rPr>
        <w:t>（标的名称）</w:t>
      </w:r>
      <w:r>
        <w:rPr>
          <w:rFonts w:hint="eastAsia" w:ascii="宋体" w:hAnsi="宋体" w:eastAsia="宋体" w:cs="宋体"/>
          <w:i w:val="0"/>
          <w:iCs w:val="0"/>
          <w:color w:val="auto"/>
          <w:spacing w:val="6"/>
          <w:sz w:val="24"/>
          <w:szCs w:val="24"/>
          <w:highlight w:val="none"/>
        </w:rPr>
        <w:t>，属于</w:t>
      </w:r>
      <w:r>
        <w:rPr>
          <w:rFonts w:hint="eastAsia" w:ascii="宋体" w:hAnsi="宋体" w:eastAsia="宋体" w:cs="宋体"/>
          <w:i w:val="0"/>
          <w:iCs w:val="0"/>
          <w:color w:val="auto"/>
          <w:spacing w:val="6"/>
          <w:sz w:val="24"/>
          <w:szCs w:val="24"/>
          <w:highlight w:val="none"/>
          <w:u w:val="single"/>
        </w:rPr>
        <w:t>（采购文件中明确的所属行业）</w:t>
      </w:r>
      <w:r>
        <w:rPr>
          <w:rFonts w:hint="eastAsia" w:ascii="宋体" w:hAnsi="宋体" w:eastAsia="宋体" w:cs="宋体"/>
          <w:i w:val="0"/>
          <w:iCs w:val="0"/>
          <w:color w:val="auto"/>
          <w:spacing w:val="6"/>
          <w:sz w:val="24"/>
          <w:szCs w:val="24"/>
          <w:highlight w:val="none"/>
        </w:rPr>
        <w:t>；承接企业为</w:t>
      </w:r>
      <w:r>
        <w:rPr>
          <w:rFonts w:hint="eastAsia" w:ascii="宋体" w:hAnsi="宋体" w:eastAsia="宋体" w:cs="宋体"/>
          <w:i w:val="0"/>
          <w:iCs w:val="0"/>
          <w:color w:val="auto"/>
          <w:spacing w:val="6"/>
          <w:sz w:val="24"/>
          <w:szCs w:val="24"/>
          <w:highlight w:val="none"/>
          <w:u w:val="single"/>
        </w:rPr>
        <w:t>（企业名称）</w:t>
      </w:r>
      <w:r>
        <w:rPr>
          <w:rFonts w:hint="eastAsia" w:ascii="宋体" w:hAnsi="宋体" w:eastAsia="宋体" w:cs="宋体"/>
          <w:i w:val="0"/>
          <w:iCs w:val="0"/>
          <w:color w:val="auto"/>
          <w:spacing w:val="6"/>
          <w:sz w:val="24"/>
          <w:szCs w:val="24"/>
          <w:highlight w:val="none"/>
        </w:rPr>
        <w:t>，从业人员</w:t>
      </w:r>
      <w:r>
        <w:rPr>
          <w:rFonts w:hint="eastAsia" w:ascii="宋体" w:hAnsi="宋体" w:eastAsia="宋体" w:cs="宋体"/>
          <w:i w:val="0"/>
          <w:iCs w:val="0"/>
          <w:color w:val="auto"/>
          <w:spacing w:val="6"/>
          <w:sz w:val="24"/>
          <w:szCs w:val="24"/>
          <w:highlight w:val="none"/>
          <w:u w:val="single"/>
        </w:rPr>
        <w:t xml:space="preserve"> </w:t>
      </w:r>
      <w:r>
        <w:rPr>
          <w:rFonts w:hint="eastAsia" w:ascii="宋体" w:hAnsi="宋体" w:eastAsia="宋体" w:cs="宋体"/>
          <w:i w:val="0"/>
          <w:iCs w:val="0"/>
          <w:color w:val="auto"/>
          <w:spacing w:val="6"/>
          <w:sz w:val="24"/>
          <w:szCs w:val="24"/>
          <w:highlight w:val="none"/>
          <w:u w:val="single"/>
        </w:rPr>
        <w:tab/>
      </w:r>
      <w:r>
        <w:rPr>
          <w:rFonts w:hint="eastAsia" w:ascii="宋体" w:hAnsi="宋体" w:eastAsia="宋体" w:cs="宋体"/>
          <w:i w:val="0"/>
          <w:iCs w:val="0"/>
          <w:color w:val="auto"/>
          <w:spacing w:val="6"/>
          <w:sz w:val="24"/>
          <w:szCs w:val="24"/>
          <w:highlight w:val="none"/>
          <w:u w:val="single"/>
        </w:rPr>
        <w:t xml:space="preserve">  </w:t>
      </w:r>
      <w:r>
        <w:rPr>
          <w:rFonts w:hint="eastAsia" w:ascii="宋体" w:hAnsi="宋体" w:eastAsia="宋体" w:cs="宋体"/>
          <w:i w:val="0"/>
          <w:iCs w:val="0"/>
          <w:color w:val="auto"/>
          <w:spacing w:val="6"/>
          <w:sz w:val="24"/>
          <w:szCs w:val="24"/>
          <w:highlight w:val="none"/>
        </w:rPr>
        <w:t xml:space="preserve">人，营业收入为 </w:t>
      </w:r>
      <w:r>
        <w:rPr>
          <w:rFonts w:hint="eastAsia" w:ascii="宋体" w:hAnsi="宋体" w:eastAsia="宋体" w:cs="宋体"/>
          <w:i w:val="0"/>
          <w:iCs w:val="0"/>
          <w:color w:val="auto"/>
          <w:spacing w:val="6"/>
          <w:sz w:val="24"/>
          <w:szCs w:val="24"/>
          <w:highlight w:val="none"/>
          <w:u w:val="single"/>
        </w:rPr>
        <w:tab/>
      </w:r>
      <w:r>
        <w:rPr>
          <w:rFonts w:hint="eastAsia" w:ascii="宋体" w:hAnsi="宋体" w:eastAsia="宋体" w:cs="宋体"/>
          <w:i w:val="0"/>
          <w:iCs w:val="0"/>
          <w:color w:val="auto"/>
          <w:spacing w:val="6"/>
          <w:sz w:val="24"/>
          <w:szCs w:val="24"/>
          <w:highlight w:val="none"/>
        </w:rPr>
        <w:t>万元，资产总额为</w:t>
      </w:r>
      <w:r>
        <w:rPr>
          <w:rFonts w:hint="eastAsia" w:ascii="宋体" w:hAnsi="宋体" w:eastAsia="宋体" w:cs="宋体"/>
          <w:i w:val="0"/>
          <w:iCs w:val="0"/>
          <w:color w:val="auto"/>
          <w:spacing w:val="6"/>
          <w:sz w:val="24"/>
          <w:szCs w:val="24"/>
          <w:highlight w:val="none"/>
          <w:u w:val="single"/>
        </w:rPr>
        <w:t xml:space="preserve"> </w:t>
      </w:r>
      <w:r>
        <w:rPr>
          <w:rFonts w:hint="eastAsia" w:ascii="宋体" w:hAnsi="宋体" w:eastAsia="宋体" w:cs="宋体"/>
          <w:i w:val="0"/>
          <w:iCs w:val="0"/>
          <w:color w:val="auto"/>
          <w:spacing w:val="6"/>
          <w:sz w:val="24"/>
          <w:szCs w:val="24"/>
          <w:highlight w:val="none"/>
          <w:u w:val="single"/>
        </w:rPr>
        <w:tab/>
      </w:r>
      <w:r>
        <w:rPr>
          <w:rFonts w:hint="eastAsia" w:ascii="宋体" w:hAnsi="宋体" w:eastAsia="宋体" w:cs="宋体"/>
          <w:i w:val="0"/>
          <w:iCs w:val="0"/>
          <w:color w:val="auto"/>
          <w:spacing w:val="6"/>
          <w:sz w:val="24"/>
          <w:szCs w:val="24"/>
          <w:highlight w:val="none"/>
        </w:rPr>
        <w:t>万元，属于</w:t>
      </w:r>
      <w:r>
        <w:rPr>
          <w:rFonts w:hint="eastAsia" w:ascii="宋体" w:hAnsi="宋体" w:eastAsia="宋体" w:cs="宋体"/>
          <w:i w:val="0"/>
          <w:iCs w:val="0"/>
          <w:color w:val="auto"/>
          <w:spacing w:val="6"/>
          <w:sz w:val="24"/>
          <w:szCs w:val="24"/>
          <w:highlight w:val="none"/>
          <w:u w:val="single"/>
        </w:rPr>
        <w:t>（中型企业、小型企业、微型企业）</w:t>
      </w:r>
      <w:r>
        <w:rPr>
          <w:rFonts w:hint="eastAsia" w:ascii="宋体" w:hAnsi="宋体" w:eastAsia="宋体" w:cs="宋体"/>
          <w:i w:val="0"/>
          <w:iCs w:val="0"/>
          <w:color w:val="auto"/>
          <w:spacing w:val="6"/>
          <w:sz w:val="24"/>
          <w:szCs w:val="24"/>
          <w:highlight w:val="none"/>
        </w:rPr>
        <w:t>；</w:t>
      </w:r>
    </w:p>
    <w:p w14:paraId="68219812">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p>
    <w:p w14:paraId="1744B118">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以上企业，不属于大企业的分支机构，不存在控股股东为大企业的情形，也不存在与大企业的负责人为同一人的情形。</w:t>
      </w:r>
    </w:p>
    <w:p w14:paraId="5C906707">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p>
    <w:p w14:paraId="74BCAAC7">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企业名称（盖章）：</w:t>
      </w:r>
    </w:p>
    <w:p w14:paraId="3AC26358">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日</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期：</w:t>
      </w:r>
    </w:p>
    <w:p w14:paraId="180DB303">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备注：1.从业人员、营业收入、资产总额填报上一年度数据，无上一年度数据的新成立企业可不填报。</w:t>
      </w:r>
    </w:p>
    <w:p w14:paraId="5861D631">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 号）相关规定。</w:t>
      </w:r>
    </w:p>
    <w:p w14:paraId="2709EC95">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r>
    </w:p>
    <w:p w14:paraId="22E95CFF">
      <w:pPr>
        <w:pStyle w:val="10"/>
        <w:adjustRightInd w:val="0"/>
        <w:snapToGrid w:val="0"/>
        <w:spacing w:line="360" w:lineRule="auto"/>
        <w:jc w:val="both"/>
        <w:rPr>
          <w:rFonts w:hint="default" w:ascii="宋体" w:hAnsi="宋体" w:eastAsia="宋体" w:cs="宋体"/>
          <w:b/>
          <w:sz w:val="24"/>
          <w:szCs w:val="24"/>
          <w:highlight w:val="none"/>
          <w:lang w:val="en-US" w:eastAsia="zh-CN"/>
        </w:rPr>
      </w:pPr>
      <w:r>
        <w:rPr>
          <w:rFonts w:hint="eastAsia" w:ascii="宋体" w:hAnsi="宋体" w:eastAsia="宋体" w:cs="宋体"/>
          <w:b/>
          <w:color w:val="auto"/>
          <w:sz w:val="24"/>
          <w:szCs w:val="24"/>
          <w:highlight w:val="none"/>
        </w:rPr>
        <w:t>附件</w:t>
      </w:r>
      <w:r>
        <w:rPr>
          <w:rFonts w:hint="eastAsia" w:hAnsi="宋体" w:cs="宋体"/>
          <w:b/>
          <w:color w:val="auto"/>
          <w:sz w:val="24"/>
          <w:szCs w:val="24"/>
          <w:highlight w:val="none"/>
          <w:lang w:val="en-US" w:eastAsia="zh-CN"/>
        </w:rPr>
        <w:t>-8</w:t>
      </w:r>
    </w:p>
    <w:p w14:paraId="1270FBEF">
      <w:pPr>
        <w:bidi w:val="0"/>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残疾人福利性单位声明函</w:t>
      </w:r>
    </w:p>
    <w:p w14:paraId="2BD5D3A1">
      <w:pPr>
        <w:widowControl/>
        <w:spacing w:line="360" w:lineRule="auto"/>
        <w:ind w:firstLine="480" w:firstLineChars="200"/>
        <w:rPr>
          <w:rFonts w:hint="eastAsia" w:ascii="宋体" w:hAnsi="宋体" w:eastAsia="宋体" w:cs="宋体"/>
          <w:color w:val="auto"/>
          <w:sz w:val="24"/>
          <w:szCs w:val="24"/>
          <w:highlight w:val="none"/>
        </w:rPr>
      </w:pPr>
    </w:p>
    <w:p w14:paraId="6F4191D7">
      <w:pPr>
        <w:spacing w:line="460" w:lineRule="exact"/>
        <w:ind w:firstLine="504" w:firstLineChars="200"/>
        <w:rPr>
          <w:rFonts w:hint="eastAsia" w:ascii="宋体" w:hAnsi="宋体" w:eastAsia="宋体" w:cs="宋体"/>
          <w:spacing w:val="6"/>
          <w:szCs w:val="24"/>
        </w:rPr>
      </w:pPr>
      <w:r>
        <w:rPr>
          <w:rFonts w:hint="eastAsia" w:ascii="宋体" w:hAnsi="宋体" w:eastAsia="宋体" w:cs="宋体"/>
          <w:spacing w:val="6"/>
          <w:szCs w:val="24"/>
        </w:rPr>
        <w:t>本单位郑重声明，根据《财政部民政部中国残疾人联合会关于促进残疾人就业政府采购政策的通知》（财库</w:t>
      </w:r>
      <w:r>
        <w:rPr>
          <w:rFonts w:hint="eastAsia" w:ascii="宋体" w:hAnsi="宋体" w:eastAsia="宋体" w:cs="宋体"/>
          <w:szCs w:val="24"/>
        </w:rPr>
        <w:t>〔2017〕 141</w:t>
      </w:r>
      <w:r>
        <w:rPr>
          <w:rFonts w:hint="eastAsia" w:ascii="宋体" w:hAnsi="宋体" w:eastAsia="宋体" w:cs="宋体"/>
          <w:spacing w:val="6"/>
          <w:szCs w:val="24"/>
        </w:rPr>
        <w:t>号）的规定，本单位为符合条件的残疾人福利性单位，且本单位参加</w:t>
      </w:r>
      <w:r>
        <w:rPr>
          <w:rFonts w:hint="eastAsia" w:ascii="宋体" w:hAnsi="宋体" w:eastAsia="宋体" w:cs="宋体"/>
          <w:szCs w:val="24"/>
          <w:u w:val="single"/>
        </w:rPr>
        <w:t xml:space="preserve">    （采购人）      </w:t>
      </w:r>
      <w:r>
        <w:rPr>
          <w:rFonts w:hint="eastAsia" w:ascii="宋体" w:hAnsi="宋体" w:eastAsia="宋体" w:cs="宋体"/>
          <w:szCs w:val="24"/>
        </w:rPr>
        <w:t>单位的</w:t>
      </w:r>
      <w:r>
        <w:rPr>
          <w:rFonts w:hint="eastAsia" w:ascii="宋体" w:hAnsi="宋体" w:eastAsia="宋体" w:cs="宋体"/>
          <w:szCs w:val="24"/>
          <w:u w:val="single"/>
        </w:rPr>
        <w:t xml:space="preserve">  （项目名称）   </w:t>
      </w:r>
      <w:r>
        <w:rPr>
          <w:rFonts w:hint="eastAsia" w:ascii="宋体" w:hAnsi="宋体" w:eastAsia="宋体" w:cs="宋体"/>
          <w:spacing w:val="6"/>
          <w:szCs w:val="24"/>
        </w:rPr>
        <w:t>项目采购活动提供本单位制造的货物（由本单位承担工程/提供服务），或者提供其他残疾人福利性单位制造的货物（不包括使用非残疾人福利性单位注册商标的货物）。</w:t>
      </w:r>
    </w:p>
    <w:p w14:paraId="0FC9428F">
      <w:pPr>
        <w:spacing w:line="460" w:lineRule="exact"/>
        <w:ind w:firstLine="504" w:firstLineChars="200"/>
        <w:rPr>
          <w:rFonts w:hint="eastAsia" w:ascii="宋体" w:hAnsi="宋体" w:eastAsia="宋体" w:cs="宋体"/>
          <w:spacing w:val="6"/>
          <w:szCs w:val="24"/>
        </w:rPr>
      </w:pPr>
      <w:r>
        <w:rPr>
          <w:rFonts w:hint="eastAsia" w:ascii="宋体" w:hAnsi="宋体" w:eastAsia="宋体" w:cs="宋体"/>
          <w:spacing w:val="6"/>
          <w:szCs w:val="24"/>
        </w:rPr>
        <w:t>本单位对上述声明的真实性负责。如有虚假，将依法承担相应责任。</w:t>
      </w:r>
    </w:p>
    <w:p w14:paraId="273EFA68">
      <w:pPr>
        <w:spacing w:line="460" w:lineRule="exact"/>
        <w:ind w:firstLine="480" w:firstLineChars="200"/>
        <w:rPr>
          <w:rFonts w:hint="eastAsia" w:ascii="宋体" w:hAnsi="宋体" w:eastAsia="宋体" w:cs="宋体"/>
          <w:spacing w:val="6"/>
          <w:szCs w:val="24"/>
        </w:rPr>
      </w:pPr>
      <w:r>
        <w:rPr>
          <w:rFonts w:hint="eastAsia" w:ascii="宋体" w:hAnsi="宋体" w:eastAsia="宋体" w:cs="宋体"/>
          <w:szCs w:val="24"/>
        </w:rPr>
        <w:t>残疾人福利性单位投标时，应提供声明函（按给定格式）。未提供或未按给定格式提供声明函的，其所投产品中的残疾人福利性单位生产的产品将不能享受谈判文件规定的价格扣除，但不影响谈判响应文件的有效性。</w:t>
      </w:r>
    </w:p>
    <w:p w14:paraId="15FD8A96">
      <w:pPr>
        <w:ind w:firstLine="4759" w:firstLineChars="1983"/>
        <w:rPr>
          <w:rFonts w:hint="eastAsia" w:ascii="宋体" w:hAnsi="宋体" w:eastAsia="宋体" w:cs="宋体"/>
          <w:szCs w:val="24"/>
        </w:rPr>
      </w:pPr>
    </w:p>
    <w:p w14:paraId="230868F3">
      <w:pPr>
        <w:pStyle w:val="7"/>
        <w:rPr>
          <w:rFonts w:hint="eastAsia" w:ascii="宋体" w:hAnsi="宋体" w:eastAsia="宋体" w:cs="宋体"/>
          <w:szCs w:val="24"/>
        </w:rPr>
      </w:pPr>
    </w:p>
    <w:p w14:paraId="2E12DCBF">
      <w:pPr>
        <w:pStyle w:val="7"/>
        <w:rPr>
          <w:rFonts w:hint="eastAsia" w:ascii="宋体" w:hAnsi="宋体" w:eastAsia="宋体" w:cs="宋体"/>
          <w:szCs w:val="24"/>
        </w:rPr>
      </w:pPr>
    </w:p>
    <w:p w14:paraId="23B2E9B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单位名称：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盖单位章)</w:t>
      </w:r>
    </w:p>
    <w:p w14:paraId="1CDD0C21">
      <w:pPr>
        <w:widowControl/>
        <w:tabs>
          <w:tab w:val="left" w:pos="5670"/>
        </w:tabs>
        <w:spacing w:line="360" w:lineRule="auto"/>
        <w:ind w:firstLine="3840" w:firstLineChars="1600"/>
        <w:jc w:val="left"/>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日</w:t>
      </w:r>
    </w:p>
    <w:p w14:paraId="6FE30F59">
      <w:pPr>
        <w:pStyle w:val="37"/>
        <w:spacing w:line="360" w:lineRule="auto"/>
        <w:rPr>
          <w:rFonts w:hint="eastAsia" w:ascii="宋体" w:hAnsi="宋体" w:eastAsia="宋体" w:cs="宋体"/>
          <w:color w:val="auto"/>
          <w:sz w:val="24"/>
          <w:szCs w:val="24"/>
          <w:highlight w:val="none"/>
        </w:rPr>
      </w:pPr>
    </w:p>
    <w:p w14:paraId="7796E4E4">
      <w:pPr>
        <w:pStyle w:val="37"/>
        <w:spacing w:line="360" w:lineRule="auto"/>
        <w:rPr>
          <w:rFonts w:hint="eastAsia" w:ascii="宋体" w:hAnsi="宋体" w:eastAsia="宋体" w:cs="宋体"/>
          <w:color w:val="auto"/>
          <w:sz w:val="24"/>
          <w:szCs w:val="24"/>
          <w:highlight w:val="none"/>
          <w:shd w:val="clear" w:color="auto" w:fill="FFFFFF"/>
          <w:lang w:eastAsia="zh-CN"/>
        </w:rPr>
      </w:pPr>
    </w:p>
    <w:p w14:paraId="448D3AAB">
      <w:pPr>
        <w:spacing w:line="480" w:lineRule="exact"/>
        <w:rPr>
          <w:rFonts w:hint="eastAsia" w:ascii="宋体" w:hAnsi="宋体" w:eastAsia="宋体" w:cs="宋体"/>
          <w:b/>
          <w:color w:val="auto"/>
          <w:sz w:val="24"/>
          <w:highlight w:val="none"/>
        </w:rPr>
      </w:pPr>
      <w:r>
        <w:rPr>
          <w:rFonts w:hint="eastAsia" w:cs="宋体"/>
          <w:color w:val="000000"/>
          <w:sz w:val="24"/>
          <w:szCs w:val="24"/>
          <w:highlight w:val="none"/>
          <w:lang w:val="en-US" w:eastAsia="zh-CN"/>
        </w:rPr>
        <w:t>备注：</w:t>
      </w:r>
      <w:r>
        <w:rPr>
          <w:rFonts w:hint="eastAsia" w:ascii="宋体" w:hAnsi="宋体" w:eastAsia="宋体" w:cs="宋体"/>
          <w:color w:val="000000"/>
          <w:sz w:val="24"/>
          <w:szCs w:val="24"/>
          <w:highlight w:val="none"/>
          <w:lang w:val="en-US" w:eastAsia="zh-CN"/>
        </w:rPr>
        <w:t>非残疾人福利性单位，删除本格式即可。</w:t>
      </w:r>
      <w:r>
        <w:rPr>
          <w:rFonts w:hint="eastAsia" w:ascii="宋体" w:hAnsi="宋体" w:eastAsia="宋体" w:cs="宋体"/>
          <w:color w:val="auto"/>
          <w:sz w:val="24"/>
          <w:szCs w:val="24"/>
          <w:highlight w:val="none"/>
        </w:rPr>
        <w:br w:type="page"/>
      </w:r>
    </w:p>
    <w:p w14:paraId="2393E01C">
      <w:pPr>
        <w:pStyle w:val="10"/>
        <w:adjustRightInd w:val="0"/>
        <w:snapToGrid w:val="0"/>
        <w:spacing w:line="360" w:lineRule="auto"/>
        <w:jc w:val="both"/>
        <w:rPr>
          <w:rFonts w:hint="default" w:ascii="宋体" w:hAnsi="宋体" w:eastAsia="宋体" w:cs="宋体"/>
          <w:b/>
          <w:sz w:val="24"/>
          <w:szCs w:val="24"/>
          <w:highlight w:val="none"/>
          <w:lang w:val="en-US" w:eastAsia="zh-CN"/>
        </w:rPr>
      </w:pPr>
      <w:r>
        <w:rPr>
          <w:rFonts w:hint="eastAsia" w:ascii="宋体" w:hAnsi="宋体" w:eastAsia="宋体" w:cs="宋体"/>
          <w:b/>
          <w:color w:val="auto"/>
          <w:sz w:val="24"/>
          <w:szCs w:val="24"/>
          <w:highlight w:val="none"/>
        </w:rPr>
        <w:t>附件</w:t>
      </w:r>
      <w:r>
        <w:rPr>
          <w:rFonts w:hint="eastAsia" w:hAnsi="宋体" w:cs="宋体"/>
          <w:b/>
          <w:color w:val="auto"/>
          <w:sz w:val="24"/>
          <w:szCs w:val="24"/>
          <w:highlight w:val="none"/>
          <w:lang w:val="en-US" w:eastAsia="zh-CN"/>
        </w:rPr>
        <w:t>-9</w:t>
      </w:r>
    </w:p>
    <w:p w14:paraId="4B17D070">
      <w:pPr>
        <w:bidi w:val="0"/>
        <w:jc w:val="both"/>
        <w:rPr>
          <w:rFonts w:hint="eastAsia" w:ascii="宋体" w:hAnsi="宋体" w:eastAsia="宋体" w:cs="宋体"/>
          <w:b/>
          <w:bCs/>
          <w:color w:val="auto"/>
          <w:sz w:val="24"/>
          <w:szCs w:val="24"/>
          <w:highlight w:val="none"/>
        </w:rPr>
      </w:pPr>
    </w:p>
    <w:p w14:paraId="7AC9A2F4">
      <w:pPr>
        <w:bidi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监狱企业证明</w:t>
      </w:r>
      <w:r>
        <w:rPr>
          <w:rFonts w:hint="eastAsia" w:ascii="宋体" w:hAnsi="宋体" w:eastAsia="宋体" w:cs="宋体"/>
          <w:b/>
          <w:bCs/>
          <w:color w:val="auto"/>
          <w:sz w:val="24"/>
          <w:szCs w:val="24"/>
          <w:highlight w:val="none"/>
          <w:lang w:eastAsia="zh-CN"/>
        </w:rPr>
        <w:t>文件</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格式</w:t>
      </w:r>
      <w:r>
        <w:rPr>
          <w:rFonts w:hint="eastAsia" w:ascii="宋体" w:hAnsi="宋体" w:eastAsia="宋体" w:cs="宋体"/>
          <w:b/>
          <w:bCs/>
          <w:color w:val="auto"/>
          <w:sz w:val="24"/>
          <w:szCs w:val="24"/>
          <w:highlight w:val="none"/>
        </w:rPr>
        <w:t>）</w:t>
      </w:r>
    </w:p>
    <w:p w14:paraId="0F49FB83">
      <w:pPr>
        <w:widowControl/>
        <w:spacing w:line="360" w:lineRule="auto"/>
        <w:jc w:val="center"/>
        <w:rPr>
          <w:rFonts w:hint="eastAsia" w:ascii="宋体" w:hAnsi="宋体" w:eastAsia="宋体" w:cs="宋体"/>
          <w:b/>
          <w:color w:val="auto"/>
          <w:sz w:val="24"/>
          <w:szCs w:val="24"/>
          <w:highlight w:val="none"/>
        </w:rPr>
      </w:pPr>
    </w:p>
    <w:p w14:paraId="3F9AF611">
      <w:pPr>
        <w:spacing w:line="460" w:lineRule="exact"/>
        <w:ind w:firstLine="480" w:firstLineChars="200"/>
        <w:rPr>
          <w:rFonts w:hint="eastAsia" w:ascii="宋体" w:hAnsi="宋体" w:eastAsia="宋体" w:cs="宋体"/>
          <w:szCs w:val="24"/>
        </w:rPr>
      </w:pPr>
      <w:r>
        <w:rPr>
          <w:rFonts w:hint="eastAsia" w:ascii="宋体" w:hAnsi="宋体" w:eastAsia="宋体" w:cs="宋体"/>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084D67">
      <w:pPr>
        <w:spacing w:line="460" w:lineRule="exact"/>
        <w:ind w:firstLine="480" w:firstLineChars="200"/>
        <w:rPr>
          <w:rFonts w:hint="eastAsia" w:ascii="宋体" w:hAnsi="宋体" w:eastAsia="宋体" w:cs="宋体"/>
          <w:szCs w:val="24"/>
        </w:rPr>
      </w:pPr>
      <w:r>
        <w:rPr>
          <w:rFonts w:hint="eastAsia" w:ascii="宋体" w:hAnsi="宋体" w:eastAsia="宋体" w:cs="宋体"/>
          <w:szCs w:val="24"/>
        </w:rPr>
        <w:t>监狱企业参加政府采购活动时，应当提供由省级以上监狱管理局、戒毒管理局（含新疆生产建设兵团）出具的属于监狱企业的证明文件。</w:t>
      </w:r>
    </w:p>
    <w:p w14:paraId="72EE1891">
      <w:pPr>
        <w:spacing w:line="460" w:lineRule="exact"/>
        <w:ind w:firstLine="480" w:firstLineChars="200"/>
        <w:rPr>
          <w:rFonts w:hint="eastAsia" w:ascii="宋体" w:hAnsi="宋体" w:eastAsia="宋体" w:cs="宋体"/>
          <w:szCs w:val="24"/>
        </w:rPr>
      </w:pPr>
      <w:r>
        <w:rPr>
          <w:rFonts w:hint="eastAsia" w:ascii="宋体" w:hAnsi="宋体" w:eastAsia="宋体" w:cs="宋体"/>
          <w:szCs w:val="24"/>
        </w:rPr>
        <w:t>监狱企业投标时，应当提供由省级以上监狱管理局、戒毒管理局（含新疆生产建设兵团）出具的属于监狱企业的证明文件（格式不作要求）。未提供证明文件的不能享受谈判文件规定的价格扣除，但不影响谈判响应文件的有效性。</w:t>
      </w:r>
    </w:p>
    <w:p w14:paraId="2656811F">
      <w:pPr>
        <w:pStyle w:val="5"/>
        <w:spacing w:line="460" w:lineRule="exact"/>
        <w:ind w:firstLine="0" w:firstLineChars="0"/>
        <w:rPr>
          <w:rFonts w:hint="eastAsia" w:ascii="宋体" w:hAnsi="宋体" w:eastAsia="宋体" w:cs="宋体"/>
          <w:bCs/>
          <w:szCs w:val="24"/>
        </w:rPr>
      </w:pPr>
    </w:p>
    <w:p w14:paraId="2417192C">
      <w:pPr>
        <w:rPr>
          <w:rFonts w:hint="eastAsia" w:ascii="宋体" w:hAnsi="宋体" w:eastAsia="宋体" w:cs="宋体"/>
          <w:bCs/>
          <w:szCs w:val="24"/>
        </w:rPr>
      </w:pPr>
    </w:p>
    <w:p w14:paraId="0B2FBF3D">
      <w:pPr>
        <w:tabs>
          <w:tab w:val="left" w:pos="4860"/>
          <w:tab w:val="left" w:pos="8040"/>
          <w:tab w:val="left" w:pos="8160"/>
        </w:tabs>
        <w:spacing w:line="360" w:lineRule="auto"/>
        <w:ind w:left="480" w:leftChars="200" w:right="862" w:firstLine="3360" w:firstLineChars="140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单位名称（盖章）：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p>
    <w:p w14:paraId="5DC377D1">
      <w:pPr>
        <w:tabs>
          <w:tab w:val="left" w:pos="4860"/>
        </w:tabs>
        <w:spacing w:line="360" w:lineRule="auto"/>
        <w:ind w:left="480" w:leftChars="200" w:right="1560" w:firstLine="0" w:firstLineChars="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p>
    <w:p w14:paraId="00DD4466">
      <w:pPr>
        <w:ind w:firstLine="3780" w:firstLineChars="1575"/>
        <w:rPr>
          <w:rFonts w:hint="eastAsia" w:ascii="宋体" w:hAnsi="宋体" w:eastAsia="宋体" w:cs="宋体"/>
          <w:szCs w:val="24"/>
        </w:rPr>
      </w:pP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日</w:t>
      </w:r>
    </w:p>
    <w:p w14:paraId="2BC8DC0A">
      <w:pPr>
        <w:ind w:firstLine="3780" w:firstLineChars="1575"/>
        <w:rPr>
          <w:rFonts w:hint="eastAsia" w:ascii="宋体" w:hAnsi="宋体" w:eastAsia="宋体" w:cs="宋体"/>
          <w:szCs w:val="24"/>
        </w:rPr>
      </w:pPr>
    </w:p>
    <w:p w14:paraId="1EF934CF">
      <w:pPr>
        <w:widowControl/>
        <w:spacing w:line="360" w:lineRule="auto"/>
        <w:ind w:firstLine="480" w:firstLineChars="200"/>
        <w:rPr>
          <w:rFonts w:hint="eastAsia" w:ascii="宋体" w:hAnsi="宋体" w:eastAsia="宋体" w:cs="宋体"/>
          <w:color w:val="auto"/>
          <w:sz w:val="24"/>
          <w:szCs w:val="24"/>
          <w:highlight w:val="none"/>
        </w:rPr>
      </w:pPr>
    </w:p>
    <w:p w14:paraId="3E419E97">
      <w:pPr>
        <w:widowControl/>
        <w:spacing w:line="360" w:lineRule="auto"/>
        <w:ind w:firstLine="480" w:firstLineChars="200"/>
        <w:rPr>
          <w:rFonts w:hint="eastAsia" w:ascii="宋体" w:hAnsi="宋体" w:eastAsia="宋体" w:cs="宋体"/>
          <w:color w:val="auto"/>
          <w:sz w:val="24"/>
          <w:szCs w:val="24"/>
          <w:highlight w:val="none"/>
        </w:rPr>
      </w:pPr>
    </w:p>
    <w:p w14:paraId="7274C751">
      <w:pPr>
        <w:pStyle w:val="13"/>
        <w:tabs>
          <w:tab w:val="right" w:leader="dot" w:pos="9060"/>
        </w:tabs>
        <w:spacing w:line="360" w:lineRule="auto"/>
        <w:rPr>
          <w:rFonts w:hint="eastAsia" w:ascii="宋体" w:hAnsi="宋体" w:eastAsia="宋体" w:cs="宋体"/>
          <w:color w:val="auto"/>
          <w:sz w:val="24"/>
          <w:szCs w:val="24"/>
          <w:highlight w:val="none"/>
        </w:rPr>
      </w:pPr>
    </w:p>
    <w:p w14:paraId="0C6C00E6">
      <w:pPr>
        <w:snapToGrid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备注：</w:t>
      </w:r>
      <w:r>
        <w:rPr>
          <w:rFonts w:hint="eastAsia" w:ascii="宋体" w:hAnsi="宋体" w:eastAsia="宋体" w:cs="宋体"/>
          <w:color w:val="auto"/>
          <w:highlight w:val="none"/>
          <w:lang w:val="en-US" w:eastAsia="zh-CN"/>
        </w:rPr>
        <w:t>非监狱、戒毒企业，删除本格式即可。</w:t>
      </w:r>
    </w:p>
    <w:p w14:paraId="5E4B9747">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r>
    </w:p>
    <w:p w14:paraId="1DC6ED72">
      <w:pPr>
        <w:snapToGrid w:val="0"/>
        <w:spacing w:line="360" w:lineRule="auto"/>
        <w:ind w:left="0" w:leftChars="0" w:firstLine="0" w:firstLineChars="0"/>
        <w:jc w:val="center"/>
        <w:outlineLvl w:val="9"/>
        <w:rPr>
          <w:rFonts w:hint="eastAsia" w:ascii="宋体" w:hAnsi="宋体" w:eastAsia="宋体" w:cs="宋体"/>
          <w:color w:val="auto"/>
          <w:sz w:val="28"/>
          <w:szCs w:val="28"/>
          <w:highlight w:val="none"/>
        </w:rPr>
      </w:pPr>
      <w:r>
        <w:rPr>
          <w:rFonts w:hint="eastAsia" w:cs="宋体"/>
          <w:b/>
          <w:bCs/>
          <w:color w:val="auto"/>
          <w:sz w:val="32"/>
          <w:szCs w:val="32"/>
          <w:highlight w:val="none"/>
          <w:lang w:val="en-US" w:eastAsia="zh-CN"/>
        </w:rPr>
        <w:t>九</w:t>
      </w:r>
      <w:r>
        <w:rPr>
          <w:rFonts w:hint="eastAsia" w:ascii="宋体" w:hAnsi="宋体" w:eastAsia="宋体" w:cs="宋体"/>
          <w:b/>
          <w:bCs/>
          <w:color w:val="auto"/>
          <w:sz w:val="32"/>
          <w:szCs w:val="32"/>
          <w:highlight w:val="none"/>
          <w:lang w:val="zh-CN"/>
        </w:rPr>
        <w:t>、供应商承诺书</w:t>
      </w:r>
      <w:bookmarkEnd w:id="93"/>
      <w:bookmarkEnd w:id="94"/>
      <w:bookmarkEnd w:id="95"/>
    </w:p>
    <w:p w14:paraId="48A53DBE">
      <w:pPr>
        <w:pStyle w:val="4"/>
        <w:jc w:val="center"/>
        <w:rPr>
          <w:rFonts w:hint="eastAsia" w:ascii="宋体" w:hAnsi="宋体" w:eastAsia="宋体" w:cs="宋体"/>
          <w:b/>
          <w:bCs/>
          <w:color w:val="auto"/>
          <w:kern w:val="2"/>
          <w:sz w:val="28"/>
          <w:szCs w:val="28"/>
          <w:highlight w:val="none"/>
          <w:lang w:val="en-US" w:eastAsia="zh-CN" w:bidi="ar-SA"/>
        </w:rPr>
      </w:pPr>
      <w:r>
        <w:rPr>
          <w:rFonts w:hint="eastAsia" w:cs="宋体"/>
          <w:b/>
          <w:bCs/>
          <w:color w:val="auto"/>
          <w:kern w:val="2"/>
          <w:sz w:val="28"/>
          <w:szCs w:val="28"/>
          <w:highlight w:val="none"/>
          <w:lang w:val="en-US" w:eastAsia="zh-CN" w:bidi="ar-SA"/>
        </w:rPr>
        <w:t>9</w:t>
      </w:r>
      <w:r>
        <w:rPr>
          <w:rFonts w:hint="eastAsia" w:ascii="宋体" w:hAnsi="宋体" w:eastAsia="宋体" w:cs="宋体"/>
          <w:b/>
          <w:bCs/>
          <w:color w:val="auto"/>
          <w:kern w:val="2"/>
          <w:sz w:val="28"/>
          <w:szCs w:val="28"/>
          <w:highlight w:val="none"/>
          <w:lang w:val="en-US" w:eastAsia="zh-CN" w:bidi="ar-SA"/>
        </w:rPr>
        <w:t>.</w:t>
      </w:r>
      <w:r>
        <w:rPr>
          <w:rFonts w:hint="eastAsia" w:cs="宋体"/>
          <w:b/>
          <w:bCs/>
          <w:color w:val="auto"/>
          <w:kern w:val="2"/>
          <w:sz w:val="28"/>
          <w:szCs w:val="28"/>
          <w:highlight w:val="none"/>
          <w:lang w:val="en-US" w:eastAsia="zh-CN" w:bidi="ar-SA"/>
        </w:rPr>
        <w:t>1</w:t>
      </w:r>
      <w:r>
        <w:rPr>
          <w:rFonts w:hint="eastAsia" w:ascii="宋体" w:hAnsi="宋体" w:eastAsia="宋体" w:cs="宋体"/>
          <w:b/>
          <w:bCs/>
          <w:color w:val="auto"/>
          <w:kern w:val="2"/>
          <w:sz w:val="28"/>
          <w:szCs w:val="28"/>
          <w:highlight w:val="none"/>
          <w:lang w:val="en-US" w:eastAsia="zh-CN" w:bidi="ar-SA"/>
        </w:rPr>
        <w:t xml:space="preserve"> 陕西省政府采购供应商拒绝政府采购领域商业贿赂承诺书</w:t>
      </w:r>
    </w:p>
    <w:p w14:paraId="1B31C21E">
      <w:pPr>
        <w:widowControl/>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为响应党中央、国务院关于治理政府采购领域商业贿赂行为的号召，我公司在此庄严承诺：</w:t>
      </w:r>
    </w:p>
    <w:p w14:paraId="3F597301">
      <w:pPr>
        <w:widowControl/>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1、在参与政府采购活动中遵纪守法、诚信经营、公平竞标。</w:t>
      </w:r>
    </w:p>
    <w:p w14:paraId="55A92C9E">
      <w:pPr>
        <w:widowControl/>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2、不向政府采购人、采购代理机构和政府采购评审专家进行任何形式的商业贿赂以谋取交易机会。</w:t>
      </w:r>
    </w:p>
    <w:p w14:paraId="5C6A535A">
      <w:pPr>
        <w:widowControl/>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3、不向政府采购代理机构和采购人提供虚假资质文件或采用虚假应标方式参与政府采购市场竞争并谋取中标、成交。</w:t>
      </w:r>
    </w:p>
    <w:p w14:paraId="1EBA1CCA">
      <w:pPr>
        <w:widowControl/>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4、不采取“围标、陪标”等商业欺诈手段获得政府采购定单。</w:t>
      </w:r>
    </w:p>
    <w:p w14:paraId="29A2DD9D">
      <w:pPr>
        <w:widowControl/>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5、不采取不正当手段诋毁、排挤其他供应商。</w:t>
      </w:r>
    </w:p>
    <w:p w14:paraId="29FE75E5">
      <w:pPr>
        <w:widowControl/>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6、不在提供商品和服务时“偷梁换柱、以次充好”损害采购人的合法权益。</w:t>
      </w:r>
    </w:p>
    <w:p w14:paraId="6EDE42CA">
      <w:pPr>
        <w:widowControl/>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7、不与采购人、采购代理机构政府采购评审专家或其它供应商恶意串通，进行质疑和投诉，维护政府采购市场秩序。</w:t>
      </w:r>
    </w:p>
    <w:p w14:paraId="3252015C">
      <w:pPr>
        <w:widowControl/>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8、尊重和接受政府采购监督管理部门的监督和政府采购代理机构招标采购要求，承担因违约行为给采购人造成的损失。</w:t>
      </w:r>
    </w:p>
    <w:p w14:paraId="736BDE67">
      <w:pPr>
        <w:widowControl/>
        <w:spacing w:line="360" w:lineRule="auto"/>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9、不发生其他有悖于政府采购公开、公平、公正和诚信原则的行为。</w:t>
      </w:r>
    </w:p>
    <w:p w14:paraId="7ABD1C35">
      <w:pPr>
        <w:pStyle w:val="7"/>
        <w:rPr>
          <w:rFonts w:hint="eastAsia" w:ascii="宋体" w:hAnsi="宋体" w:eastAsia="宋体" w:cs="宋体"/>
          <w:lang w:eastAsia="zh-CN"/>
        </w:rPr>
      </w:pPr>
    </w:p>
    <w:p w14:paraId="1A00C3D7">
      <w:pPr>
        <w:rPr>
          <w:rFonts w:hint="eastAsia"/>
          <w:lang w:eastAsia="zh-CN"/>
        </w:rPr>
      </w:pPr>
    </w:p>
    <w:p w14:paraId="42847373">
      <w:pPr>
        <w:widowControl/>
        <w:spacing w:line="360" w:lineRule="auto"/>
        <w:ind w:left="408" w:leftChars="17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承诺单位：</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（盖章）</w:t>
      </w:r>
    </w:p>
    <w:p w14:paraId="77D6E410">
      <w:pPr>
        <w:widowControl/>
        <w:spacing w:line="360" w:lineRule="auto"/>
        <w:ind w:left="408" w:leftChars="170"/>
        <w:rPr>
          <w:rFonts w:hint="eastAsia" w:ascii="宋体" w:hAnsi="宋体" w:eastAsia="宋体" w:cs="宋体"/>
          <w:color w:val="auto"/>
          <w:kern w:val="0"/>
          <w:sz w:val="24"/>
          <w:szCs w:val="24"/>
          <w:lang w:eastAsia="zh-CN"/>
        </w:rPr>
      </w:pPr>
      <w:r>
        <w:rPr>
          <w:rFonts w:hint="eastAsia" w:ascii="宋体" w:hAnsi="宋体" w:eastAsia="宋体" w:cs="宋体"/>
          <w:kern w:val="0"/>
          <w:sz w:val="24"/>
          <w:highlight w:val="none"/>
        </w:rPr>
        <w:t>法定代表人或授权代理人</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highlight w:val="none"/>
        </w:rPr>
        <w:t>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kern w:val="0"/>
          <w:sz w:val="24"/>
          <w:szCs w:val="24"/>
        </w:rPr>
        <w:t>）</w:t>
      </w:r>
    </w:p>
    <w:p w14:paraId="6AB30C53">
      <w:pPr>
        <w:widowControl/>
        <w:spacing w:line="360" w:lineRule="auto"/>
        <w:ind w:left="408" w:leftChars="170"/>
        <w:rPr>
          <w:rFonts w:hint="eastAsia" w:ascii="宋体" w:hAnsi="宋体" w:eastAsia="宋体" w:cs="宋体"/>
          <w:color w:val="auto"/>
          <w:kern w:val="0"/>
          <w:sz w:val="24"/>
          <w:szCs w:val="24"/>
          <w:u w:val="single"/>
          <w:lang w:val="en-US"/>
        </w:rPr>
      </w:pPr>
      <w:r>
        <w:rPr>
          <w:rFonts w:hint="eastAsia" w:ascii="宋体" w:hAnsi="宋体" w:eastAsia="宋体" w:cs="宋体"/>
          <w:color w:val="auto"/>
          <w:kern w:val="0"/>
          <w:sz w:val="24"/>
          <w:szCs w:val="24"/>
        </w:rPr>
        <w:t>地</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址：</w:t>
      </w:r>
      <w:r>
        <w:rPr>
          <w:rFonts w:hint="eastAsia" w:ascii="宋体" w:hAnsi="宋体" w:eastAsia="宋体" w:cs="宋体"/>
          <w:color w:val="auto"/>
          <w:kern w:val="0"/>
          <w:sz w:val="24"/>
          <w:szCs w:val="24"/>
          <w:u w:val="single"/>
          <w:lang w:val="en-US" w:eastAsia="zh-CN"/>
        </w:rPr>
        <w:t xml:space="preserve">                        </w:t>
      </w:r>
    </w:p>
    <w:p w14:paraId="3712C75B">
      <w:pPr>
        <w:widowControl/>
        <w:spacing w:line="360" w:lineRule="auto"/>
        <w:ind w:left="408" w:leftChars="170"/>
        <w:rPr>
          <w:rFonts w:hint="eastAsia" w:ascii="宋体" w:hAnsi="宋体" w:eastAsia="宋体" w:cs="宋体"/>
          <w:color w:val="auto"/>
          <w:kern w:val="0"/>
          <w:sz w:val="24"/>
          <w:szCs w:val="24"/>
          <w:u w:val="single"/>
          <w:lang w:eastAsia="zh-CN"/>
        </w:rPr>
      </w:pPr>
      <w:r>
        <w:rPr>
          <w:rFonts w:hint="eastAsia" w:ascii="宋体" w:hAnsi="宋体" w:eastAsia="宋体" w:cs="宋体"/>
          <w:color w:val="auto"/>
          <w:kern w:val="0"/>
          <w:sz w:val="24"/>
          <w:szCs w:val="24"/>
        </w:rPr>
        <w:t>邮</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编：</w:t>
      </w:r>
      <w:r>
        <w:rPr>
          <w:rFonts w:hint="eastAsia" w:ascii="宋体" w:hAnsi="宋体" w:eastAsia="宋体" w:cs="宋体"/>
          <w:color w:val="auto"/>
          <w:kern w:val="0"/>
          <w:sz w:val="24"/>
          <w:szCs w:val="24"/>
          <w:u w:val="single"/>
        </w:rPr>
        <w:t xml:space="preserve">                        </w:t>
      </w:r>
    </w:p>
    <w:p w14:paraId="45997240">
      <w:pPr>
        <w:widowControl/>
        <w:spacing w:line="360" w:lineRule="auto"/>
        <w:ind w:left="408" w:leftChars="170"/>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kern w:val="0"/>
          <w:sz w:val="24"/>
          <w:szCs w:val="24"/>
        </w:rPr>
        <w:t>电</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话：</w:t>
      </w:r>
      <w:r>
        <w:rPr>
          <w:rFonts w:hint="eastAsia" w:ascii="宋体" w:hAnsi="宋体" w:eastAsia="宋体" w:cs="宋体"/>
          <w:color w:val="auto"/>
          <w:kern w:val="0"/>
          <w:sz w:val="24"/>
          <w:szCs w:val="24"/>
          <w:u w:val="single"/>
          <w:lang w:val="en-US" w:eastAsia="zh-CN"/>
        </w:rPr>
        <w:t xml:space="preserve">                        </w:t>
      </w:r>
    </w:p>
    <w:p w14:paraId="3795D0E8">
      <w:pPr>
        <w:widowControl/>
        <w:spacing w:line="360" w:lineRule="auto"/>
        <w:ind w:left="408" w:leftChars="170" w:firstLine="1920" w:firstLineChars="8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             年</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月</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日</w:t>
      </w:r>
    </w:p>
    <w:p w14:paraId="3BB8681A">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br w:type="page"/>
      </w:r>
    </w:p>
    <w:p w14:paraId="656A053F">
      <w:pPr>
        <w:pStyle w:val="4"/>
        <w:spacing w:line="240" w:lineRule="auto"/>
        <w:jc w:val="center"/>
        <w:rPr>
          <w:rFonts w:hint="eastAsia" w:ascii="宋体" w:hAnsi="宋体" w:eastAsia="宋体" w:cs="宋体"/>
          <w:b/>
          <w:bCs/>
          <w:color w:val="auto"/>
          <w:kern w:val="2"/>
          <w:sz w:val="28"/>
          <w:szCs w:val="28"/>
          <w:highlight w:val="none"/>
          <w:lang w:val="en-US" w:eastAsia="zh-CN" w:bidi="ar-SA"/>
        </w:rPr>
      </w:pPr>
      <w:r>
        <w:rPr>
          <w:rFonts w:hint="eastAsia" w:cs="宋体"/>
          <w:b/>
          <w:bCs/>
          <w:color w:val="auto"/>
          <w:kern w:val="2"/>
          <w:sz w:val="28"/>
          <w:szCs w:val="28"/>
          <w:highlight w:val="none"/>
          <w:lang w:val="en-US" w:eastAsia="zh-CN" w:bidi="ar-SA"/>
        </w:rPr>
        <w:t>9</w:t>
      </w:r>
      <w:r>
        <w:rPr>
          <w:rFonts w:hint="eastAsia" w:ascii="宋体" w:hAnsi="宋体" w:eastAsia="宋体" w:cs="宋体"/>
          <w:b/>
          <w:bCs/>
          <w:color w:val="auto"/>
          <w:kern w:val="2"/>
          <w:sz w:val="28"/>
          <w:szCs w:val="28"/>
          <w:highlight w:val="none"/>
          <w:lang w:val="en-US" w:eastAsia="zh-CN" w:bidi="ar-SA"/>
        </w:rPr>
        <w:t>.</w:t>
      </w:r>
      <w:r>
        <w:rPr>
          <w:rFonts w:hint="eastAsia" w:cs="宋体"/>
          <w:b/>
          <w:bCs/>
          <w:color w:val="auto"/>
          <w:kern w:val="2"/>
          <w:sz w:val="28"/>
          <w:szCs w:val="28"/>
          <w:highlight w:val="none"/>
          <w:lang w:val="en-US" w:eastAsia="zh-CN" w:bidi="ar-SA"/>
        </w:rPr>
        <w:t>2</w:t>
      </w:r>
      <w:r>
        <w:rPr>
          <w:rFonts w:hint="eastAsia" w:ascii="宋体" w:hAnsi="宋体" w:eastAsia="宋体" w:cs="宋体"/>
          <w:b/>
          <w:bCs/>
          <w:color w:val="auto"/>
          <w:kern w:val="2"/>
          <w:sz w:val="28"/>
          <w:szCs w:val="28"/>
          <w:highlight w:val="none"/>
          <w:lang w:val="en-US" w:eastAsia="zh-CN" w:bidi="ar-SA"/>
        </w:rPr>
        <w:t xml:space="preserve"> 宝鸡市政府采购供应商诚信承诺书</w:t>
      </w:r>
    </w:p>
    <w:p w14:paraId="3C35E1E1">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（采购人或采购代理机构名称）</w:t>
      </w:r>
    </w:p>
    <w:p w14:paraId="0B339CB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（供应商名称）自愿参加贵单位组织的编号为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（采购项目编号）的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（采购项目名称）的政府采购活动，我方已知悉并理解本项目采购文件的各项要求。为贯彻公开、公平、公正和诚实信用的政府采购原则，共同维护宝鸡市政府采购市场良好秩序，我方郑重声明和承诺如下：</w:t>
      </w:r>
    </w:p>
    <w:p w14:paraId="521558E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一、在参加本次政府采购活动中严格遵守《中国人民共和国政府采购法》等法律、法规、规章及宝鸡市有关规定。</w:t>
      </w:r>
    </w:p>
    <w:p w14:paraId="288C41D1">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二、我方郑重声明，在参加本次政府采购活动前三年内，无因违法经营受到刑事处罚或者责令停产停业、吊销许可证或者执照、较大数额罚款等重大违法记录。</w:t>
      </w:r>
    </w:p>
    <w:p w14:paraId="5D966B8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我方同时声明，在参加本次政府采购活动前，未被列入失信被执行人、</w:t>
      </w:r>
      <w:r>
        <w:rPr>
          <w:rFonts w:hint="eastAsia" w:ascii="宋体" w:hAnsi="宋体" w:eastAsia="宋体" w:cs="宋体"/>
          <w:color w:val="auto"/>
          <w:sz w:val="24"/>
          <w:szCs w:val="24"/>
          <w:lang w:eastAsia="zh-CN"/>
        </w:rPr>
        <w:t>重大税收违法失信主体</w:t>
      </w:r>
      <w:r>
        <w:rPr>
          <w:rFonts w:hint="eastAsia" w:ascii="宋体" w:hAnsi="宋体" w:eastAsia="宋体" w:cs="宋体"/>
          <w:color w:val="auto"/>
          <w:sz w:val="24"/>
          <w:szCs w:val="24"/>
        </w:rPr>
        <w:t>、政府采购严重违法失信行为记录名单。</w:t>
      </w:r>
    </w:p>
    <w:p w14:paraId="4FF063F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我方对以上声明的真实性负责，接受采购人、采购代理机构根据相关政策规定进行的信用记录查询。如发现以上声明不实，我方承担相应后果。</w:t>
      </w:r>
    </w:p>
    <w:p w14:paraId="2C0EBFA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三、我方郑重承诺，在参加本次政府采购活动中：</w:t>
      </w:r>
    </w:p>
    <w:p w14:paraId="577A816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（1）不向采购人、采购代理机构和评审专家提供任何形式的商业贿赂或者提供其他不正当利益。对索取或接受商业贿赂的单位和个人，及时向财政部门和监察机关举报；</w:t>
      </w:r>
    </w:p>
    <w:p w14:paraId="090BB89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（2）不与其它供应商串通采取围标、陪标等商业欺诈手段谋取中标（成交）；</w:t>
      </w:r>
    </w:p>
    <w:p w14:paraId="7496EDC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（3）不出借或借用资质；</w:t>
      </w:r>
    </w:p>
    <w:p w14:paraId="6F0B0FF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（4）不与采购人、采购代理机构、评审专家恶意串通；</w:t>
      </w:r>
    </w:p>
    <w:p w14:paraId="635D762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（5）不采取不正当手段诋毁、排挤其他供应商；</w:t>
      </w:r>
    </w:p>
    <w:p w14:paraId="514708AE">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（6）不以虚假材料谋取中标（成交）；</w:t>
      </w:r>
    </w:p>
    <w:p w14:paraId="0D829DC1">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（7）不以低于成本价或恶意低价竞争；</w:t>
      </w:r>
    </w:p>
    <w:p w14:paraId="149961AB">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（8）不与采购人在招标采购过程中进行协商磋商；</w:t>
      </w:r>
    </w:p>
    <w:p w14:paraId="12694873">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（9）中标或者成交后不得提供假冒伪劣产品；</w:t>
      </w:r>
    </w:p>
    <w:p w14:paraId="46D78F1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（10）中标或者成交后非因不可抗力不得变更投标（响应）文件中承诺的项目管理实施人员；</w:t>
      </w:r>
    </w:p>
    <w:p w14:paraId="07240C04">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（11）中标或者成交后无正当理由不得拒不与采购人签订政府采购合同；</w:t>
      </w:r>
    </w:p>
    <w:p w14:paraId="103046D0">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（12）不得有未按照采购文件确定的事项与采购人签订政府采购合同，或者与采购人另行订立背离合同实质性内容协议的行为；</w:t>
      </w:r>
    </w:p>
    <w:p w14:paraId="6DF438B0">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（13）不转包或违法分包政府采购合同，不擅自变更、中止或者终止政府采购合同；</w:t>
      </w:r>
    </w:p>
    <w:p w14:paraId="28A7FD7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（14）不捏造事实、提供虚假材料或者以非法手段取得证明材料进行质疑、投诉；</w:t>
      </w:r>
    </w:p>
    <w:p w14:paraId="0DDCD069">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（15）不得有拒绝有关部门监督检查或者提供虚假情况的行为；</w:t>
      </w:r>
    </w:p>
    <w:p w14:paraId="745C0D54">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（16）不得有其他违反国家法律法规和规章要求的违法犯罪或者失信行为。</w:t>
      </w:r>
    </w:p>
    <w:p w14:paraId="496A4F0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四、如有违反以上声明或者承诺之一情形的，我方知悉并接受采购人、采购代理机构和政府采购监督管理部门等政府职能部门将采取以下一种或几种方式追究我方责任：</w:t>
      </w:r>
    </w:p>
    <w:p w14:paraId="032A1D8B">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1、投标（响应）无效；</w:t>
      </w:r>
    </w:p>
    <w:p w14:paraId="06FB653C">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2、不予退还</w:t>
      </w:r>
      <w:r>
        <w:rPr>
          <w:rFonts w:hint="eastAsia" w:ascii="宋体" w:hAnsi="宋体" w:eastAsia="宋体" w:cs="宋体"/>
          <w:color w:val="auto"/>
          <w:sz w:val="24"/>
          <w:szCs w:val="24"/>
          <w:lang w:eastAsia="zh-CN"/>
        </w:rPr>
        <w:t>磋商保证金</w:t>
      </w:r>
      <w:r>
        <w:rPr>
          <w:rFonts w:hint="eastAsia" w:ascii="宋体" w:hAnsi="宋体" w:eastAsia="宋体" w:cs="宋体"/>
          <w:color w:val="auto"/>
          <w:sz w:val="24"/>
          <w:szCs w:val="24"/>
        </w:rPr>
        <w:t>或者履约保证金；</w:t>
      </w:r>
    </w:p>
    <w:p w14:paraId="30A8202B">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3、约谈法人代表或者主要负责人，责令整改；</w:t>
      </w:r>
    </w:p>
    <w:p w14:paraId="36034BCE">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4、中标（成交）无效；</w:t>
      </w:r>
    </w:p>
    <w:p w14:paraId="66B2CF91">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5、处以采购金额千分之五以上千分之十以下的罚款，列入不良行为记录名单，在一至三年内禁止参加政府采购活动；</w:t>
      </w:r>
    </w:p>
    <w:p w14:paraId="2D9A18D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6、没收违法得所得；</w:t>
      </w:r>
    </w:p>
    <w:p w14:paraId="7F50FA70">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7、吊销营业执照；</w:t>
      </w:r>
    </w:p>
    <w:p w14:paraId="3D3B1A82">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8、政府相关部门的联合惩戒措施；</w:t>
      </w:r>
    </w:p>
    <w:p w14:paraId="51F6DB5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9、追究民事责任；</w:t>
      </w:r>
    </w:p>
    <w:p w14:paraId="3E8257D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10、追究刑事责任；</w:t>
      </w:r>
    </w:p>
    <w:p w14:paraId="22C59D9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11、法律法规规定的其他处理处罚措施。</w:t>
      </w:r>
    </w:p>
    <w:p w14:paraId="461F3C0D">
      <w:pPr>
        <w:keepNext w:val="0"/>
        <w:keepLines w:val="0"/>
        <w:pageBreakBefore w:val="0"/>
        <w:widowControl w:val="0"/>
        <w:kinsoku/>
        <w:wordWrap/>
        <w:overflowPunct/>
        <w:topLinePunct w:val="0"/>
        <w:autoSpaceDE/>
        <w:autoSpaceDN/>
        <w:bidi w:val="0"/>
        <w:adjustRightInd/>
        <w:snapToGrid/>
        <w:spacing w:line="336" w:lineRule="auto"/>
        <w:ind w:firstLine="496"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4"/>
          <w:sz w:val="24"/>
          <w:highlight w:val="none"/>
          <w:lang w:val="en-US" w:eastAsia="zh-CN"/>
        </w:rPr>
        <w:t>供应商</w:t>
      </w:r>
      <w:r>
        <w:rPr>
          <w:rFonts w:hint="eastAsia" w:ascii="宋体" w:hAnsi="宋体" w:eastAsia="宋体" w:cs="宋体"/>
          <w:color w:val="auto"/>
          <w:spacing w:val="4"/>
          <w:sz w:val="24"/>
          <w:highlight w:val="none"/>
        </w:rPr>
        <w:t>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（公章）</w:t>
      </w:r>
    </w:p>
    <w:p w14:paraId="2B078B7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w:t>
      </w:r>
      <w:r>
        <w:rPr>
          <w:rFonts w:hint="eastAsia" w:ascii="宋体" w:hAnsi="宋体" w:eastAsia="宋体" w:cs="宋体"/>
          <w:color w:val="auto"/>
          <w:sz w:val="24"/>
          <w:szCs w:val="24"/>
          <w:lang w:val="en-US" w:eastAsia="zh-CN"/>
        </w:rPr>
        <w:t>授权代理人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kern w:val="0"/>
          <w:sz w:val="24"/>
          <w:szCs w:val="24"/>
          <w:highlight w:val="none"/>
        </w:rPr>
        <w:t>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sz w:val="24"/>
          <w:szCs w:val="24"/>
        </w:rPr>
        <w:t>）</w:t>
      </w:r>
    </w:p>
    <w:p w14:paraId="0538FA01">
      <w:pPr>
        <w:keepNext w:val="0"/>
        <w:keepLines w:val="0"/>
        <w:pageBreakBefore w:val="0"/>
        <w:widowControl w:val="0"/>
        <w:kinsoku/>
        <w:wordWrap/>
        <w:overflowPunct/>
        <w:topLinePunct w:val="0"/>
        <w:autoSpaceDE/>
        <w:autoSpaceDN/>
        <w:bidi w:val="0"/>
        <w:adjustRightInd/>
        <w:snapToGrid/>
        <w:spacing w:line="336" w:lineRule="auto"/>
        <w:ind w:firstLine="4320" w:firstLineChars="1800"/>
        <w:textAlignment w:val="auto"/>
        <w:rPr>
          <w:rFonts w:hint="eastAsia" w:ascii="宋体" w:hAnsi="宋体" w:eastAsia="宋体" w:cs="宋体"/>
          <w:b/>
          <w:bCs/>
          <w:color w:val="auto"/>
          <w:sz w:val="36"/>
          <w:szCs w:val="36"/>
        </w:rPr>
      </w:pPr>
      <w:r>
        <w:rPr>
          <w:rFonts w:hint="eastAsia" w:ascii="宋体" w:hAnsi="宋体" w:eastAsia="宋体" w:cs="宋体"/>
          <w:color w:val="auto"/>
          <w:sz w:val="24"/>
          <w:szCs w:val="24"/>
        </w:rPr>
        <w:t>年   月   日</w:t>
      </w:r>
    </w:p>
    <w:p w14:paraId="4A585A7F">
      <w:pPr>
        <w:rPr>
          <w:rFonts w:hint="eastAsia" w:ascii="宋体" w:hAnsi="宋体" w:eastAsia="宋体" w:cs="宋体"/>
          <w:b/>
          <w:bCs/>
          <w:color w:val="auto"/>
          <w:sz w:val="32"/>
          <w:szCs w:val="32"/>
          <w:highlight w:val="none"/>
          <w:lang w:val="en-US" w:eastAsia="zh-CN"/>
        </w:rPr>
      </w:pPr>
      <w:bookmarkStart w:id="100" w:name="_Toc24693"/>
      <w:r>
        <w:rPr>
          <w:rFonts w:hint="eastAsia" w:ascii="宋体" w:hAnsi="宋体" w:eastAsia="宋体" w:cs="宋体"/>
          <w:b/>
          <w:bCs/>
          <w:color w:val="auto"/>
          <w:sz w:val="32"/>
          <w:szCs w:val="32"/>
          <w:highlight w:val="none"/>
          <w:lang w:val="en-US" w:eastAsia="zh-CN"/>
        </w:rPr>
        <w:br w:type="page"/>
      </w:r>
    </w:p>
    <w:p w14:paraId="4FC0A27C">
      <w:pPr>
        <w:snapToGrid w:val="0"/>
        <w:spacing w:line="360" w:lineRule="auto"/>
        <w:jc w:val="center"/>
        <w:outlineLvl w:val="9"/>
        <w:rPr>
          <w:rFonts w:hint="eastAsia" w:ascii="宋体" w:hAnsi="宋体" w:eastAsia="宋体" w:cs="宋体"/>
          <w:b/>
          <w:bCs/>
          <w:color w:val="auto"/>
          <w:sz w:val="32"/>
          <w:szCs w:val="32"/>
          <w:highlight w:val="none"/>
          <w:lang w:val="en-US" w:eastAsia="zh-CN"/>
        </w:rPr>
      </w:pPr>
      <w:r>
        <w:rPr>
          <w:rFonts w:hint="eastAsia" w:cs="宋体"/>
          <w:b/>
          <w:bCs/>
          <w:color w:val="auto"/>
          <w:sz w:val="32"/>
          <w:szCs w:val="32"/>
          <w:highlight w:val="none"/>
          <w:lang w:val="en-US" w:eastAsia="zh-CN"/>
        </w:rPr>
        <w:t>十</w:t>
      </w:r>
      <w:r>
        <w:rPr>
          <w:rFonts w:hint="eastAsia" w:ascii="宋体" w:hAnsi="宋体" w:eastAsia="宋体" w:cs="宋体"/>
          <w:b/>
          <w:bCs/>
          <w:color w:val="auto"/>
          <w:sz w:val="32"/>
          <w:szCs w:val="32"/>
          <w:highlight w:val="none"/>
          <w:lang w:val="en-US" w:eastAsia="zh-CN"/>
        </w:rPr>
        <w:t>、供应商认为有必要说明的事宜（若有）</w:t>
      </w:r>
      <w:bookmarkEnd w:id="100"/>
    </w:p>
    <w:p w14:paraId="43C03F4A">
      <w:pPr>
        <w:widowControl/>
        <w:spacing w:line="480" w:lineRule="exact"/>
        <w:rPr>
          <w:rFonts w:hint="eastAsia" w:ascii="宋体" w:hAnsi="宋体" w:eastAsia="宋体" w:cs="宋体"/>
          <w:b/>
          <w:bCs/>
          <w:color w:val="auto"/>
          <w:sz w:val="24"/>
          <w:szCs w:val="24"/>
          <w:highlight w:val="none"/>
          <w:lang w:val="zh-CN" w:eastAsia="zh-CN"/>
        </w:rPr>
      </w:pPr>
    </w:p>
    <w:p w14:paraId="03624B78">
      <w:pPr>
        <w:widowControl/>
        <w:spacing w:line="480" w:lineRule="exact"/>
        <w:rPr>
          <w:rFonts w:hint="eastAsia" w:ascii="宋体" w:hAnsi="宋体" w:eastAsia="宋体" w:cs="宋体"/>
          <w:b/>
          <w:bCs/>
          <w:color w:val="auto"/>
          <w:sz w:val="24"/>
          <w:szCs w:val="24"/>
          <w:highlight w:val="none"/>
          <w:lang w:val="zh-CN" w:eastAsia="zh-CN"/>
        </w:rPr>
      </w:pPr>
    </w:p>
    <w:p w14:paraId="29C3B9D3">
      <w:pPr>
        <w:widowControl/>
        <w:spacing w:line="480" w:lineRule="exact"/>
        <w:jc w:val="center"/>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en-US" w:eastAsia="zh-CN"/>
        </w:rPr>
        <w:t>格式自拟</w:t>
      </w:r>
      <w:r>
        <w:rPr>
          <w:rFonts w:hint="eastAsia" w:ascii="宋体" w:hAnsi="宋体" w:eastAsia="宋体" w:cs="宋体"/>
          <w:b/>
          <w:bCs/>
          <w:color w:val="auto"/>
          <w:sz w:val="24"/>
          <w:szCs w:val="24"/>
          <w:highlight w:val="none"/>
          <w:lang w:val="zh-CN" w:eastAsia="zh-CN"/>
        </w:rPr>
        <w:t>）</w:t>
      </w:r>
    </w:p>
    <w:p w14:paraId="30C3E60C">
      <w:pPr>
        <w:widowControl/>
        <w:spacing w:line="480" w:lineRule="exact"/>
        <w:jc w:val="center"/>
        <w:rPr>
          <w:rFonts w:hint="eastAsia" w:ascii="宋体" w:hAnsi="宋体" w:eastAsia="宋体" w:cs="宋体"/>
          <w:b/>
          <w:bCs/>
          <w:color w:val="auto"/>
          <w:sz w:val="24"/>
          <w:szCs w:val="24"/>
          <w:highlight w:val="none"/>
          <w:lang w:val="zh-CN" w:eastAsia="zh-CN"/>
        </w:rPr>
      </w:pPr>
    </w:p>
    <w:bookmarkEnd w:id="96"/>
    <w:bookmarkEnd w:id="97"/>
    <w:bookmarkEnd w:id="98"/>
    <w:bookmarkEnd w:id="99"/>
    <w:p w14:paraId="5F2E55AB">
      <w:pPr>
        <w:snapToGrid w:val="0"/>
        <w:spacing w:line="360" w:lineRule="auto"/>
        <w:rPr>
          <w:rFonts w:hint="eastAsia" w:ascii="宋体" w:hAnsi="宋体" w:eastAsia="宋体" w:cs="宋体"/>
          <w:color w:val="auto"/>
          <w:highlight w:val="none"/>
        </w:rPr>
      </w:pPr>
    </w:p>
    <w:bookmarkEnd w:id="83"/>
    <w:bookmarkEnd w:id="84"/>
    <w:p w14:paraId="1545E252">
      <w:pPr>
        <w:spacing w:line="480" w:lineRule="exact"/>
        <w:rPr>
          <w:rFonts w:hint="eastAsia" w:ascii="宋体" w:hAnsi="宋体" w:eastAsia="宋体" w:cs="宋体"/>
          <w:color w:val="auto"/>
          <w:sz w:val="24"/>
          <w:highlight w:val="none"/>
        </w:rPr>
      </w:pPr>
    </w:p>
    <w:sectPr>
      <w:footerReference r:id="rId20" w:type="default"/>
      <w:pgSz w:w="11905" w:h="16838"/>
      <w:pgMar w:top="1100" w:right="1417" w:bottom="1140" w:left="1395" w:header="884" w:footer="896" w:gutter="0"/>
      <w:pgNumType w:fmt="decimal"/>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书宋简体">
    <w:altName w:val="黑体"/>
    <w:panose1 w:val="00000000000000000000"/>
    <w:charset w:val="86"/>
    <w:family w:val="script"/>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C5451">
    <w:pPr>
      <w:spacing w:line="280" w:lineRule="exact"/>
      <w:jc w:val="left"/>
      <w:rPr>
        <w:rFonts w:hint="eastAsia" w:ascii="宋体" w:hAnsi="宋体"/>
        <w:b/>
        <w:sz w:val="18"/>
        <w:szCs w:val="18"/>
      </w:rPr>
    </w:pPr>
  </w:p>
  <w:p w14:paraId="4DCA021D">
    <w:pPr>
      <w:spacing w:line="280" w:lineRule="exact"/>
      <w:rPr>
        <w:rFonts w:hint="eastAsia" w:ascii="宋体" w:hAnsi="宋体"/>
        <w:b/>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B1992">
    <w:pPr>
      <w:pStyle w:val="11"/>
      <w:framePr w:wrap="around" w:vAnchor="text" w:hAnchor="margin" w:xAlign="center" w:y="1"/>
      <w:rPr>
        <w:rStyle w:val="24"/>
      </w:rPr>
    </w:pPr>
    <w:r>
      <w:fldChar w:fldCharType="begin"/>
    </w:r>
    <w:r>
      <w:rPr>
        <w:rStyle w:val="24"/>
      </w:rPr>
      <w:instrText xml:space="preserve">PAGE  </w:instrText>
    </w:r>
    <w:r>
      <w:fldChar w:fldCharType="separate"/>
    </w:r>
    <w:r>
      <w:fldChar w:fldCharType="end"/>
    </w:r>
  </w:p>
  <w:p w14:paraId="63ECB6C9">
    <w:pPr>
      <w:pStyle w:val="1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73416">
    <w:pPr>
      <w:tabs>
        <w:tab w:val="center" w:pos="4680"/>
      </w:tabs>
      <w:spacing w:line="280" w:lineRule="exact"/>
      <w:jc w:val="left"/>
      <w:rPr>
        <w:rFonts w:hint="eastAsia" w:ascii="宋体" w:hAnsi="宋体"/>
        <w:b/>
        <w:sz w:val="18"/>
        <w:szCs w:val="18"/>
      </w:rPr>
    </w:pPr>
    <w:r>
      <w:rPr>
        <w:rFonts w:hint="eastAsia" w:ascii="宋体" w:hAnsi="宋体"/>
        <w:b/>
        <w:sz w:val="18"/>
        <w:szCs w:val="18"/>
        <w:lang w:eastAsia="zh-CN"/>
      </w:rPr>
      <w:tab/>
    </w:r>
  </w:p>
  <w:p w14:paraId="70941F22">
    <w:pPr>
      <w:spacing w:line="280" w:lineRule="exact"/>
      <w:rPr>
        <w:rFonts w:hint="eastAsia" w:ascii="宋体" w:hAnsi="宋体"/>
        <w:b/>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007CF">
    <w:pPr>
      <w:pStyle w:val="11"/>
      <w:tabs>
        <w:tab w:val="center" w:pos="4680"/>
        <w:tab w:val="clear" w:pos="4153"/>
      </w:tabs>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5CB80">
    <w:pPr>
      <w:pStyle w:val="11"/>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C5093">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1AC5093">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B0A21">
    <w:pPr>
      <w:spacing w:line="237" w:lineRule="auto"/>
      <w:ind w:left="39"/>
      <w:rPr>
        <w:rFonts w:ascii="楷体" w:hAnsi="楷体" w:eastAsia="楷体" w:cs="楷体"/>
        <w:sz w:val="19"/>
        <w:szCs w:val="19"/>
      </w:rPr>
    </w:pPr>
    <w:r>
      <w:rPr>
        <w:sz w:val="19"/>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BE7F042">
                          <w:pPr>
                            <w:pStyle w:val="11"/>
                          </w:pPr>
                          <w:r>
                            <w:fldChar w:fldCharType="begin"/>
                          </w:r>
                          <w:r>
                            <w:instrText xml:space="preserve"> PAGE  \* MERGEFORMAT </w:instrText>
                          </w:r>
                          <w:r>
                            <w:fldChar w:fldCharType="separate"/>
                          </w:r>
                          <w:r>
                            <w:t>32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6BE7F042">
                    <w:pPr>
                      <w:pStyle w:val="1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3D6DC">
    <w:pPr>
      <w:pStyle w:val="11"/>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4E93AAE">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14:paraId="34E93AAE">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DCF22">
    <w:pPr>
      <w:spacing w:line="280" w:lineRule="exact"/>
      <w:rPr>
        <w:rFonts w:hint="eastAsia" w:ascii="宋体" w:hAnsi="宋体"/>
        <w:b/>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904BBEF">
                          <w:pPr>
                            <w:pStyle w:val="11"/>
                          </w:pPr>
                          <w:r>
                            <w:fldChar w:fldCharType="begin"/>
                          </w:r>
                          <w:r>
                            <w:instrText xml:space="preserve"> PAGE  \* MERGEFORMAT </w:instrText>
                          </w:r>
                          <w:r>
                            <w:fldChar w:fldCharType="separate"/>
                          </w:r>
                          <w:r>
                            <w:t>47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fill on="f" focussize="0,0"/>
              <v:stroke on="f" weight="1.25pt"/>
              <v:imagedata o:title=""/>
              <o:lock v:ext="edit" aspectratio="f"/>
              <v:textbox inset="0mm,0mm,0mm,0mm" style="mso-fit-shape-to-text:t;">
                <w:txbxContent>
                  <w:p w14:paraId="1904BBEF">
                    <w:pPr>
                      <w:pStyle w:val="11"/>
                    </w:pPr>
                    <w:r>
                      <w:fldChar w:fldCharType="begin"/>
                    </w:r>
                    <w:r>
                      <w:instrText xml:space="preserve"> PAGE  \* MERGEFORMAT </w:instrText>
                    </w:r>
                    <w:r>
                      <w:fldChar w:fldCharType="separate"/>
                    </w:r>
                    <w:r>
                      <w:t>47</w:t>
                    </w:r>
                    <w:r>
                      <w:fldChar w:fldCharType="end"/>
                    </w:r>
                  </w:p>
                </w:txbxContent>
              </v:textbox>
            </v:shape>
          </w:pict>
        </mc:Fallback>
      </mc:AlternateContent>
    </w:r>
  </w:p>
  <w:p w14:paraId="6D450086">
    <w:pPr>
      <w:spacing w:line="280" w:lineRule="exact"/>
      <w:rPr>
        <w:rFonts w:hint="eastAsia" w:ascii="宋体" w:hAnsi="宋体"/>
        <w:b/>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7E731">
    <w:pPr>
      <w:spacing w:line="460" w:lineRule="exact"/>
      <w:rPr>
        <w:rFonts w:hint="eastAsia" w:ascii="宋体" w:hAnsi="宋体" w:eastAsia="宋体"/>
        <w:b/>
        <w:sz w:val="18"/>
        <w:szCs w:val="18"/>
        <w:highlight w:val="yellow"/>
        <w:u w:val="single"/>
        <w:shd w:val="pct10" w:color="auto" w:fill="FFFFFF"/>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4E14D">
    <w:pPr>
      <w:pStyle w:val="12"/>
    </w:pPr>
    <w:r>
      <w:rPr>
        <w:rFonts w:hint="eastAsia" w:ascii="宋体" w:hAnsi="宋体"/>
        <w:b/>
        <w:kern w:val="144"/>
        <w:sz w:val="21"/>
        <w:szCs w:val="21"/>
        <w:u w:val="single"/>
        <w:shd w:val="pct10"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39597">
    <w:pPr>
      <w:pStyle w:val="12"/>
      <w:pBdr>
        <w:bottom w:val="none" w:color="auto" w:sz="0" w:space="1"/>
      </w:pBdr>
      <w:ind w:left="0" w:leftChars="0" w:firstLine="0" w:firstLineChars="0"/>
      <w:jc w:val="both"/>
      <w:rPr>
        <w:rFonts w:hint="eastAsia" w:ascii="黑体" w:eastAsia="黑体"/>
        <w:sz w:val="18"/>
        <w:szCs w:val="18"/>
      </w:rPr>
    </w:pPr>
    <w:r>
      <w:rPr>
        <w:rFonts w:hint="eastAsia" w:ascii="仿宋" w:hAnsi="仿宋" w:eastAsia="仿宋" w:cs="仿宋"/>
        <w:sz w:val="20"/>
        <w:szCs w:val="20"/>
        <w:lang w:val="en-US" w:eastAsia="zh-CN"/>
      </w:rPr>
      <w:drawing>
        <wp:inline distT="0" distB="0" distL="114300" distR="114300">
          <wp:extent cx="715645" cy="542290"/>
          <wp:effectExtent l="0" t="0" r="8255" b="10160"/>
          <wp:docPr id="1" name="图片 1" descr="微信图片_2024051416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0514160003"/>
                  <pic:cNvPicPr>
                    <a:picLocks noChangeAspect="1"/>
                  </pic:cNvPicPr>
                </pic:nvPicPr>
                <pic:blipFill>
                  <a:blip r:embed="rId1"/>
                  <a:stretch>
                    <a:fillRect/>
                  </a:stretch>
                </pic:blipFill>
                <pic:spPr>
                  <a:xfrm>
                    <a:off x="0" y="0"/>
                    <a:ext cx="715645" cy="542290"/>
                  </a:xfrm>
                  <a:prstGeom prst="rect">
                    <a:avLst/>
                  </a:prstGeom>
                  <a:noFill/>
                  <a:ln>
                    <a:noFill/>
                  </a:ln>
                </pic:spPr>
              </pic:pic>
            </a:graphicData>
          </a:graphic>
        </wp:inline>
      </w:drawing>
    </w:r>
    <w:r>
      <w:rPr>
        <w:rFonts w:hint="eastAsia" w:ascii="仿宋" w:hAnsi="仿宋" w:eastAsia="仿宋" w:cs="仿宋"/>
        <w:sz w:val="20"/>
        <w:szCs w:val="20"/>
        <w:lang w:val="en-US" w:eastAsia="zh-CN"/>
      </w:rPr>
      <w:t>致君项目管理有限公司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673AC">
    <w:pPr>
      <w:spacing w:line="460" w:lineRule="exact"/>
      <w:jc w:val="center"/>
      <w:rPr>
        <w:rFonts w:hint="eastAsia" w:ascii="宋体" w:hAnsi="宋体" w:eastAsia="宋体"/>
        <w:b/>
        <w:sz w:val="18"/>
        <w:szCs w:val="18"/>
        <w:highlight w:val="yellow"/>
        <w:u w:val="single"/>
        <w:shd w:val="pct10" w:color="auto" w:fill="FFFFFF"/>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86576">
    <w:pPr>
      <w:pStyle w:val="12"/>
      <w:pBdr>
        <w:bottom w:val="none" w:color="auto" w:sz="0" w:space="1"/>
      </w:pBdr>
      <w:ind w:left="0" w:leftChars="0" w:firstLine="0" w:firstLineChars="0"/>
      <w:jc w:val="both"/>
      <w:rPr>
        <w:rFonts w:hint="eastAsia" w:ascii="黑体" w:eastAsia="黑体"/>
        <w:sz w:val="18"/>
        <w:szCs w:val="18"/>
      </w:rPr>
    </w:pPr>
    <w:r>
      <w:rPr>
        <w:rFonts w:hint="eastAsia" w:ascii="仿宋" w:hAnsi="仿宋" w:eastAsia="仿宋" w:cs="仿宋"/>
        <w:sz w:val="20"/>
        <w:szCs w:val="20"/>
        <w:lang w:val="en-US" w:eastAsia="zh-CN"/>
      </w:rPr>
      <w:drawing>
        <wp:inline distT="0" distB="0" distL="114300" distR="114300">
          <wp:extent cx="715645" cy="542290"/>
          <wp:effectExtent l="0" t="0" r="8255" b="10160"/>
          <wp:docPr id="4" name="图片 2" descr="微信图片_2024051416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微信图片_20240514160003"/>
                  <pic:cNvPicPr>
                    <a:picLocks noChangeAspect="1"/>
                  </pic:cNvPicPr>
                </pic:nvPicPr>
                <pic:blipFill>
                  <a:blip r:embed="rId1"/>
                  <a:stretch>
                    <a:fillRect/>
                  </a:stretch>
                </pic:blipFill>
                <pic:spPr>
                  <a:xfrm>
                    <a:off x="0" y="0"/>
                    <a:ext cx="715645" cy="542290"/>
                  </a:xfrm>
                  <a:prstGeom prst="rect">
                    <a:avLst/>
                  </a:prstGeom>
                  <a:noFill/>
                  <a:ln>
                    <a:noFill/>
                  </a:ln>
                </pic:spPr>
              </pic:pic>
            </a:graphicData>
          </a:graphic>
        </wp:inline>
      </w:drawing>
    </w:r>
    <w:r>
      <w:rPr>
        <w:rFonts w:hint="eastAsia" w:ascii="仿宋" w:hAnsi="仿宋" w:eastAsia="仿宋" w:cs="仿宋"/>
        <w:sz w:val="20"/>
        <w:szCs w:val="20"/>
        <w:lang w:val="en-US" w:eastAsia="zh-CN"/>
      </w:rPr>
      <w:t>致君项目管理有限公司</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240E7">
    <w:pPr>
      <w:pStyle w:val="12"/>
      <w:pBdr>
        <w:bottom w:val="none" w:color="auto" w:sz="0" w:space="1"/>
      </w:pBdr>
      <w:ind w:left="0" w:leftChars="0" w:firstLine="0" w:firstLineChars="0"/>
      <w:jc w:val="both"/>
      <w:rPr>
        <w:rFonts w:hint="eastAsia" w:ascii="宋体" w:hAnsi="宋体" w:eastAsia="宋体"/>
        <w:b/>
        <w:sz w:val="18"/>
        <w:szCs w:val="18"/>
        <w:u w:val="single"/>
        <w:shd w:val="pct10" w:color="auto" w:fill="FFFFFF"/>
        <w:lang w:eastAsia="zh-CN"/>
      </w:rPr>
    </w:pPr>
    <w:r>
      <w:rPr>
        <w:rFonts w:hint="eastAsia" w:ascii="仿宋" w:hAnsi="仿宋" w:eastAsia="仿宋" w:cs="仿宋"/>
        <w:sz w:val="20"/>
        <w:szCs w:val="20"/>
        <w:lang w:val="en-US" w:eastAsia="zh-CN"/>
      </w:rPr>
      <w:drawing>
        <wp:inline distT="0" distB="0" distL="114300" distR="114300">
          <wp:extent cx="715645" cy="542290"/>
          <wp:effectExtent l="0" t="0" r="8255" b="10160"/>
          <wp:docPr id="7" name="图片 3" descr="微信图片_2024051416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微信图片_20240514160003"/>
                  <pic:cNvPicPr>
                    <a:picLocks noChangeAspect="1"/>
                  </pic:cNvPicPr>
                </pic:nvPicPr>
                <pic:blipFill>
                  <a:blip r:embed="rId1"/>
                  <a:stretch>
                    <a:fillRect/>
                  </a:stretch>
                </pic:blipFill>
                <pic:spPr>
                  <a:xfrm>
                    <a:off x="0" y="0"/>
                    <a:ext cx="715645" cy="542290"/>
                  </a:xfrm>
                  <a:prstGeom prst="rect">
                    <a:avLst/>
                  </a:prstGeom>
                  <a:noFill/>
                  <a:ln>
                    <a:noFill/>
                  </a:ln>
                </pic:spPr>
              </pic:pic>
            </a:graphicData>
          </a:graphic>
        </wp:inline>
      </w:drawing>
    </w:r>
    <w:r>
      <w:rPr>
        <w:rFonts w:hint="eastAsia" w:ascii="仿宋" w:hAnsi="仿宋" w:eastAsia="仿宋" w:cs="仿宋"/>
        <w:sz w:val="20"/>
        <w:szCs w:val="20"/>
        <w:lang w:val="en-US" w:eastAsia="zh-CN"/>
      </w:rPr>
      <w:t>致君项目管理有限公司</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381DB">
    <w:pPr>
      <w:pStyle w:val="12"/>
      <w:pBdr>
        <w:bottom w:val="none" w:color="auto" w:sz="0" w:space="1"/>
      </w:pBdr>
      <w:ind w:left="0" w:leftChars="0" w:firstLine="0" w:firstLineChars="0"/>
      <w:jc w:val="both"/>
      <w:rPr>
        <w:rFonts w:ascii="楷体" w:hAnsi="楷体" w:eastAsia="楷体" w:cs="楷体"/>
        <w:sz w:val="20"/>
        <w:szCs w:val="20"/>
      </w:rPr>
    </w:pPr>
    <w:r>
      <w:rPr>
        <w:rFonts w:hint="eastAsia" w:ascii="仿宋" w:hAnsi="仿宋" w:eastAsia="仿宋" w:cs="仿宋"/>
        <w:sz w:val="20"/>
        <w:szCs w:val="20"/>
        <w:lang w:val="en-US" w:eastAsia="zh-CN"/>
      </w:rPr>
      <w:drawing>
        <wp:inline distT="0" distB="0" distL="114300" distR="114300">
          <wp:extent cx="715645" cy="542290"/>
          <wp:effectExtent l="0" t="0" r="8255" b="10160"/>
          <wp:docPr id="8" name="图片 4" descr="微信图片_2024051416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微信图片_20240514160003"/>
                  <pic:cNvPicPr>
                    <a:picLocks noChangeAspect="1"/>
                  </pic:cNvPicPr>
                </pic:nvPicPr>
                <pic:blipFill>
                  <a:blip r:embed="rId1"/>
                  <a:stretch>
                    <a:fillRect/>
                  </a:stretch>
                </pic:blipFill>
                <pic:spPr>
                  <a:xfrm>
                    <a:off x="0" y="0"/>
                    <a:ext cx="715645" cy="542290"/>
                  </a:xfrm>
                  <a:prstGeom prst="rect">
                    <a:avLst/>
                  </a:prstGeom>
                  <a:noFill/>
                  <a:ln>
                    <a:noFill/>
                  </a:ln>
                </pic:spPr>
              </pic:pic>
            </a:graphicData>
          </a:graphic>
        </wp:inline>
      </w:drawing>
    </w:r>
    <w:r>
      <w:rPr>
        <w:rFonts w:hint="eastAsia" w:ascii="仿宋" w:hAnsi="仿宋" w:eastAsia="仿宋" w:cs="仿宋"/>
        <w:sz w:val="20"/>
        <w:szCs w:val="20"/>
        <w:lang w:val="en-US" w:eastAsia="zh-CN"/>
      </w:rPr>
      <w:t>致君项目管理有限公司</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B9D7E">
    <w:pPr>
      <w:pStyle w:val="12"/>
      <w:pBdr>
        <w:bottom w:val="none" w:color="auto" w:sz="0" w:space="1"/>
      </w:pBdr>
      <w:ind w:left="0" w:leftChars="0" w:firstLine="0" w:firstLineChars="0"/>
      <w:jc w:val="both"/>
      <w:rPr>
        <w:rFonts w:ascii="楷体" w:hAnsi="楷体" w:eastAsia="楷体" w:cs="楷体"/>
        <w:b/>
        <w:bCs/>
        <w:sz w:val="20"/>
        <w:szCs w:val="20"/>
      </w:rPr>
    </w:pPr>
    <w:r>
      <w:rPr>
        <w:rFonts w:hint="eastAsia" w:ascii="仿宋" w:hAnsi="仿宋" w:eastAsia="仿宋" w:cs="仿宋"/>
        <w:sz w:val="20"/>
        <w:szCs w:val="20"/>
        <w:lang w:val="en-US" w:eastAsia="zh-CN"/>
      </w:rPr>
      <w:drawing>
        <wp:inline distT="0" distB="0" distL="114300" distR="114300">
          <wp:extent cx="715645" cy="542290"/>
          <wp:effectExtent l="0" t="0" r="8255" b="10160"/>
          <wp:docPr id="9" name="图片 5" descr="微信图片_2024051416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微信图片_20240514160003"/>
                  <pic:cNvPicPr>
                    <a:picLocks noChangeAspect="1"/>
                  </pic:cNvPicPr>
                </pic:nvPicPr>
                <pic:blipFill>
                  <a:blip r:embed="rId1"/>
                  <a:stretch>
                    <a:fillRect/>
                  </a:stretch>
                </pic:blipFill>
                <pic:spPr>
                  <a:xfrm>
                    <a:off x="0" y="0"/>
                    <a:ext cx="715645" cy="542290"/>
                  </a:xfrm>
                  <a:prstGeom prst="rect">
                    <a:avLst/>
                  </a:prstGeom>
                  <a:noFill/>
                  <a:ln>
                    <a:noFill/>
                  </a:ln>
                </pic:spPr>
              </pic:pic>
            </a:graphicData>
          </a:graphic>
        </wp:inline>
      </w:drawing>
    </w:r>
    <w:r>
      <w:rPr>
        <w:rFonts w:hint="eastAsia" w:ascii="仿宋" w:hAnsi="仿宋" w:eastAsia="仿宋" w:cs="仿宋"/>
        <w:sz w:val="20"/>
        <w:szCs w:val="20"/>
        <w:lang w:val="en-US" w:eastAsia="zh-CN"/>
      </w:rPr>
      <w:t>致君项目管理有限公司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F9ED82"/>
    <w:multiLevelType w:val="singleLevel"/>
    <w:tmpl w:val="93F9ED82"/>
    <w:lvl w:ilvl="0" w:tentative="0">
      <w:start w:val="1"/>
      <w:numFmt w:val="decimal"/>
      <w:suff w:val="nothing"/>
      <w:lvlText w:val="%1、"/>
      <w:lvlJc w:val="left"/>
    </w:lvl>
  </w:abstractNum>
  <w:abstractNum w:abstractNumId="1">
    <w:nsid w:val="98A370CE"/>
    <w:multiLevelType w:val="singleLevel"/>
    <w:tmpl w:val="98A370CE"/>
    <w:lvl w:ilvl="0" w:tentative="0">
      <w:start w:val="2"/>
      <w:numFmt w:val="decimal"/>
      <w:lvlText w:val="%1."/>
      <w:lvlJc w:val="left"/>
      <w:pPr>
        <w:tabs>
          <w:tab w:val="left" w:pos="312"/>
        </w:tabs>
      </w:pPr>
    </w:lvl>
  </w:abstractNum>
  <w:abstractNum w:abstractNumId="2">
    <w:nsid w:val="F75101B0"/>
    <w:multiLevelType w:val="singleLevel"/>
    <w:tmpl w:val="F75101B0"/>
    <w:lvl w:ilvl="0" w:tentative="0">
      <w:start w:val="3"/>
      <w:numFmt w:val="chineseCounting"/>
      <w:suff w:val="space"/>
      <w:lvlText w:val="第%1章"/>
      <w:lvlJc w:val="left"/>
      <w:rPr>
        <w:rFonts w:hint="eastAsia"/>
      </w:rPr>
    </w:lvl>
  </w:abstractNum>
  <w:abstractNum w:abstractNumId="3">
    <w:nsid w:val="009BBA99"/>
    <w:multiLevelType w:val="singleLevel"/>
    <w:tmpl w:val="009BBA99"/>
    <w:lvl w:ilvl="0" w:tentative="0">
      <w:start w:val="3"/>
      <w:numFmt w:val="chineseCounting"/>
      <w:suff w:val="nothing"/>
      <w:lvlText w:val="（%1）"/>
      <w:lvlJc w:val="left"/>
      <w:rPr>
        <w:rFonts w:hint="eastAsia"/>
      </w:rPr>
    </w:lvl>
  </w:abstractNum>
  <w:abstractNum w:abstractNumId="4">
    <w:nsid w:val="28989B66"/>
    <w:multiLevelType w:val="singleLevel"/>
    <w:tmpl w:val="28989B66"/>
    <w:lvl w:ilvl="0" w:tentative="0">
      <w:start w:val="1"/>
      <w:numFmt w:val="decimal"/>
      <w:suff w:val="nothing"/>
      <w:lvlText w:val="%1、"/>
      <w:lvlJc w:val="left"/>
    </w:lvl>
  </w:abstractNum>
  <w:abstractNum w:abstractNumId="5">
    <w:nsid w:val="4AC5C4AE"/>
    <w:multiLevelType w:val="singleLevel"/>
    <w:tmpl w:val="4AC5C4AE"/>
    <w:lvl w:ilvl="0" w:tentative="0">
      <w:start w:val="1"/>
      <w:numFmt w:val="decimal"/>
      <w:lvlText w:val="%1."/>
      <w:lvlJc w:val="left"/>
      <w:pPr>
        <w:tabs>
          <w:tab w:val="left" w:pos="312"/>
        </w:tabs>
      </w:pPr>
    </w:lvl>
  </w:abstractNum>
  <w:abstractNum w:abstractNumId="6">
    <w:nsid w:val="5FF20134"/>
    <w:multiLevelType w:val="singleLevel"/>
    <w:tmpl w:val="5FF20134"/>
    <w:lvl w:ilvl="0" w:tentative="0">
      <w:start w:val="1"/>
      <w:numFmt w:val="decimal"/>
      <w:suff w:val="nothing"/>
      <w:lvlText w:val="（%1）"/>
      <w:lvlJc w:val="left"/>
      <w:pPr>
        <w:ind w:left="-163"/>
      </w:pPr>
    </w:lvl>
  </w:abstractNum>
  <w:abstractNum w:abstractNumId="7">
    <w:nsid w:val="6167B108"/>
    <w:multiLevelType w:val="singleLevel"/>
    <w:tmpl w:val="6167B108"/>
    <w:lvl w:ilvl="0" w:tentative="0">
      <w:start w:val="1"/>
      <w:numFmt w:val="chineseCounting"/>
      <w:suff w:val="space"/>
      <w:lvlText w:val="(%1)"/>
      <w:lvlJc w:val="left"/>
      <w:rPr>
        <w:rFonts w:hint="eastAsia"/>
      </w:rPr>
    </w:lvl>
  </w:abstractNum>
  <w:num w:numId="1">
    <w:abstractNumId w:val="6"/>
  </w:num>
  <w:num w:numId="2">
    <w:abstractNumId w:val="5"/>
  </w:num>
  <w:num w:numId="3">
    <w:abstractNumId w:val="3"/>
  </w:num>
  <w:num w:numId="4">
    <w:abstractNumId w:val="2"/>
  </w:num>
  <w:num w:numId="5">
    <w:abstractNumId w:val="0"/>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zNmNhYWQyYzRhMTlkNjE5NzRhMWFmMjcyNjIxOTgifQ=="/>
  </w:docVars>
  <w:rsids>
    <w:rsidRoot w:val="64574807"/>
    <w:rsid w:val="00481283"/>
    <w:rsid w:val="007A357B"/>
    <w:rsid w:val="009049D8"/>
    <w:rsid w:val="00951FEE"/>
    <w:rsid w:val="00B701B7"/>
    <w:rsid w:val="00D75561"/>
    <w:rsid w:val="00E6284A"/>
    <w:rsid w:val="011B21E5"/>
    <w:rsid w:val="01633E9B"/>
    <w:rsid w:val="01A30B83"/>
    <w:rsid w:val="01DC7AD8"/>
    <w:rsid w:val="022C641E"/>
    <w:rsid w:val="027619AC"/>
    <w:rsid w:val="02F43C68"/>
    <w:rsid w:val="037E33E4"/>
    <w:rsid w:val="03B635A1"/>
    <w:rsid w:val="03F670E7"/>
    <w:rsid w:val="040B0379"/>
    <w:rsid w:val="04820ADC"/>
    <w:rsid w:val="05372350"/>
    <w:rsid w:val="055424CE"/>
    <w:rsid w:val="05AC519E"/>
    <w:rsid w:val="05F60366"/>
    <w:rsid w:val="05FB0012"/>
    <w:rsid w:val="060E737E"/>
    <w:rsid w:val="064A5629"/>
    <w:rsid w:val="068555A2"/>
    <w:rsid w:val="06EA0626"/>
    <w:rsid w:val="07990616"/>
    <w:rsid w:val="083D71F3"/>
    <w:rsid w:val="085E2ED0"/>
    <w:rsid w:val="08B51480"/>
    <w:rsid w:val="08C03CD6"/>
    <w:rsid w:val="09777843"/>
    <w:rsid w:val="09EE3807"/>
    <w:rsid w:val="0A447F8C"/>
    <w:rsid w:val="0A5847B8"/>
    <w:rsid w:val="0A8A6AF0"/>
    <w:rsid w:val="0B4E1717"/>
    <w:rsid w:val="0B5F1B77"/>
    <w:rsid w:val="0BFC1173"/>
    <w:rsid w:val="0BFC67AB"/>
    <w:rsid w:val="0C41302A"/>
    <w:rsid w:val="0C6A47CF"/>
    <w:rsid w:val="0C8F023A"/>
    <w:rsid w:val="0CFA5CD7"/>
    <w:rsid w:val="0D19311B"/>
    <w:rsid w:val="0D1F336B"/>
    <w:rsid w:val="0D305579"/>
    <w:rsid w:val="0D58687D"/>
    <w:rsid w:val="0D642F5A"/>
    <w:rsid w:val="0D663336"/>
    <w:rsid w:val="0D69483B"/>
    <w:rsid w:val="0DCB0FD3"/>
    <w:rsid w:val="0EE7610B"/>
    <w:rsid w:val="0F024CF3"/>
    <w:rsid w:val="0F706100"/>
    <w:rsid w:val="0FC854C0"/>
    <w:rsid w:val="102858E0"/>
    <w:rsid w:val="104C41DB"/>
    <w:rsid w:val="1081484A"/>
    <w:rsid w:val="10845F93"/>
    <w:rsid w:val="108A4FA0"/>
    <w:rsid w:val="10A32A55"/>
    <w:rsid w:val="10A903FA"/>
    <w:rsid w:val="10FE598E"/>
    <w:rsid w:val="11515ABE"/>
    <w:rsid w:val="11717F10"/>
    <w:rsid w:val="117665D8"/>
    <w:rsid w:val="11BA18B5"/>
    <w:rsid w:val="11CC0D8F"/>
    <w:rsid w:val="12880156"/>
    <w:rsid w:val="129640D0"/>
    <w:rsid w:val="12B66292"/>
    <w:rsid w:val="12DB23BF"/>
    <w:rsid w:val="132D60B6"/>
    <w:rsid w:val="133B6A25"/>
    <w:rsid w:val="135475F4"/>
    <w:rsid w:val="13623FB2"/>
    <w:rsid w:val="136D664D"/>
    <w:rsid w:val="13833B10"/>
    <w:rsid w:val="13D70D23"/>
    <w:rsid w:val="14005579"/>
    <w:rsid w:val="14100C30"/>
    <w:rsid w:val="14AC2EEC"/>
    <w:rsid w:val="14E37374"/>
    <w:rsid w:val="15121A08"/>
    <w:rsid w:val="15455939"/>
    <w:rsid w:val="15524B87"/>
    <w:rsid w:val="15AC781F"/>
    <w:rsid w:val="15D30580"/>
    <w:rsid w:val="160131BB"/>
    <w:rsid w:val="16A06334"/>
    <w:rsid w:val="16C175E3"/>
    <w:rsid w:val="16DC7093"/>
    <w:rsid w:val="171B1048"/>
    <w:rsid w:val="17213A41"/>
    <w:rsid w:val="17BD20FF"/>
    <w:rsid w:val="181E2472"/>
    <w:rsid w:val="18622CA6"/>
    <w:rsid w:val="18D07C10"/>
    <w:rsid w:val="18E13CC5"/>
    <w:rsid w:val="18F55160"/>
    <w:rsid w:val="196F11D7"/>
    <w:rsid w:val="19AE61A3"/>
    <w:rsid w:val="1A3441CE"/>
    <w:rsid w:val="1A636717"/>
    <w:rsid w:val="1A642A6D"/>
    <w:rsid w:val="1A793E4F"/>
    <w:rsid w:val="1A8567D8"/>
    <w:rsid w:val="1A976C37"/>
    <w:rsid w:val="1AD82DAC"/>
    <w:rsid w:val="1B1E2FBC"/>
    <w:rsid w:val="1B7937F5"/>
    <w:rsid w:val="1BC90FA3"/>
    <w:rsid w:val="1C2273FC"/>
    <w:rsid w:val="1C36422E"/>
    <w:rsid w:val="1C627CB7"/>
    <w:rsid w:val="1C9D24FF"/>
    <w:rsid w:val="1CBB1301"/>
    <w:rsid w:val="1D0C49D1"/>
    <w:rsid w:val="1D3B238C"/>
    <w:rsid w:val="1D4D182F"/>
    <w:rsid w:val="1DA8115B"/>
    <w:rsid w:val="1DAD6772"/>
    <w:rsid w:val="1E0D0FBE"/>
    <w:rsid w:val="1E601A36"/>
    <w:rsid w:val="1E757C88"/>
    <w:rsid w:val="1EBF49AE"/>
    <w:rsid w:val="1EEC2329"/>
    <w:rsid w:val="1F3D5849"/>
    <w:rsid w:val="1FD456DB"/>
    <w:rsid w:val="200E4EC7"/>
    <w:rsid w:val="201E4EE7"/>
    <w:rsid w:val="20292515"/>
    <w:rsid w:val="20853119"/>
    <w:rsid w:val="20900842"/>
    <w:rsid w:val="20B47E17"/>
    <w:rsid w:val="20C15D89"/>
    <w:rsid w:val="20D17D63"/>
    <w:rsid w:val="20F34552"/>
    <w:rsid w:val="21102DEC"/>
    <w:rsid w:val="21187257"/>
    <w:rsid w:val="214448DD"/>
    <w:rsid w:val="218912A4"/>
    <w:rsid w:val="22643C72"/>
    <w:rsid w:val="229C47D4"/>
    <w:rsid w:val="22A5204F"/>
    <w:rsid w:val="22B83BEE"/>
    <w:rsid w:val="22D054B8"/>
    <w:rsid w:val="23A81EB5"/>
    <w:rsid w:val="23FE1AD5"/>
    <w:rsid w:val="24AF4D0F"/>
    <w:rsid w:val="24B567B4"/>
    <w:rsid w:val="24BE748F"/>
    <w:rsid w:val="24D2638D"/>
    <w:rsid w:val="25043CC9"/>
    <w:rsid w:val="25176068"/>
    <w:rsid w:val="25897AC4"/>
    <w:rsid w:val="2694227D"/>
    <w:rsid w:val="26EC15EB"/>
    <w:rsid w:val="26F64CE5"/>
    <w:rsid w:val="27DE194D"/>
    <w:rsid w:val="283C0E1E"/>
    <w:rsid w:val="285C6E1D"/>
    <w:rsid w:val="28921B38"/>
    <w:rsid w:val="28F97C96"/>
    <w:rsid w:val="298F19EC"/>
    <w:rsid w:val="299A1947"/>
    <w:rsid w:val="29FF65A7"/>
    <w:rsid w:val="2A3153E5"/>
    <w:rsid w:val="2AAD6003"/>
    <w:rsid w:val="2ABD5D31"/>
    <w:rsid w:val="2AD0584D"/>
    <w:rsid w:val="2B3C2072"/>
    <w:rsid w:val="2B95002D"/>
    <w:rsid w:val="2BC34755"/>
    <w:rsid w:val="2C11436F"/>
    <w:rsid w:val="2C467383"/>
    <w:rsid w:val="2C4B7881"/>
    <w:rsid w:val="2C867F6C"/>
    <w:rsid w:val="2CA4602E"/>
    <w:rsid w:val="2CFC5020"/>
    <w:rsid w:val="2D35408E"/>
    <w:rsid w:val="2D5B1D46"/>
    <w:rsid w:val="2D971706"/>
    <w:rsid w:val="2DC53663"/>
    <w:rsid w:val="2E4E72C7"/>
    <w:rsid w:val="2EAA14F2"/>
    <w:rsid w:val="2F045487"/>
    <w:rsid w:val="2F1C3B6F"/>
    <w:rsid w:val="2F7F6549"/>
    <w:rsid w:val="2FCD67FF"/>
    <w:rsid w:val="2FDD7571"/>
    <w:rsid w:val="2FE029D7"/>
    <w:rsid w:val="304A7E50"/>
    <w:rsid w:val="305B02AF"/>
    <w:rsid w:val="30BB02C6"/>
    <w:rsid w:val="30E26B95"/>
    <w:rsid w:val="310E0F9B"/>
    <w:rsid w:val="312E12C1"/>
    <w:rsid w:val="319D4F1F"/>
    <w:rsid w:val="31A10CA9"/>
    <w:rsid w:val="32BB4D84"/>
    <w:rsid w:val="33051977"/>
    <w:rsid w:val="339B5542"/>
    <w:rsid w:val="33F24A86"/>
    <w:rsid w:val="342B1D46"/>
    <w:rsid w:val="343F3A7A"/>
    <w:rsid w:val="34677222"/>
    <w:rsid w:val="347355E7"/>
    <w:rsid w:val="34782DA2"/>
    <w:rsid w:val="34A208E8"/>
    <w:rsid w:val="362A3A8B"/>
    <w:rsid w:val="365437D6"/>
    <w:rsid w:val="366C2AEB"/>
    <w:rsid w:val="367E2601"/>
    <w:rsid w:val="36DE12F2"/>
    <w:rsid w:val="37725B77"/>
    <w:rsid w:val="3796232A"/>
    <w:rsid w:val="37E62B54"/>
    <w:rsid w:val="387B504A"/>
    <w:rsid w:val="38CC4232"/>
    <w:rsid w:val="38CD7870"/>
    <w:rsid w:val="39202096"/>
    <w:rsid w:val="398E75AC"/>
    <w:rsid w:val="3A1B646C"/>
    <w:rsid w:val="3A5771C4"/>
    <w:rsid w:val="3A595F4B"/>
    <w:rsid w:val="3A6F19C4"/>
    <w:rsid w:val="3AA079B4"/>
    <w:rsid w:val="3AC60AFD"/>
    <w:rsid w:val="3ACF5B21"/>
    <w:rsid w:val="3C2C3200"/>
    <w:rsid w:val="3C596870"/>
    <w:rsid w:val="3D670FF6"/>
    <w:rsid w:val="3E1A5306"/>
    <w:rsid w:val="3E6334E7"/>
    <w:rsid w:val="3E6E3DBF"/>
    <w:rsid w:val="3E8A0FA4"/>
    <w:rsid w:val="3EEF6792"/>
    <w:rsid w:val="3F4B5CA2"/>
    <w:rsid w:val="3F584337"/>
    <w:rsid w:val="3F996647"/>
    <w:rsid w:val="403A1C8F"/>
    <w:rsid w:val="404148C4"/>
    <w:rsid w:val="40490124"/>
    <w:rsid w:val="405A1423"/>
    <w:rsid w:val="40730019"/>
    <w:rsid w:val="40CB28E7"/>
    <w:rsid w:val="40ED49B8"/>
    <w:rsid w:val="41282D76"/>
    <w:rsid w:val="41D43A1D"/>
    <w:rsid w:val="421D2482"/>
    <w:rsid w:val="42CF65A9"/>
    <w:rsid w:val="43122A4F"/>
    <w:rsid w:val="43394480"/>
    <w:rsid w:val="437F16F7"/>
    <w:rsid w:val="43C45BBD"/>
    <w:rsid w:val="43D83C99"/>
    <w:rsid w:val="43DF5027"/>
    <w:rsid w:val="444E7AB7"/>
    <w:rsid w:val="44817E8C"/>
    <w:rsid w:val="44894F93"/>
    <w:rsid w:val="449851D6"/>
    <w:rsid w:val="44C37968"/>
    <w:rsid w:val="45350949"/>
    <w:rsid w:val="4543176B"/>
    <w:rsid w:val="454A4722"/>
    <w:rsid w:val="45772094"/>
    <w:rsid w:val="457E43CC"/>
    <w:rsid w:val="45A04F39"/>
    <w:rsid w:val="45AF0A29"/>
    <w:rsid w:val="45DA4152"/>
    <w:rsid w:val="460E3E1A"/>
    <w:rsid w:val="461C7C87"/>
    <w:rsid w:val="46591D60"/>
    <w:rsid w:val="467557CF"/>
    <w:rsid w:val="4676245F"/>
    <w:rsid w:val="46DE2DEC"/>
    <w:rsid w:val="46E37A59"/>
    <w:rsid w:val="46FB1236"/>
    <w:rsid w:val="47060B1D"/>
    <w:rsid w:val="47190C03"/>
    <w:rsid w:val="47411B55"/>
    <w:rsid w:val="47B95B8F"/>
    <w:rsid w:val="481B0108"/>
    <w:rsid w:val="48AC7040"/>
    <w:rsid w:val="48EF0E77"/>
    <w:rsid w:val="49276B29"/>
    <w:rsid w:val="495B7301"/>
    <w:rsid w:val="498A6A6C"/>
    <w:rsid w:val="49E47C70"/>
    <w:rsid w:val="4A1B6221"/>
    <w:rsid w:val="4A1E1188"/>
    <w:rsid w:val="4A7F21DE"/>
    <w:rsid w:val="4ADC0DA5"/>
    <w:rsid w:val="4B0D2AAF"/>
    <w:rsid w:val="4B9C55AC"/>
    <w:rsid w:val="4BBA244A"/>
    <w:rsid w:val="4C4F261E"/>
    <w:rsid w:val="4D5D6EDC"/>
    <w:rsid w:val="4D8D25BD"/>
    <w:rsid w:val="4DD94895"/>
    <w:rsid w:val="4E115752"/>
    <w:rsid w:val="4E8F2550"/>
    <w:rsid w:val="4E922C96"/>
    <w:rsid w:val="4EBC1A6C"/>
    <w:rsid w:val="4F232E2C"/>
    <w:rsid w:val="4F4436EF"/>
    <w:rsid w:val="4F626B0C"/>
    <w:rsid w:val="4F6E3703"/>
    <w:rsid w:val="4F756840"/>
    <w:rsid w:val="4FBA4253"/>
    <w:rsid w:val="4FC15672"/>
    <w:rsid w:val="4FD55530"/>
    <w:rsid w:val="5095081C"/>
    <w:rsid w:val="513A1AEF"/>
    <w:rsid w:val="514069D9"/>
    <w:rsid w:val="516B614C"/>
    <w:rsid w:val="51F85A88"/>
    <w:rsid w:val="528154FB"/>
    <w:rsid w:val="52BF7DD2"/>
    <w:rsid w:val="538E2E13"/>
    <w:rsid w:val="53E81640"/>
    <w:rsid w:val="54240834"/>
    <w:rsid w:val="54D77655"/>
    <w:rsid w:val="55A35789"/>
    <w:rsid w:val="55B01AE0"/>
    <w:rsid w:val="55FB173E"/>
    <w:rsid w:val="56BC5DE1"/>
    <w:rsid w:val="572F061F"/>
    <w:rsid w:val="57504512"/>
    <w:rsid w:val="57B40121"/>
    <w:rsid w:val="57C03085"/>
    <w:rsid w:val="57D576B1"/>
    <w:rsid w:val="57EF5D54"/>
    <w:rsid w:val="586A41F5"/>
    <w:rsid w:val="58D6064E"/>
    <w:rsid w:val="599C184C"/>
    <w:rsid w:val="59F6057D"/>
    <w:rsid w:val="5A6000EC"/>
    <w:rsid w:val="5AE44879"/>
    <w:rsid w:val="5B051CFB"/>
    <w:rsid w:val="5B1F1D55"/>
    <w:rsid w:val="5B4C6D34"/>
    <w:rsid w:val="5B8911EC"/>
    <w:rsid w:val="5B8B2F47"/>
    <w:rsid w:val="5B9B0640"/>
    <w:rsid w:val="5BEA42C5"/>
    <w:rsid w:val="5C31109C"/>
    <w:rsid w:val="5C372D83"/>
    <w:rsid w:val="5C920E5E"/>
    <w:rsid w:val="5CD4533D"/>
    <w:rsid w:val="5D350DE0"/>
    <w:rsid w:val="5D9702C9"/>
    <w:rsid w:val="5DAC6E75"/>
    <w:rsid w:val="5DE51034"/>
    <w:rsid w:val="5E1E36B9"/>
    <w:rsid w:val="5E2B65BA"/>
    <w:rsid w:val="5E6C52B2"/>
    <w:rsid w:val="5E7D126D"/>
    <w:rsid w:val="5EA3366C"/>
    <w:rsid w:val="5EAB4332"/>
    <w:rsid w:val="5F207E83"/>
    <w:rsid w:val="5F4634E1"/>
    <w:rsid w:val="5FD96977"/>
    <w:rsid w:val="605B1F45"/>
    <w:rsid w:val="60786190"/>
    <w:rsid w:val="609C6281"/>
    <w:rsid w:val="60A87202"/>
    <w:rsid w:val="60D24FDC"/>
    <w:rsid w:val="60D55390"/>
    <w:rsid w:val="60F577E0"/>
    <w:rsid w:val="611D0AE5"/>
    <w:rsid w:val="614E4134"/>
    <w:rsid w:val="618E08A1"/>
    <w:rsid w:val="61BC3E5A"/>
    <w:rsid w:val="61D03DA9"/>
    <w:rsid w:val="620E774E"/>
    <w:rsid w:val="62CA3200"/>
    <w:rsid w:val="62F62AE2"/>
    <w:rsid w:val="631D537F"/>
    <w:rsid w:val="632D373D"/>
    <w:rsid w:val="63A31DB5"/>
    <w:rsid w:val="63B70D7D"/>
    <w:rsid w:val="64574807"/>
    <w:rsid w:val="646627A3"/>
    <w:rsid w:val="64A50DAF"/>
    <w:rsid w:val="654830C8"/>
    <w:rsid w:val="663A7A43"/>
    <w:rsid w:val="667F7DB4"/>
    <w:rsid w:val="66D841C7"/>
    <w:rsid w:val="672520C8"/>
    <w:rsid w:val="67524A01"/>
    <w:rsid w:val="678312A6"/>
    <w:rsid w:val="67E97973"/>
    <w:rsid w:val="680074AC"/>
    <w:rsid w:val="68093B71"/>
    <w:rsid w:val="68D128E1"/>
    <w:rsid w:val="69165251"/>
    <w:rsid w:val="6941780E"/>
    <w:rsid w:val="695033A0"/>
    <w:rsid w:val="69B8584F"/>
    <w:rsid w:val="6A0D3A6C"/>
    <w:rsid w:val="6A164813"/>
    <w:rsid w:val="6A4E1D0F"/>
    <w:rsid w:val="6B1B7ABE"/>
    <w:rsid w:val="6BA83F38"/>
    <w:rsid w:val="6BC56001"/>
    <w:rsid w:val="6BD50F95"/>
    <w:rsid w:val="6BDD7F5E"/>
    <w:rsid w:val="6C0F7FD7"/>
    <w:rsid w:val="6C1E4702"/>
    <w:rsid w:val="6C222C31"/>
    <w:rsid w:val="6C8315E2"/>
    <w:rsid w:val="6D605FE2"/>
    <w:rsid w:val="6E443B55"/>
    <w:rsid w:val="6F675F2F"/>
    <w:rsid w:val="6FB70357"/>
    <w:rsid w:val="6FC24195"/>
    <w:rsid w:val="6FCE6C03"/>
    <w:rsid w:val="70580DD0"/>
    <w:rsid w:val="70E60EF4"/>
    <w:rsid w:val="71681909"/>
    <w:rsid w:val="71F80EDE"/>
    <w:rsid w:val="72192C03"/>
    <w:rsid w:val="72514A93"/>
    <w:rsid w:val="727F515C"/>
    <w:rsid w:val="732E6B82"/>
    <w:rsid w:val="743527CB"/>
    <w:rsid w:val="744803FD"/>
    <w:rsid w:val="747A00A6"/>
    <w:rsid w:val="756C7876"/>
    <w:rsid w:val="758F078A"/>
    <w:rsid w:val="759A04FF"/>
    <w:rsid w:val="75AB6268"/>
    <w:rsid w:val="75B570E6"/>
    <w:rsid w:val="75FF18A5"/>
    <w:rsid w:val="761D53B8"/>
    <w:rsid w:val="76217834"/>
    <w:rsid w:val="766F3739"/>
    <w:rsid w:val="771A5453"/>
    <w:rsid w:val="77585F7B"/>
    <w:rsid w:val="77631301"/>
    <w:rsid w:val="777038A3"/>
    <w:rsid w:val="78097CD8"/>
    <w:rsid w:val="781225CE"/>
    <w:rsid w:val="782D0F0E"/>
    <w:rsid w:val="794C38BE"/>
    <w:rsid w:val="7AA01442"/>
    <w:rsid w:val="7AF97D13"/>
    <w:rsid w:val="7C835849"/>
    <w:rsid w:val="7C911C1A"/>
    <w:rsid w:val="7D5E1AA6"/>
    <w:rsid w:val="7D622FC2"/>
    <w:rsid w:val="7D811049"/>
    <w:rsid w:val="7D81148E"/>
    <w:rsid w:val="7DB95776"/>
    <w:rsid w:val="7DE02BA3"/>
    <w:rsid w:val="7E555BF7"/>
    <w:rsid w:val="7F1462B6"/>
    <w:rsid w:val="7F2552DD"/>
    <w:rsid w:val="7F877685"/>
    <w:rsid w:val="7F8F2078"/>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3" w:firstLineChars="200"/>
      <w:jc w:val="left"/>
    </w:pPr>
    <w:rPr>
      <w:rFonts w:ascii="宋体" w:hAnsi="宋体" w:eastAsia="宋体" w:cs="宋体"/>
      <w:kern w:val="2"/>
      <w:sz w:val="24"/>
      <w:szCs w:val="24"/>
      <w:lang w:val="en-US" w:eastAsia="zh-CN" w:bidi="ar-SA"/>
    </w:rPr>
  </w:style>
  <w:style w:type="paragraph" w:styleId="2">
    <w:name w:val="heading 1"/>
    <w:basedOn w:val="1"/>
    <w:next w:val="1"/>
    <w:autoRedefine/>
    <w:qFormat/>
    <w:uiPriority w:val="99"/>
    <w:pPr>
      <w:keepNext/>
      <w:keepLines/>
      <w:spacing w:before="100" w:beforeLines="0" w:afterLines="0" w:line="480" w:lineRule="auto"/>
      <w:ind w:firstLine="0" w:firstLineChars="0"/>
      <w:jc w:val="center"/>
      <w:outlineLvl w:val="0"/>
    </w:pPr>
    <w:rPr>
      <w:b/>
      <w:bCs/>
      <w:kern w:val="44"/>
      <w:sz w:val="44"/>
      <w:szCs w:val="44"/>
    </w:rPr>
  </w:style>
  <w:style w:type="paragraph" w:styleId="3">
    <w:name w:val="heading 2"/>
    <w:basedOn w:val="1"/>
    <w:next w:val="1"/>
    <w:autoRedefine/>
    <w:qFormat/>
    <w:uiPriority w:val="99"/>
    <w:pPr>
      <w:keepNext/>
      <w:keepLines/>
      <w:spacing w:beforeLines="0" w:afterLines="0" w:line="360" w:lineRule="auto"/>
      <w:ind w:firstLine="0" w:firstLineChars="0"/>
      <w:jc w:val="center"/>
      <w:outlineLvl w:val="1"/>
    </w:pPr>
    <w:rPr>
      <w:rFonts w:ascii="Arial" w:hAnsi="Arial" w:eastAsia="宋体"/>
      <w:b/>
      <w:bCs/>
      <w:sz w:val="32"/>
      <w:szCs w:val="32"/>
    </w:rPr>
  </w:style>
  <w:style w:type="paragraph" w:styleId="4">
    <w:name w:val="heading 3"/>
    <w:basedOn w:val="1"/>
    <w:next w:val="1"/>
    <w:autoRedefine/>
    <w:unhideWhenUsed/>
    <w:qFormat/>
    <w:uiPriority w:val="0"/>
    <w:pPr>
      <w:keepNext/>
      <w:keepLines/>
      <w:autoSpaceDE w:val="0"/>
      <w:autoSpaceDN w:val="0"/>
      <w:spacing w:before="140" w:beforeLines="0" w:beforeAutospacing="0" w:after="140" w:afterLines="0" w:afterAutospacing="0" w:line="360" w:lineRule="auto"/>
      <w:outlineLvl w:val="2"/>
    </w:pPr>
    <w:rPr>
      <w:rFonts w:ascii="宋体" w:hAnsi="宋体" w:eastAsia="宋体"/>
      <w:b/>
      <w:sz w:val="24"/>
    </w:rPr>
  </w:style>
  <w:style w:type="character" w:default="1" w:styleId="22">
    <w:name w:val="Default Paragraph Font"/>
    <w:autoRedefine/>
    <w:semiHidden/>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0"/>
  </w:style>
  <w:style w:type="paragraph" w:styleId="6">
    <w:name w:val="annotation text"/>
    <w:basedOn w:val="1"/>
    <w:autoRedefine/>
    <w:qFormat/>
    <w:uiPriority w:val="0"/>
    <w:pPr>
      <w:jc w:val="left"/>
    </w:pPr>
  </w:style>
  <w:style w:type="paragraph" w:styleId="7">
    <w:name w:val="Body Text"/>
    <w:basedOn w:val="1"/>
    <w:next w:val="1"/>
    <w:autoRedefine/>
    <w:unhideWhenUsed/>
    <w:qFormat/>
    <w:uiPriority w:val="99"/>
    <w:pPr>
      <w:spacing w:after="120"/>
    </w:pPr>
    <w:rPr>
      <w:rFonts w:eastAsia="Times New Roman"/>
    </w:rPr>
  </w:style>
  <w:style w:type="paragraph" w:styleId="8">
    <w:name w:val="Body Text Indent"/>
    <w:basedOn w:val="1"/>
    <w:next w:val="9"/>
    <w:qFormat/>
    <w:uiPriority w:val="0"/>
    <w:pPr>
      <w:autoSpaceDE w:val="0"/>
      <w:autoSpaceDN w:val="0"/>
      <w:adjustRightInd w:val="0"/>
      <w:spacing w:line="600" w:lineRule="exact"/>
      <w:ind w:firstLine="560"/>
    </w:pPr>
    <w:rPr>
      <w:rFonts w:ascii="方正书宋简体" w:eastAsia="方正书宋简体"/>
      <w:kern w:val="0"/>
      <w:sz w:val="28"/>
      <w:szCs w:val="28"/>
    </w:rPr>
  </w:style>
  <w:style w:type="paragraph" w:styleId="9">
    <w:name w:val="envelope return"/>
    <w:basedOn w:val="1"/>
    <w:qFormat/>
    <w:uiPriority w:val="99"/>
    <w:pPr>
      <w:snapToGrid w:val="0"/>
    </w:pPr>
    <w:rPr>
      <w:rFonts w:ascii="Arial" w:hAnsi="Arial" w:cs="Arial"/>
    </w:rPr>
  </w:style>
  <w:style w:type="paragraph" w:styleId="10">
    <w:name w:val="Plain Text"/>
    <w:basedOn w:val="1"/>
    <w:next w:val="1"/>
    <w:autoRedefine/>
    <w:qFormat/>
    <w:uiPriority w:val="0"/>
    <w:rPr>
      <w:rFonts w:ascii="宋体" w:hAnsi="Courier New"/>
      <w:szCs w:val="20"/>
    </w:rPr>
  </w:style>
  <w:style w:type="paragraph" w:styleId="11">
    <w:name w:val="footer"/>
    <w:basedOn w:val="1"/>
    <w:autoRedefine/>
    <w:qFormat/>
    <w:uiPriority w:val="99"/>
    <w:pPr>
      <w:tabs>
        <w:tab w:val="center" w:pos="4153"/>
        <w:tab w:val="right" w:pos="8306"/>
      </w:tabs>
      <w:snapToGrid w:val="0"/>
      <w:jc w:val="left"/>
    </w:pPr>
    <w:rPr>
      <w:sz w:val="18"/>
      <w:szCs w:val="18"/>
    </w:rPr>
  </w:style>
  <w:style w:type="paragraph" w:styleId="12">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39"/>
  </w:style>
  <w:style w:type="paragraph" w:styleId="14">
    <w:name w:val="toc 4"/>
    <w:basedOn w:val="1"/>
    <w:next w:val="1"/>
    <w:autoRedefine/>
    <w:qFormat/>
    <w:uiPriority w:val="0"/>
    <w:pPr>
      <w:tabs>
        <w:tab w:val="left" w:pos="1890"/>
        <w:tab w:val="right" w:leader="dot" w:pos="8296"/>
      </w:tabs>
      <w:ind w:left="630" w:leftChars="300"/>
    </w:pPr>
    <w:rPr>
      <w:rFonts w:ascii="Calibri" w:hAnsi="Calibri"/>
      <w:szCs w:val="22"/>
    </w:rPr>
  </w:style>
  <w:style w:type="paragraph" w:styleId="15">
    <w:name w:val="toc 2"/>
    <w:basedOn w:val="1"/>
    <w:next w:val="1"/>
    <w:autoRedefine/>
    <w:qFormat/>
    <w:uiPriority w:val="0"/>
    <w:pPr>
      <w:ind w:left="420" w:leftChars="200"/>
    </w:pPr>
  </w:style>
  <w:style w:type="paragraph" w:styleId="16">
    <w:name w:val="Body Text 2"/>
    <w:basedOn w:val="1"/>
    <w:autoRedefine/>
    <w:qFormat/>
    <w:uiPriority w:val="0"/>
    <w:pPr>
      <w:spacing w:line="440" w:lineRule="exact"/>
    </w:pPr>
    <w:rPr>
      <w:kern w:val="0"/>
      <w:szCs w:val="24"/>
    </w:rPr>
  </w:style>
  <w:style w:type="paragraph" w:styleId="17">
    <w:name w:val="Normal (Web)"/>
    <w:basedOn w:val="1"/>
    <w:next w:val="1"/>
    <w:autoRedefine/>
    <w:qFormat/>
    <w:uiPriority w:val="99"/>
    <w:pPr>
      <w:widowControl/>
      <w:spacing w:before="100" w:beforeLines="0" w:beforeAutospacing="1" w:after="100" w:afterLines="0" w:afterAutospacing="1"/>
      <w:jc w:val="left"/>
    </w:pPr>
    <w:rPr>
      <w:rFonts w:ascii="宋体" w:hAnsi="宋体"/>
      <w:sz w:val="24"/>
    </w:rPr>
  </w:style>
  <w:style w:type="paragraph" w:styleId="18">
    <w:name w:val="Body Text First Indent"/>
    <w:basedOn w:val="7"/>
    <w:autoRedefine/>
    <w:qFormat/>
    <w:uiPriority w:val="99"/>
    <w:rPr>
      <w:rFonts w:hAnsi="宋体"/>
      <w:sz w:val="18"/>
      <w:szCs w:val="18"/>
    </w:rPr>
  </w:style>
  <w:style w:type="paragraph" w:styleId="19">
    <w:name w:val="Body Text First Indent 2"/>
    <w:basedOn w:val="8"/>
    <w:next w:val="1"/>
    <w:qFormat/>
    <w:uiPriority w:val="0"/>
    <w:pPr>
      <w:ind w:firstLine="420"/>
    </w:pPr>
  </w:style>
  <w:style w:type="table" w:styleId="21">
    <w:name w:val="Table Grid"/>
    <w:basedOn w:val="20"/>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22"/>
    <w:rPr>
      <w:b/>
      <w:bCs/>
    </w:rPr>
  </w:style>
  <w:style w:type="character" w:styleId="24">
    <w:name w:val="page number"/>
    <w:basedOn w:val="22"/>
    <w:autoRedefine/>
    <w:qFormat/>
    <w:uiPriority w:val="0"/>
  </w:style>
  <w:style w:type="character" w:styleId="25">
    <w:name w:val="FollowedHyperlink"/>
    <w:basedOn w:val="22"/>
    <w:qFormat/>
    <w:uiPriority w:val="0"/>
    <w:rPr>
      <w:color w:val="800080"/>
      <w:u w:val="none"/>
    </w:rPr>
  </w:style>
  <w:style w:type="character" w:styleId="26">
    <w:name w:val="Emphasis"/>
    <w:basedOn w:val="22"/>
    <w:qFormat/>
    <w:uiPriority w:val="0"/>
    <w:rPr>
      <w:b/>
      <w:bCs/>
    </w:rPr>
  </w:style>
  <w:style w:type="character" w:styleId="27">
    <w:name w:val="HTML Definition"/>
    <w:basedOn w:val="22"/>
    <w:qFormat/>
    <w:uiPriority w:val="0"/>
  </w:style>
  <w:style w:type="character" w:styleId="28">
    <w:name w:val="HTML Typewriter"/>
    <w:basedOn w:val="22"/>
    <w:qFormat/>
    <w:uiPriority w:val="0"/>
    <w:rPr>
      <w:rFonts w:hint="default" w:ascii="monospace" w:hAnsi="monospace" w:eastAsia="monospace" w:cs="monospace"/>
      <w:sz w:val="20"/>
    </w:rPr>
  </w:style>
  <w:style w:type="character" w:styleId="29">
    <w:name w:val="HTML Acronym"/>
    <w:basedOn w:val="22"/>
    <w:qFormat/>
    <w:uiPriority w:val="0"/>
  </w:style>
  <w:style w:type="character" w:styleId="30">
    <w:name w:val="HTML Variable"/>
    <w:basedOn w:val="22"/>
    <w:qFormat/>
    <w:uiPriority w:val="0"/>
  </w:style>
  <w:style w:type="character" w:styleId="31">
    <w:name w:val="Hyperlink"/>
    <w:basedOn w:val="22"/>
    <w:qFormat/>
    <w:uiPriority w:val="0"/>
    <w:rPr>
      <w:color w:val="0000FF"/>
      <w:u w:val="none"/>
    </w:rPr>
  </w:style>
  <w:style w:type="character" w:styleId="32">
    <w:name w:val="HTML Code"/>
    <w:basedOn w:val="22"/>
    <w:qFormat/>
    <w:uiPriority w:val="0"/>
    <w:rPr>
      <w:rFonts w:hint="default" w:ascii="monospace" w:hAnsi="monospace" w:eastAsia="monospace" w:cs="monospace"/>
      <w:sz w:val="20"/>
    </w:rPr>
  </w:style>
  <w:style w:type="character" w:styleId="33">
    <w:name w:val="HTML Cite"/>
    <w:basedOn w:val="22"/>
    <w:qFormat/>
    <w:uiPriority w:val="0"/>
  </w:style>
  <w:style w:type="character" w:styleId="34">
    <w:name w:val="HTML Keyboard"/>
    <w:basedOn w:val="22"/>
    <w:qFormat/>
    <w:uiPriority w:val="0"/>
    <w:rPr>
      <w:rFonts w:ascii="monospace" w:hAnsi="monospace" w:eastAsia="monospace" w:cs="monospace"/>
      <w:sz w:val="20"/>
    </w:rPr>
  </w:style>
  <w:style w:type="character" w:styleId="35">
    <w:name w:val="HTML Sample"/>
    <w:basedOn w:val="22"/>
    <w:qFormat/>
    <w:uiPriority w:val="0"/>
    <w:rPr>
      <w:rFonts w:hint="default" w:ascii="monospace" w:hAnsi="monospace" w:eastAsia="monospace" w:cs="monospace"/>
    </w:rPr>
  </w:style>
  <w:style w:type="paragraph" w:customStyle="1" w:styleId="3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7">
    <w:name w:val="无间隔1"/>
    <w:autoRedefine/>
    <w:qFormat/>
    <w:uiPriority w:val="99"/>
    <w:pPr>
      <w:widowControl w:val="0"/>
      <w:jc w:val="both"/>
    </w:pPr>
    <w:rPr>
      <w:rFonts w:ascii="Calibri" w:hAnsi="Calibri" w:eastAsia="宋体" w:cs="Calibri"/>
      <w:kern w:val="2"/>
      <w:sz w:val="21"/>
      <w:szCs w:val="21"/>
      <w:lang w:val="en-US" w:eastAsia="zh-CN" w:bidi="ar-SA"/>
    </w:rPr>
  </w:style>
  <w:style w:type="paragraph" w:customStyle="1" w:styleId="38">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9">
    <w:name w:val="_Style 5"/>
    <w:basedOn w:val="2"/>
    <w:next w:val="1"/>
    <w:autoRedefine/>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40">
    <w:name w:val="_Style 10"/>
    <w:basedOn w:val="2"/>
    <w:next w:val="1"/>
    <w:autoRedefine/>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41">
    <w:name w:val="title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2">
    <w:name w:val="p15"/>
    <w:basedOn w:val="1"/>
    <w:autoRedefine/>
    <w:qFormat/>
    <w:uiPriority w:val="99"/>
    <w:pPr>
      <w:widowControl/>
    </w:pPr>
    <w:rPr>
      <w:kern w:val="0"/>
      <w:szCs w:val="21"/>
    </w:rPr>
  </w:style>
  <w:style w:type="paragraph" w:customStyle="1" w:styleId="43">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table" w:customStyle="1" w:styleId="44">
    <w:name w:val="Table Normal"/>
    <w:autoRedefine/>
    <w:unhideWhenUsed/>
    <w:qFormat/>
    <w:uiPriority w:val="0"/>
    <w:tblPr>
      <w:tblCellMar>
        <w:top w:w="0" w:type="dxa"/>
        <w:left w:w="0" w:type="dxa"/>
        <w:bottom w:w="0" w:type="dxa"/>
        <w:right w:w="0" w:type="dxa"/>
      </w:tblCellMar>
    </w:tblPr>
  </w:style>
  <w:style w:type="paragraph" w:customStyle="1" w:styleId="45">
    <w:name w:val="样式 首行缩进:  2 字符"/>
    <w:basedOn w:val="1"/>
    <w:autoRedefine/>
    <w:qFormat/>
    <w:uiPriority w:val="0"/>
    <w:pPr>
      <w:spacing w:line="400" w:lineRule="exact"/>
    </w:pPr>
    <w:rPr>
      <w:rFonts w:ascii="Times New Roman" w:hAnsi="Times New Roman" w:eastAsia="宋体" w:cs="宋体"/>
    </w:rPr>
  </w:style>
  <w:style w:type="paragraph" w:styleId="46">
    <w:name w:val="List Paragraph"/>
    <w:basedOn w:val="1"/>
    <w:autoRedefine/>
    <w:qFormat/>
    <w:uiPriority w:val="0"/>
  </w:style>
  <w:style w:type="paragraph" w:customStyle="1" w:styleId="47">
    <w:name w:val="Table Paragraph"/>
    <w:basedOn w:val="1"/>
    <w:autoRedefine/>
    <w:qFormat/>
    <w:uiPriority w:val="1"/>
    <w:pPr>
      <w:autoSpaceDE w:val="0"/>
      <w:autoSpaceDN w:val="0"/>
      <w:adjustRightInd w:val="0"/>
      <w:jc w:val="left"/>
    </w:pPr>
    <w:rPr>
      <w:rFonts w:ascii="Times New Roman" w:hAnsi="Times New Roman" w:eastAsia="宋体"/>
      <w:kern w:val="0"/>
      <w:sz w:val="24"/>
      <w:szCs w:val="24"/>
    </w:rPr>
  </w:style>
  <w:style w:type="paragraph" w:customStyle="1" w:styleId="48">
    <w:name w:val="Other|1"/>
    <w:basedOn w:val="1"/>
    <w:autoRedefine/>
    <w:qFormat/>
    <w:uiPriority w:val="0"/>
    <w:pPr>
      <w:widowControl w:val="0"/>
      <w:shd w:val="clear" w:color="auto" w:fill="auto"/>
      <w:spacing w:line="480" w:lineRule="auto"/>
      <w:ind w:firstLine="400"/>
    </w:pPr>
    <w:rPr>
      <w:rFonts w:ascii="宋体" w:hAnsi="宋体" w:eastAsia="宋体" w:cs="宋体"/>
      <w:sz w:val="28"/>
      <w:szCs w:val="28"/>
      <w:u w:val="none"/>
      <w:shd w:val="clear" w:color="auto" w:fill="auto"/>
      <w:lang w:val="zh-TW" w:eastAsia="zh-TW" w:bidi="zh-TW"/>
    </w:rPr>
  </w:style>
  <w:style w:type="paragraph" w:customStyle="1" w:styleId="4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0">
    <w:name w:val="列出段落1"/>
    <w:basedOn w:val="1"/>
    <w:qFormat/>
    <w:uiPriority w:val="0"/>
    <w:pPr>
      <w:widowControl/>
      <w:spacing w:before="156" w:after="156" w:afterLines="50" w:line="360" w:lineRule="auto"/>
      <w:ind w:firstLine="200" w:firstLineChars="200"/>
      <w:contextualSpacing/>
      <w:jc w:val="left"/>
    </w:pPr>
    <w:rPr>
      <w:rFonts w:hint="eastAsia" w:ascii="Calibri" w:hAnsi="Calibri" w:cs="Arial"/>
      <w:kern w:val="0"/>
      <w:sz w:val="24"/>
      <w:szCs w:val="22"/>
      <w:lang w:bidi="en-US"/>
    </w:rPr>
  </w:style>
  <w:style w:type="paragraph" w:customStyle="1" w:styleId="51">
    <w:name w:val="Table Text"/>
    <w:basedOn w:val="1"/>
    <w:semiHidden/>
    <w:qFormat/>
    <w:uiPriority w:val="0"/>
    <w:rPr>
      <w:rFonts w:ascii="宋体" w:hAnsi="宋体" w:eastAsia="宋体" w:cs="宋体"/>
      <w:sz w:val="24"/>
      <w:szCs w:val="24"/>
      <w:lang w:val="en-US" w:eastAsia="en-US" w:bidi="ar-SA"/>
    </w:rPr>
  </w:style>
  <w:style w:type="paragraph" w:customStyle="1" w:styleId="52">
    <w:name w:val="null3"/>
    <w:hidden/>
    <w:qFormat/>
    <w:uiPriority w:val="0"/>
    <w:rPr>
      <w:rFonts w:hint="eastAsia" w:asciiTheme="minorHAnsi" w:hAnsiTheme="minorHAnsi" w:eastAsiaTheme="minorEastAsia" w:cstheme="minorBidi"/>
      <w:lang w:val="en-US" w:eastAsia="zh-Hans"/>
    </w:rPr>
  </w:style>
  <w:style w:type="paragraph" w:customStyle="1" w:styleId="53">
    <w:name w:val="正文缩进1"/>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54">
    <w:name w:val="表格文字"/>
    <w:basedOn w:val="10"/>
    <w:next w:val="7"/>
    <w:qFormat/>
    <w:uiPriority w:val="0"/>
    <w:pPr>
      <w:snapToGrid w:val="0"/>
      <w:spacing w:before="48" w:beforeLines="20" w:after="48" w:afterLines="20"/>
      <w:jc w:val="center"/>
    </w:pPr>
    <w:rPr>
      <w:szCs w:val="24"/>
    </w:rPr>
  </w:style>
  <w:style w:type="character" w:customStyle="1" w:styleId="55">
    <w:name w:val="mini-outputtext1"/>
    <w:basedOn w:val="22"/>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8.xml"/><Relationship Id="rId17" Type="http://schemas.openxmlformats.org/officeDocument/2006/relationships/footer" Target="footer6.xml"/><Relationship Id="rId16" Type="http://schemas.openxmlformats.org/officeDocument/2006/relationships/header" Target="header7.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13192</Words>
  <Characters>14039</Characters>
  <Lines>0</Lines>
  <Paragraphs>0</Paragraphs>
  <TotalTime>1</TotalTime>
  <ScaleCrop>false</ScaleCrop>
  <LinksUpToDate>false</LinksUpToDate>
  <CharactersWithSpaces>14115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2023-10-08T07:00:00Z</dcterms:created>
  <dc:creator>呵呵哒</dc:creator>
  <cp:lastModifiedBy>安小妹</cp:lastModifiedBy>
  <cp:lastPrinted>2024-09-10T07:53:00Z</cp:lastPrinted>
  <dcterms:modified xsi:type="dcterms:W3CDTF">2026-05-22T08:16:32Z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66C6CBA176C749A081E5B22072636055_13</vt:lpwstr>
  </property>
  <property fmtid="{D5CDD505-2E9C-101B-9397-08002B2CF9AE}" pid="4" name="KSOTemplateDocerSaveRecord">
    <vt:lpwstr>eyJoZGlkIjoiMTU2ZDY0MzM4MTc2N2UwZDkwMjE2ODU5ZGMwNzEyYTgiLCJ1c2VySWQiOiIzOTEyODE4MzEifQ==</vt:lpwstr>
  </property>
</Properties>
</file>