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版本号：BYTC2026CG01420260518001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2026年重点区域森林病虫害防治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BYTC2026CG014</w:t>
      </w:r>
      <w:r>
        <w:br/>
      </w:r>
      <w:r>
        <w:br/>
      </w:r>
      <w:r>
        <w:br/>
      </w:r>
    </w:p>
    <w:p>
      <w:pPr>
        <w:pStyle w:val="null3"/>
        <w:jc w:val="center"/>
        <w:outlineLvl w:val="2"/>
      </w:pPr>
      <w:r>
        <w:rPr>
          <w:rFonts w:ascii="仿宋_GB2312" w:hAnsi="仿宋_GB2312" w:cs="仿宋_GB2312" w:eastAsia="仿宋_GB2312"/>
          <w:sz w:val="28"/>
          <w:b/>
        </w:rPr>
        <w:t>汉中市武乡林场</w:t>
      </w:r>
    </w:p>
    <w:p>
      <w:pPr>
        <w:pStyle w:val="null3"/>
        <w:jc w:val="center"/>
        <w:outlineLvl w:val="2"/>
      </w:pPr>
      <w:r>
        <w:rPr>
          <w:rFonts w:ascii="仿宋_GB2312" w:hAnsi="仿宋_GB2312" w:cs="仿宋_GB2312" w:eastAsia="仿宋_GB2312"/>
          <w:sz w:val="28"/>
          <w:b/>
        </w:rPr>
        <w:t>陕西博宇天诚项目管理有限公司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陕西博宇天诚项目管理有限公司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汉中市武乡林场</w:t>
      </w:r>
      <w:r>
        <w:rPr>
          <w:rFonts w:ascii="仿宋_GB2312" w:hAnsi="仿宋_GB2312" w:cs="仿宋_GB2312" w:eastAsia="仿宋_GB2312"/>
        </w:rPr>
        <w:t>委托，拟对</w:t>
      </w:r>
      <w:r>
        <w:rPr>
          <w:rFonts w:ascii="仿宋_GB2312" w:hAnsi="仿宋_GB2312" w:cs="仿宋_GB2312" w:eastAsia="仿宋_GB2312"/>
        </w:rPr>
        <w:t>2026年重点区域森林病虫害防治</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BYTC2026CG014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2026年重点区域森林病虫害防治</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根据汉中市武乡林场2026年重点区域森林病虫害防治实施方案要求对规定区域完成病虫害防治工作。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采购包1（2026年重点区域森林病虫害防治）：属于专门面向中小企业采购。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2、供应商资格承诺函：提供“汉中市政府采购供应商资格承诺函”；</w:t>
      </w:r>
    </w:p>
    <w:p>
      <w:pPr>
        <w:pStyle w:val="null3"/>
      </w:pPr>
      <w:r>
        <w:rPr>
          <w:rFonts w:ascii="仿宋_GB2312" w:hAnsi="仿宋_GB2312" w:cs="仿宋_GB2312" w:eastAsia="仿宋_GB2312"/>
        </w:rPr>
        <w:t>3、法定代表人授权委托书：供应商应授权合法的人员参加投标，其中法定代表人直接参加的，须出具身份证，并与营业执照上信息一致；被授权代表参加的，须出具法定代表人授权书及被授权人身份证；（非法人单位的负责人均参照执行）；</w:t>
      </w:r>
    </w:p>
    <w:p>
      <w:pPr>
        <w:pStyle w:val="null3"/>
      </w:pPr>
      <w:r>
        <w:rPr>
          <w:rFonts w:ascii="仿宋_GB2312" w:hAnsi="仿宋_GB2312" w:cs="仿宋_GB2312" w:eastAsia="仿宋_GB2312"/>
        </w:rPr>
        <w:t>4、供应商资质要求：供应商须具备陕西省林学会颁发的有效期内的林业有害生物防治资质证书（丙级及以上）；</w:t>
      </w:r>
    </w:p>
    <w:p>
      <w:pPr>
        <w:pStyle w:val="null3"/>
      </w:pPr>
      <w:r>
        <w:rPr>
          <w:rFonts w:ascii="仿宋_GB2312" w:hAnsi="仿宋_GB2312" w:cs="仿宋_GB2312" w:eastAsia="仿宋_GB2312"/>
        </w:rPr>
        <w:t>5、农药产品资质要求：供应商提供的农药产品必须提供“三证”（分别是《农药登记证》、《农药生产许可证或农药生产批准文件》、《农药产品标准证或企业标准备案》）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汉中市武乡林场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武乡镇明光村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0916-2488341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陕西博宇天诚项目管理有限公司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陕西省汉中市汉台区汉中路街道办事处荔枝路智诚雅居2楼1号写字间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0916-2697988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开户名称：陕西博宇天诚项目管理有限公司</w:t>
            </w:r>
          </w:p>
          <w:p>
            <w:pPr>
              <w:pStyle w:val="null3"/>
            </w:pPr>
            <w:r>
              <w:rPr>
                <w:rFonts w:ascii="仿宋_GB2312" w:hAnsi="仿宋_GB2312" w:cs="仿宋_GB2312" w:eastAsia="仿宋_GB2312"/>
              </w:rPr>
              <w:t>开户银行：长安银行股份有限公司汉中兴元路支行</w:t>
            </w:r>
          </w:p>
          <w:p>
            <w:pPr>
              <w:pStyle w:val="null3"/>
            </w:pPr>
            <w:r>
              <w:rPr>
                <w:rFonts w:ascii="仿宋_GB2312" w:hAnsi="仿宋_GB2312" w:cs="仿宋_GB2312" w:eastAsia="仿宋_GB2312"/>
              </w:rPr>
              <w:t>银行账号：806060601429999888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费参照国家计委关于印发《采购代理服务收费管理暂行办法的通知》(计价格[2002]1980号)及《国家发展改革委办公厅关于招标代理服务收费有关问题的通知》(发改办价格[2003]857号)规定的收费标准计取，最终收费金额按中标金额计算，招标代理费由成交供应商向采购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汉中市武乡林场</w:t>
      </w:r>
      <w:r>
        <w:rPr>
          <w:rFonts w:ascii="仿宋_GB2312" w:hAnsi="仿宋_GB2312" w:cs="仿宋_GB2312" w:eastAsia="仿宋_GB2312"/>
        </w:rPr>
        <w:t>和</w:t>
      </w:r>
      <w:r>
        <w:rPr>
          <w:rFonts w:ascii="仿宋_GB2312" w:hAnsi="仿宋_GB2312" w:cs="仿宋_GB2312" w:eastAsia="仿宋_GB2312"/>
        </w:rPr>
        <w:t>陕西博宇天诚项目管理有限公司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汉中市武乡林场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陕西博宇天诚项目管理有限公司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汉中市武乡林场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陕西博宇天诚项目管理有限公司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以《汉中市武乡林场2026年重点区域森林病虫害防治实施方案》及采购人工作要求为准。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联系人：李飞</w:t>
      </w:r>
    </w:p>
    <w:p>
      <w:pPr>
        <w:pStyle w:val="null3"/>
      </w:pPr>
      <w:r>
        <w:rPr>
          <w:rFonts w:ascii="仿宋_GB2312" w:hAnsi="仿宋_GB2312" w:cs="仿宋_GB2312" w:eastAsia="仿宋_GB2312"/>
        </w:rPr>
        <w:t>联系电话：0916-2697988</w:t>
      </w:r>
    </w:p>
    <w:p>
      <w:pPr>
        <w:pStyle w:val="null3"/>
      </w:pPr>
      <w:r>
        <w:rPr>
          <w:rFonts w:ascii="仿宋_GB2312" w:hAnsi="仿宋_GB2312" w:cs="仿宋_GB2312" w:eastAsia="仿宋_GB2312"/>
        </w:rPr>
        <w:t>地址：陕西省汉中市汉台区荔枝路祥瑞四季印象南侧智城雅居二楼，陕西博宇天诚项目管理有限公司</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根据汉中市武乡林场2026年重点区域森林病虫害防治实施方案要求对规定区域完成病虫害防治工作。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林业防治服务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标的名称：林业防治服务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森林病虫害防治基本情况</w:t>
            </w:r>
          </w:p>
          <w:p>
            <w:pPr>
              <w:pStyle w:val="null3"/>
              <w:ind w:firstLine="480"/>
              <w:jc w:val="left"/>
            </w:pPr>
            <w:r>
              <w:rPr>
                <w:rFonts w:ascii="仿宋_GB2312" w:hAnsi="仿宋_GB2312" w:cs="仿宋_GB2312" w:eastAsia="仿宋_GB2312"/>
                <w:sz w:val="24"/>
                <w:color w:val="000000"/>
              </w:rPr>
              <w:t>武乡林场始建于</w:t>
            </w:r>
            <w:r>
              <w:rPr>
                <w:rFonts w:ascii="仿宋_GB2312" w:hAnsi="仿宋_GB2312" w:cs="仿宋_GB2312" w:eastAsia="仿宋_GB2312"/>
                <w:sz w:val="24"/>
                <w:color w:val="000000"/>
              </w:rPr>
              <w:t>1958年，森林经营面积7.5万亩，其中人工林以华山松、油松、马尾松“三松”为主，达4.5万亩，目前多数松树进入近熟林阶段。</w:t>
            </w:r>
          </w:p>
          <w:p>
            <w:pPr>
              <w:pStyle w:val="null3"/>
              <w:ind w:firstLine="480"/>
              <w:jc w:val="left"/>
            </w:pPr>
            <w:r>
              <w:rPr>
                <w:rFonts w:ascii="仿宋_GB2312" w:hAnsi="仿宋_GB2312" w:cs="仿宋_GB2312" w:eastAsia="仿宋_GB2312"/>
                <w:sz w:val="24"/>
                <w:color w:val="000000"/>
              </w:rPr>
              <w:t>近年来，受全球气温升高及森林公园人员频繁活动影响</w:t>
            </w:r>
            <w:r>
              <w:rPr>
                <w:rFonts w:ascii="仿宋_GB2312" w:hAnsi="仿宋_GB2312" w:cs="仿宋_GB2312" w:eastAsia="仿宋_GB2312"/>
                <w:sz w:val="24"/>
                <w:color w:val="000000"/>
              </w:rPr>
              <w:t>，</w:t>
            </w:r>
            <w:r>
              <w:rPr>
                <w:rFonts w:ascii="仿宋_GB2312" w:hAnsi="仿宋_GB2312" w:cs="仿宋_GB2312" w:eastAsia="仿宋_GB2312"/>
                <w:sz w:val="24"/>
                <w:color w:val="000000"/>
              </w:rPr>
              <w:t>部分松树出现过熟后生理衰退现象，林区森林</w:t>
            </w:r>
            <w:r>
              <w:rPr>
                <w:rFonts w:ascii="仿宋_GB2312" w:hAnsi="仿宋_GB2312" w:cs="仿宋_GB2312" w:eastAsia="仿宋_GB2312"/>
                <w:sz w:val="24"/>
                <w:color w:val="000000"/>
              </w:rPr>
              <w:t>病虫害呈现多发、蔓延趋势。经技术人员对重点区域松林实地</w:t>
            </w:r>
            <w:r>
              <w:rPr>
                <w:rFonts w:ascii="仿宋_GB2312" w:hAnsi="仿宋_GB2312" w:cs="仿宋_GB2312" w:eastAsia="仿宋_GB2312"/>
                <w:sz w:val="24"/>
                <w:color w:val="000000"/>
              </w:rPr>
              <w:t>调查，发现部分病死、枯死木，初步判定由华山松大小蠹及松褐天牛侵害所致。</w:t>
            </w:r>
          </w:p>
          <w:p>
            <w:pPr>
              <w:pStyle w:val="null3"/>
              <w:ind w:firstLine="480"/>
              <w:jc w:val="left"/>
            </w:pPr>
            <w:r>
              <w:rPr>
                <w:rFonts w:ascii="仿宋_GB2312" w:hAnsi="仿宋_GB2312" w:cs="仿宋_GB2312" w:eastAsia="仿宋_GB2312"/>
                <w:sz w:val="24"/>
                <w:color w:val="000000"/>
              </w:rPr>
              <w:t>为高效防控森林病虫害蔓延，除原计划处置范围外，扩增周边潜在风险林区，全面开展病枯木处置与健康树防护工作，确保森林资源健康有序增长。根据外业调查普查情况，</w:t>
            </w:r>
          </w:p>
          <w:p>
            <w:pPr>
              <w:pStyle w:val="null3"/>
              <w:ind w:firstLine="480"/>
              <w:jc w:val="left"/>
            </w:pPr>
            <w:r>
              <w:rPr>
                <w:rFonts w:ascii="仿宋_GB2312" w:hAnsi="仿宋_GB2312" w:cs="仿宋_GB2312" w:eastAsia="仿宋_GB2312"/>
                <w:sz w:val="24"/>
                <w:color w:val="000000"/>
              </w:rPr>
              <w:t>本次森林病虫害防治重点区域为哑姑山营林区寺沟、哑姑山，石堰寺营林区王子山、练兵场及青泥河营林区对窝石等</w:t>
            </w:r>
            <w:r>
              <w:rPr>
                <w:rFonts w:ascii="仿宋_GB2312" w:hAnsi="仿宋_GB2312" w:cs="仿宋_GB2312" w:eastAsia="仿宋_GB2312"/>
                <w:sz w:val="24"/>
                <w:color w:val="000000"/>
              </w:rPr>
              <w:t>重点区域松林。</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方案编制依据</w:t>
            </w:r>
          </w:p>
          <w:p>
            <w:pPr>
              <w:pStyle w:val="null3"/>
              <w:ind w:firstLine="480"/>
              <w:jc w:val="left"/>
            </w:pPr>
            <w:r>
              <w:rPr>
                <w:rFonts w:ascii="仿宋_GB2312" w:hAnsi="仿宋_GB2312" w:cs="仿宋_GB2312" w:eastAsia="仿宋_GB2312"/>
                <w:sz w:val="24"/>
                <w:color w:val="000000"/>
              </w:rPr>
              <w:t>1. 《陕西省林业有害生物防治检疫条例》</w:t>
            </w:r>
          </w:p>
          <w:p>
            <w:pPr>
              <w:pStyle w:val="null3"/>
              <w:ind w:firstLine="480"/>
              <w:jc w:val="left"/>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汉台区林业局关于下达</w:t>
            </w:r>
            <w:r>
              <w:rPr>
                <w:rFonts w:ascii="仿宋_GB2312" w:hAnsi="仿宋_GB2312" w:cs="仿宋_GB2312" w:eastAsia="仿宋_GB2312"/>
                <w:sz w:val="24"/>
                <w:color w:val="000000"/>
              </w:rPr>
              <w:t>2026年中央财政林业草原改革发展资金(林草有害生物防治补助)计划的通</w:t>
            </w:r>
            <w:r>
              <w:rPr>
                <w:rFonts w:ascii="仿宋_GB2312" w:hAnsi="仿宋_GB2312" w:cs="仿宋_GB2312" w:eastAsia="仿宋_GB2312"/>
                <w:sz w:val="24"/>
                <w:color w:val="000000"/>
              </w:rPr>
              <w:t>知</w:t>
            </w:r>
            <w:r>
              <w:rPr>
                <w:rFonts w:ascii="仿宋_GB2312" w:hAnsi="仿宋_GB2312" w:cs="仿宋_GB2312" w:eastAsia="仿宋_GB2312"/>
                <w:sz w:val="24"/>
                <w:color w:val="000000"/>
              </w:rPr>
              <w:t>(汉林发〔</w:t>
            </w:r>
            <w:r>
              <w:rPr>
                <w:rFonts w:ascii="仿宋_GB2312" w:hAnsi="仿宋_GB2312" w:cs="仿宋_GB2312" w:eastAsia="仿宋_GB2312"/>
                <w:sz w:val="24"/>
                <w:color w:val="000000"/>
              </w:rPr>
              <w:t>2025〕3号)</w:t>
            </w:r>
          </w:p>
          <w:p>
            <w:pPr>
              <w:pStyle w:val="null3"/>
              <w:ind w:firstLine="480"/>
              <w:jc w:val="left"/>
            </w:pPr>
            <w:r>
              <w:rPr>
                <w:rFonts w:ascii="仿宋_GB2312" w:hAnsi="仿宋_GB2312" w:cs="仿宋_GB2312" w:eastAsia="仿宋_GB2312"/>
                <w:sz w:val="24"/>
                <w:color w:val="000000"/>
              </w:rPr>
              <w:t>3. 汉中市汉台区松材线虫病防控指挥部《关于进一步加强松材线虫病防控工作的通知》</w:t>
            </w:r>
          </w:p>
          <w:p>
            <w:pPr>
              <w:pStyle w:val="null3"/>
              <w:ind w:firstLine="480"/>
              <w:jc w:val="left"/>
            </w:pPr>
            <w:r>
              <w:rPr>
                <w:rFonts w:ascii="仿宋_GB2312" w:hAnsi="仿宋_GB2312" w:cs="仿宋_GB2312" w:eastAsia="仿宋_GB2312"/>
                <w:sz w:val="24"/>
                <w:color w:val="000000"/>
              </w:rPr>
              <w:t>4.国家林业和草原局新修订的《松材线虫病防治技术方案》</w:t>
            </w:r>
          </w:p>
          <w:p>
            <w:pPr>
              <w:pStyle w:val="null3"/>
              <w:ind w:firstLine="480"/>
              <w:jc w:val="left"/>
            </w:pPr>
            <w:r>
              <w:rPr>
                <w:rFonts w:ascii="仿宋_GB2312" w:hAnsi="仿宋_GB2312" w:cs="仿宋_GB2312" w:eastAsia="仿宋_GB2312"/>
                <w:sz w:val="24"/>
                <w:color w:val="000000"/>
              </w:rPr>
              <w:t>5.《区秦保中心华山松大小蠹防治技术方案》</w:t>
            </w:r>
          </w:p>
          <w:p>
            <w:pPr>
              <w:pStyle w:val="null3"/>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防治措施</w:t>
            </w:r>
          </w:p>
          <w:p>
            <w:pPr>
              <w:pStyle w:val="null3"/>
              <w:ind w:firstLine="480"/>
              <w:jc w:val="left"/>
            </w:pPr>
            <w:r>
              <w:rPr>
                <w:rFonts w:ascii="仿宋_GB2312" w:hAnsi="仿宋_GB2312" w:cs="仿宋_GB2312" w:eastAsia="仿宋_GB2312"/>
                <w:sz w:val="24"/>
                <w:b/>
                <w:color w:val="000000"/>
              </w:rPr>
              <w:t>(一)病枯木伐除与无害化处理：</w:t>
            </w:r>
            <w:r>
              <w:rPr>
                <w:rFonts w:ascii="仿宋_GB2312" w:hAnsi="仿宋_GB2312" w:cs="仿宋_GB2312" w:eastAsia="仿宋_GB2312"/>
                <w:sz w:val="24"/>
                <w:color w:val="000000"/>
              </w:rPr>
              <w:t>本次处治病、濒死、枯 死木总计3000株。对所有目标树木实行全面伐除，伐桩高度严格控制在5厘米以内。伐除木连同枝丫全部运至指定区域集中焚烧销毁，杜绝虫源扩散。伐桩刻槽放置磷化铝片剂1 - 2 片，用塑料薄膜罩住后四周压土封严，防止药液挥发。</w:t>
            </w:r>
          </w:p>
          <w:p>
            <w:pPr>
              <w:pStyle w:val="null3"/>
              <w:ind w:firstLine="480"/>
              <w:jc w:val="left"/>
            </w:pPr>
            <w:r>
              <w:rPr>
                <w:rFonts w:ascii="仿宋_GB2312" w:hAnsi="仿宋_GB2312" w:cs="仿宋_GB2312" w:eastAsia="仿宋_GB2312"/>
                <w:sz w:val="24"/>
                <w:b/>
                <w:color w:val="000000"/>
              </w:rPr>
              <w:t>(二)打孔插药瓶防治</w:t>
            </w:r>
            <w:r>
              <w:rPr>
                <w:rFonts w:ascii="仿宋_GB2312" w:hAnsi="仿宋_GB2312" w:cs="仿宋_GB2312" w:eastAsia="仿宋_GB2312"/>
                <w:sz w:val="24"/>
                <w:color w:val="000000"/>
              </w:rPr>
              <w:t>： 覆盖林场所有重点松林片区。对区域内健康树、轻枯树及周边健康树全面开展打孔插药瓶防治，提升整体防护效果。</w:t>
            </w:r>
          </w:p>
          <w:p>
            <w:pPr>
              <w:pStyle w:val="null3"/>
              <w:ind w:firstLine="480"/>
              <w:jc w:val="left"/>
            </w:pPr>
            <w:r>
              <w:rPr>
                <w:rFonts w:ascii="仿宋_GB2312" w:hAnsi="仿宋_GB2312" w:cs="仿宋_GB2312" w:eastAsia="仿宋_GB2312"/>
                <w:sz w:val="24"/>
                <w:b/>
                <w:color w:val="000000"/>
              </w:rPr>
              <w:t>(三)定期开展森林病虫害监测和森林病虫害普查。</w:t>
            </w:r>
          </w:p>
          <w:p>
            <w:pPr>
              <w:pStyle w:val="null3"/>
              <w:ind w:firstLine="480"/>
              <w:jc w:val="left"/>
            </w:pPr>
            <w:r>
              <w:rPr>
                <w:rFonts w:ascii="仿宋_GB2312" w:hAnsi="仿宋_GB2312" w:cs="仿宋_GB2312" w:eastAsia="仿宋_GB2312"/>
                <w:sz w:val="24"/>
              </w:rPr>
              <w:t>其他要求详见附件：《</w:t>
            </w:r>
            <w:r>
              <w:rPr>
                <w:rFonts w:ascii="仿宋_GB2312" w:hAnsi="仿宋_GB2312" w:cs="仿宋_GB2312" w:eastAsia="仿宋_GB2312"/>
                <w:sz w:val="24"/>
                <w:b/>
                <w:color w:val="000000"/>
              </w:rPr>
              <w:t>汉中市武乡林场2026年</w:t>
            </w:r>
            <w:r>
              <w:rPr>
                <w:rFonts w:ascii="仿宋_GB2312" w:hAnsi="仿宋_GB2312" w:cs="仿宋_GB2312" w:eastAsia="仿宋_GB2312"/>
                <w:sz w:val="24"/>
                <w:b/>
                <w:color w:val="000000"/>
              </w:rPr>
              <w:t>重点区域森林病虫害防治实施方案》</w:t>
            </w:r>
          </w:p>
          <w:p>
            <w:pPr>
              <w:pStyle w:val="null3"/>
              <w:spacing w:before="210"/>
              <w:ind w:left="270" w:right="1665" w:firstLine="794"/>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供应商根据服务内容自行安排具备相关专业能力服务人员完成本项目所需的全部服务内容。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供应商根据服务内容自备相关专业设施设备，在规定的期限内完成相关服务内容。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1、服务名称： 汉中市武乡林场2026年重点区域森林病虫害防治； 2、服务范围： 本次森林病虫害防治重点区域为哑姑山营林区寺沟、哑姑山，石堰寺营林区王子山、练兵场及青泥河营林区对窝石等重点区域松林。 3、服务内容： (一)病枯木伐除与无害化处理：本次处治病、濒死、枯死木总计3000株。对所有目标树木实行全面伐除，伐桩高度严格控制在5厘米以内。伐除木连同枝丫全部运至指定区域集中焚烧销毁，杜绝虫源扩散。伐桩刻槽放置磷化铝片剂1 - 2 片，用塑料薄膜罩住后四周压土封严，防止药液挥发。 (二)打孔插药瓶防治：覆盖林场所有重点松林片区。对区域内健康树、轻枯树及周边健康树全面开展打孔插药瓶防治，提升整体防护效果。 (三)定期开展森林病虫害监测和森林病虫害普查。 4、服务要求： 1.病木处置：总计处置3000株病枯木。 2.打孔注药 药品：甲氨基阿维菌素苯甲酸盐注干剂130件(规格：25ml*100 瓶)。 5、服务期限： 自签订合同之日30天； 6、服务标准： 满足《汉中市武乡林场2026年重点区域森林病虫害防治实施方案》及采购人工作相关要求；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自签订合同之日起30天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用户指定地点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以《汉中市武乡林场2026年重点区域森林病虫害防治实施方案》及采购人相关工作要求为准。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自签订合同之日起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项目全部完成之后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项目完成验收</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服务或服务质量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 （二）按《民法典》中的相关条款进行商定并补充。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1、供应商需自行承担项目服务过程中所产生的所有风险，包括但不限于：人员安全、财产安全、森林防火、设备安全等全部责任。 2、供应商需按采购人工作要求提供项目所需的全部档案资料。 3、本项目投标报价包含完成本项目所需的全部服务内容，包括但不限于：人员成本、设备成本、用药成本、利润、税金、保险等。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出具身份证，并与营业执照上信息一致；被授权代表参加的，须出具法定代表人授权书及被授权人身份证；（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供应商须具备陕西省林学会颁发的有效期内的林业有害生物防治资质证书（丙级及以上）；</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农药产品资质要求</w:t>
            </w:r>
          </w:p>
        </w:tc>
        <w:tc>
          <w:tcPr>
            <w:tcW w:type="dxa" w:w="3322"/>
          </w:tcPr>
          <w:p>
            <w:pPr>
              <w:pStyle w:val="null3"/>
            </w:pPr>
            <w:r>
              <w:rPr>
                <w:rFonts w:ascii="仿宋_GB2312" w:hAnsi="仿宋_GB2312" w:cs="仿宋_GB2312" w:eastAsia="仿宋_GB2312"/>
              </w:rPr>
              <w:t>供应商提供的农药产品必须提供“三证”（分别是《农药登记证》、《农药生产许可证或农药生产批准文件》、《农药产品标准证或企业标准备案》）</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审查服务内容、投标报价、服务期等是否满足</w:t>
            </w:r>
          </w:p>
        </w:tc>
        <w:tc>
          <w:tcPr>
            <w:tcW w:type="dxa" w:w="3322"/>
          </w:tcPr>
          <w:p>
            <w:pPr>
              <w:pStyle w:val="null3"/>
            </w:pPr>
            <w:r>
              <w:rPr>
                <w:rFonts w:ascii="仿宋_GB2312" w:hAnsi="仿宋_GB2312" w:cs="仿宋_GB2312" w:eastAsia="仿宋_GB2312"/>
              </w:rPr>
              <w:t>审查投标文件中服务内容、投标报价、服务期等是否满足采购文件要求。</w:t>
            </w:r>
          </w:p>
        </w:tc>
        <w:tc>
          <w:tcPr>
            <w:tcW w:type="dxa" w:w="1661"/>
          </w:tcPr>
          <w:p>
            <w:pPr>
              <w:pStyle w:val="null3"/>
            </w:pPr>
            <w:r>
              <w:rPr>
                <w:rFonts w:ascii="仿宋_GB2312" w:hAnsi="仿宋_GB2312" w:cs="仿宋_GB2312" w:eastAsia="仿宋_GB2312"/>
              </w:rPr>
              <w:t>响应文件封面 商务应答表 标的清单 分项报价.docx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分项报价.docx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审查投标文件签署及盖章是否满足要求</w:t>
            </w:r>
          </w:p>
        </w:tc>
        <w:tc>
          <w:tcPr>
            <w:tcW w:type="dxa" w:w="3322"/>
          </w:tcPr>
          <w:p>
            <w:pPr>
              <w:pStyle w:val="null3"/>
            </w:pPr>
            <w:r>
              <w:rPr>
                <w:rFonts w:ascii="仿宋_GB2312" w:hAnsi="仿宋_GB2312" w:cs="仿宋_GB2312" w:eastAsia="仿宋_GB2312"/>
              </w:rPr>
              <w:t>审查投标文件签署及盖章是否符合招标文件要求；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标的清单 报价表 分项报价.docx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针对本项目编制实施方案，内容包括： ①病虫害防治方案； ②农药管理使用方案； 二、赋分标准 1、完整性：方案内容完整全面，对上述各项内容均有描述及说明，得5.0分；缺1项，得2.5分；缺2项，得0分。 2、针对性：针对性强，得5.0分；针对性一般，得3.0分；缺乏针对性，得1.0分；未按要求进行响应的，得0分。 3、可实施性：可实施性强，得5.0分；可实施性一般，得3.0分；缺乏可实施性，得1.0分；未按要求进行响应的，得0分。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详细评审1-实施方案.docx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针对本项目要求编制质量保证措施，内容包括： ①质量控制管理方案②质量保证措施方案。 二、赋分标准 1、完整性：方案内容完整全面，对上述各项内容均有描述及说明，得5.0分；缺1项，得2.5分；缺2项，得0分。 2、针对性：针对性强，得5.0分；针对性一般，得3.0分；缺乏针对性，得1.0分；未按要求进行响应的，得0分。 3、可实施性：可实施性强，得5.0分；可实施性一般，得3.0分；缺乏可实施性，得1.0分；未按要求进行响应的，得0分。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详细评审2-质量保证措施.docx</w:t>
            </w:r>
          </w:p>
        </w:tc>
      </w:tr>
      <w:tr>
        <w:tc>
          <w:tcPr>
            <w:tcW w:type="dxa" w:w="831"/>
            <w:vMerge/>
          </w:tcPr>
          <w:p/>
        </w:tc>
        <w:tc>
          <w:tcPr>
            <w:tcW w:type="dxa" w:w="1661"/>
          </w:tcPr>
          <w:p>
            <w:pPr>
              <w:pStyle w:val="null3"/>
            </w:pPr>
            <w:r>
              <w:rPr>
                <w:rFonts w:ascii="仿宋_GB2312" w:hAnsi="仿宋_GB2312" w:cs="仿宋_GB2312" w:eastAsia="仿宋_GB2312"/>
              </w:rPr>
              <w:t>进度保证措施方案</w:t>
            </w:r>
          </w:p>
        </w:tc>
        <w:tc>
          <w:tcPr>
            <w:tcW w:type="dxa" w:w="2492"/>
          </w:tcPr>
          <w:p>
            <w:pPr>
              <w:pStyle w:val="null3"/>
            </w:pPr>
            <w:r>
              <w:rPr>
                <w:rFonts w:ascii="仿宋_GB2312" w:hAnsi="仿宋_GB2312" w:cs="仿宋_GB2312" w:eastAsia="仿宋_GB2312"/>
              </w:rPr>
              <w:t>一、评审内容 针对本项目编制进度保证措施方案，内容包括： ①项目进度计划②进度保证措施； 二、赋分标准 1、完整性：方案内容完整全面，对上述各项内容均有描述及说明，得5.0分；缺1项，得2.5分；缺2项，得0分。 2、针对性：针对性强，得5.0分；针对性一般，得3.0分；缺乏针对性，得2.0分；未按要求进行响应的，得0分。 3、可实施性：可实施性强，得5.0分；可实施性一般，得3.0分；缺乏可实施性，得2.0分；未按要求进行响应的，得0分。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详细评审3-进度保证措施方案.docx</w:t>
            </w:r>
          </w:p>
        </w:tc>
      </w:tr>
      <w:tr>
        <w:tc>
          <w:tcPr>
            <w:tcW w:type="dxa" w:w="831"/>
            <w:vMerge/>
          </w:tcPr>
          <w:p/>
        </w:tc>
        <w:tc>
          <w:tcPr>
            <w:tcW w:type="dxa" w:w="1661"/>
          </w:tcPr>
          <w:p>
            <w:pPr>
              <w:pStyle w:val="null3"/>
            </w:pPr>
            <w:r>
              <w:rPr>
                <w:rFonts w:ascii="仿宋_GB2312" w:hAnsi="仿宋_GB2312" w:cs="仿宋_GB2312" w:eastAsia="仿宋_GB2312"/>
              </w:rPr>
              <w:t>环境保护管理及人员培训方案</w:t>
            </w:r>
          </w:p>
        </w:tc>
        <w:tc>
          <w:tcPr>
            <w:tcW w:type="dxa" w:w="2492"/>
          </w:tcPr>
          <w:p>
            <w:pPr>
              <w:pStyle w:val="null3"/>
            </w:pPr>
            <w:r>
              <w:rPr>
                <w:rFonts w:ascii="仿宋_GB2312" w:hAnsi="仿宋_GB2312" w:cs="仿宋_GB2312" w:eastAsia="仿宋_GB2312"/>
              </w:rPr>
              <w:t>一、评审内容 针对本项目提供环境保护管理及人员培训方案，内容包括： ①环境保护管理方案； ② 作业人员培训方案； 二、赋分标准 1、完整性：方案内容完整全面，对上述各项内容均有描述及说明，得5.0分；缺1项，得2.5分；缺2项，得0分。 2、针对性：针对性强，得5.0分；针对性一般，得3.0分；缺乏针对性，得1.0分；未按要求进行响应的，得0分。 3、可实施性：可实施性强，得5.0分；可实施性一般，得3.0分；缺乏可实施性，得1.0分。；未按要求进行响应的，得0分。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详细评审4-环境保护管理及人员培训方案.docx</w:t>
            </w:r>
          </w:p>
        </w:tc>
      </w:tr>
      <w:tr>
        <w:tc>
          <w:tcPr>
            <w:tcW w:type="dxa" w:w="831"/>
            <w:vMerge/>
          </w:tcPr>
          <w:p/>
        </w:tc>
        <w:tc>
          <w:tcPr>
            <w:tcW w:type="dxa" w:w="1661"/>
          </w:tcPr>
          <w:p>
            <w:pPr>
              <w:pStyle w:val="null3"/>
            </w:pPr>
            <w:r>
              <w:rPr>
                <w:rFonts w:ascii="仿宋_GB2312" w:hAnsi="仿宋_GB2312" w:cs="仿宋_GB2312" w:eastAsia="仿宋_GB2312"/>
              </w:rPr>
              <w:t>安全管理措施及应急处理方案</w:t>
            </w:r>
          </w:p>
        </w:tc>
        <w:tc>
          <w:tcPr>
            <w:tcW w:type="dxa" w:w="2492"/>
          </w:tcPr>
          <w:p>
            <w:pPr>
              <w:pStyle w:val="null3"/>
            </w:pPr>
            <w:r>
              <w:rPr>
                <w:rFonts w:ascii="仿宋_GB2312" w:hAnsi="仿宋_GB2312" w:cs="仿宋_GB2312" w:eastAsia="仿宋_GB2312"/>
              </w:rPr>
              <w:t>一、评审内容 针对本项目编制安全管理措施及应急处理方案，内容包括： ①安全管理体系及保证措施方案；②项目风险预测及突发事故的应急处理方案； 二、赋分标准 1、完整性：方案内容完整全面，对上述各项内容均有描述及说明，得3.0分；缺1项，得1.5分；缺2项，得0分。 2、针对性：针对性强，得3.0分；针对性一般，得2.0分；缺乏针对性，得1.0分；未按要求进行响应的，得0分。 3、可实施性：可实施性强，得3.0分；可实施性一般，得2.0分；缺乏可实施性，得1.0分；未按要求进行响应的，得0分。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详细评审5-安全管理措施及应急处理方案.docx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供应商2023年1月1日以来完成过同类或类似项目合同，每提供一份得2.0分，最高得4.0分；注：投标文件中提供项目合同协议书（至少需包含合同内容、签字盖章等关键页）复印件并加盖单位公章；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详细评审6-业绩.docx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供应商拟派项目人员具备林业相关从业资格证书、技术职称等专业技术资格证明的每提供1人得2.0分，满分8.0分。（注：投标文件中提供拟派项目人员资格证明材料及身份证复印件并加盖单位公章）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详细评审7-人员配置.docx</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一、评审内容： 供应商针对本项目提供后期服务方案，内容包含： ①项目实施资料管理方案；②交付验收服务保证方案； 二、赋分标准 1、完整性：方案内容完整全面，对上述各项内容均有描述及说明，得3.0分；缺1项，得1.5分；缺2项，得0分。 2、针对性：针对性强，得3.0分；针对性一般，得2.0分；缺乏针对性，得1.0分；未按要求进行响应的，得0分。 3、可实施性：可实施性强，得3.0分；可实施性一般，得2.0分；缺乏可实施性，得1.0分；未按要求进行响应的，得0分。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详细评审8-后期服务.docx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第一步：投标总报价低于或等于财政预算价格的，为有效投标报价。超财政预算的投标报价为无效投标报价。无效投标报价的投标文件不进行评审，也不得中标。 第二步：价格分采用低价优先法计算，即满足招标文件要求且投标价格最低的投标报价为评标基准价，其价格分为满分。 其他投标单位的价格分统一按照下列公式计算： 投标报价得分=（评标基准价/投标报价）*10*100，小数点后保留两位，第三位四舍五入。 注：推荐确定中标候选供应商之前，评标小组认为，排在前面的候选供应商的最终报价或者某些分项报价明显不合理或者低于成本，有可能影响商品质量和不能诚信履约的，应当要求其在规定的期限内提供书面文件予以说明理由，并提交相关证明材料。否则，评标小组可以取消该供应商的候选资格，按顺序由排在其次的候选供应商递补，以此类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详见附件：详细评审1-实施方案.docx</w:t>
      </w:r>
    </w:p>
    <w:p>
      <w:pPr>
        <w:pStyle w:val="null3"/>
        <w:ind w:firstLine="960"/>
      </w:pPr>
      <w:r>
        <w:rPr>
          <w:rFonts w:ascii="仿宋_GB2312" w:hAnsi="仿宋_GB2312" w:cs="仿宋_GB2312" w:eastAsia="仿宋_GB2312"/>
        </w:rPr>
        <w:t>详见附件：详细评审2-质量保证措施.docx</w:t>
      </w:r>
    </w:p>
    <w:p>
      <w:pPr>
        <w:pStyle w:val="null3"/>
        <w:ind w:firstLine="960"/>
      </w:pPr>
      <w:r>
        <w:rPr>
          <w:rFonts w:ascii="仿宋_GB2312" w:hAnsi="仿宋_GB2312" w:cs="仿宋_GB2312" w:eastAsia="仿宋_GB2312"/>
        </w:rPr>
        <w:t>详见附件：详细评审3-进度保证措施方案.docx</w:t>
      </w:r>
    </w:p>
    <w:p>
      <w:pPr>
        <w:pStyle w:val="null3"/>
        <w:ind w:firstLine="960"/>
      </w:pPr>
      <w:r>
        <w:rPr>
          <w:rFonts w:ascii="仿宋_GB2312" w:hAnsi="仿宋_GB2312" w:cs="仿宋_GB2312" w:eastAsia="仿宋_GB2312"/>
        </w:rPr>
        <w:t>详见附件：详细评审4-环境保护管理及人员培训方案.docx</w:t>
      </w:r>
    </w:p>
    <w:p>
      <w:pPr>
        <w:pStyle w:val="null3"/>
        <w:ind w:firstLine="960"/>
      </w:pPr>
      <w:r>
        <w:rPr>
          <w:rFonts w:ascii="仿宋_GB2312" w:hAnsi="仿宋_GB2312" w:cs="仿宋_GB2312" w:eastAsia="仿宋_GB2312"/>
        </w:rPr>
        <w:t>详见附件：详细评审5-安全管理措施及应急处理方案.docx</w:t>
      </w:r>
    </w:p>
    <w:p>
      <w:pPr>
        <w:pStyle w:val="null3"/>
        <w:ind w:firstLine="960"/>
      </w:pPr>
      <w:r>
        <w:rPr>
          <w:rFonts w:ascii="仿宋_GB2312" w:hAnsi="仿宋_GB2312" w:cs="仿宋_GB2312" w:eastAsia="仿宋_GB2312"/>
        </w:rPr>
        <w:t>详见附件：详细评审6-业绩.docx</w:t>
      </w:r>
    </w:p>
    <w:p>
      <w:pPr>
        <w:pStyle w:val="null3"/>
        <w:ind w:firstLine="960"/>
      </w:pPr>
      <w:r>
        <w:rPr>
          <w:rFonts w:ascii="仿宋_GB2312" w:hAnsi="仿宋_GB2312" w:cs="仿宋_GB2312" w:eastAsia="仿宋_GB2312"/>
        </w:rPr>
        <w:t>详见附件：详细评审7-人员配置.docx</w:t>
      </w:r>
    </w:p>
    <w:p>
      <w:pPr>
        <w:pStyle w:val="null3"/>
        <w:ind w:firstLine="960"/>
      </w:pPr>
      <w:r>
        <w:rPr>
          <w:rFonts w:ascii="仿宋_GB2312" w:hAnsi="仿宋_GB2312" w:cs="仿宋_GB2312" w:eastAsia="仿宋_GB2312"/>
        </w:rPr>
        <w:t>详见附件：详细评审8-后期服务.docx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