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D04F1">
      <w:pPr>
        <w:adjustRightInd w:val="0"/>
        <w:snapToGrid w:val="0"/>
        <w:spacing w:line="360" w:lineRule="auto"/>
        <w:ind w:firstLine="803" w:firstLineChars="200"/>
        <w:jc w:val="center"/>
        <w:rPr>
          <w:rFonts w:hint="eastAsia" w:ascii="宋体" w:hAnsi="宋体" w:eastAsia="宋体" w:cs="宋体"/>
          <w:b/>
          <w:bCs/>
          <w:color w:val="auto"/>
          <w:kern w:val="0"/>
          <w:sz w:val="52"/>
          <w:highlight w:val="none"/>
        </w:rPr>
      </w:pPr>
      <w:r>
        <w:rPr>
          <w:rFonts w:hint="eastAsia" w:ascii="宋体" w:hAnsi="宋体" w:eastAsia="宋体" w:cs="宋体"/>
          <w:b/>
          <w:color w:val="auto"/>
          <w:sz w:val="40"/>
          <w:szCs w:val="36"/>
          <w:highlight w:val="none"/>
          <w:lang w:val="zh-CN"/>
        </w:rPr>
        <w:t>拟签订的合同条款文本</w:t>
      </w:r>
    </w:p>
    <w:p w14:paraId="6A5D95C9">
      <w:pPr>
        <w:jc w:val="center"/>
        <w:rPr>
          <w:rFonts w:hint="eastAsia" w:ascii="宋体" w:hAnsi="宋体" w:eastAsia="宋体" w:cs="宋体"/>
          <w:b/>
          <w:bCs/>
          <w:color w:val="auto"/>
          <w:kern w:val="0"/>
          <w:sz w:val="36"/>
          <w:highlight w:val="none"/>
        </w:rPr>
      </w:pPr>
      <w:r>
        <w:rPr>
          <w:rFonts w:hint="eastAsia" w:ascii="宋体" w:hAnsi="宋体" w:eastAsia="宋体" w:cs="宋体"/>
          <w:b/>
          <w:bCs/>
          <w:color w:val="auto"/>
          <w:kern w:val="0"/>
          <w:sz w:val="36"/>
          <w:highlight w:val="none"/>
        </w:rPr>
        <w:t>（供参考，以实际签订为准）</w:t>
      </w:r>
    </w:p>
    <w:p w14:paraId="624A2228">
      <w:pPr>
        <w:rPr>
          <w:rFonts w:hint="eastAsia" w:ascii="宋体" w:hAnsi="宋体" w:eastAsia="宋体" w:cs="宋体"/>
          <w:b/>
          <w:color w:val="auto"/>
          <w:spacing w:val="-20"/>
          <w:sz w:val="52"/>
          <w:szCs w:val="52"/>
          <w:highlight w:val="none"/>
        </w:rPr>
      </w:pPr>
    </w:p>
    <w:p w14:paraId="287E6571">
      <w:pPr>
        <w:jc w:val="center"/>
        <w:rPr>
          <w:rFonts w:hint="eastAsia" w:ascii="宋体" w:hAnsi="宋体" w:eastAsia="宋体" w:cs="宋体"/>
          <w:b/>
          <w:color w:val="auto"/>
          <w:spacing w:val="-20"/>
          <w:sz w:val="52"/>
          <w:szCs w:val="52"/>
          <w:highlight w:val="none"/>
        </w:rPr>
      </w:pPr>
    </w:p>
    <w:p w14:paraId="24A03E00">
      <w:pPr>
        <w:jc w:val="center"/>
        <w:rPr>
          <w:rFonts w:hint="eastAsia" w:ascii="宋体" w:hAnsi="宋体" w:eastAsia="宋体" w:cs="宋体"/>
          <w:b/>
          <w:color w:val="auto"/>
          <w:spacing w:val="-20"/>
          <w:sz w:val="58"/>
          <w:szCs w:val="58"/>
          <w:highlight w:val="none"/>
        </w:rPr>
      </w:pPr>
      <w:r>
        <w:rPr>
          <w:rFonts w:hint="eastAsia" w:ascii="宋体" w:hAnsi="宋体" w:eastAsia="宋体" w:cs="宋体"/>
          <w:b/>
          <w:color w:val="auto"/>
          <w:spacing w:val="-20"/>
          <w:sz w:val="52"/>
          <w:szCs w:val="52"/>
          <w:highlight w:val="none"/>
        </w:rPr>
        <w:t>（项目名称）</w:t>
      </w:r>
    </w:p>
    <w:p w14:paraId="4A661C52">
      <w:pPr>
        <w:jc w:val="center"/>
        <w:rPr>
          <w:rFonts w:hint="eastAsia" w:ascii="宋体" w:hAnsi="宋体" w:eastAsia="宋体" w:cs="宋体"/>
          <w:b/>
          <w:color w:val="auto"/>
          <w:spacing w:val="-20"/>
          <w:sz w:val="58"/>
          <w:szCs w:val="58"/>
          <w:highlight w:val="none"/>
        </w:rPr>
      </w:pPr>
    </w:p>
    <w:p w14:paraId="4962435A">
      <w:pPr>
        <w:jc w:val="center"/>
        <w:rPr>
          <w:rFonts w:hint="eastAsia" w:ascii="宋体" w:hAnsi="宋体" w:eastAsia="宋体" w:cs="宋体"/>
          <w:b/>
          <w:color w:val="auto"/>
          <w:spacing w:val="-20"/>
          <w:sz w:val="58"/>
          <w:szCs w:val="58"/>
          <w:highlight w:val="none"/>
        </w:rPr>
      </w:pPr>
    </w:p>
    <w:p w14:paraId="4D57E080">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服 务 合 同</w:t>
      </w:r>
    </w:p>
    <w:p w14:paraId="3245C6B6">
      <w:pPr>
        <w:jc w:val="center"/>
        <w:rPr>
          <w:rFonts w:hint="eastAsia" w:ascii="宋体" w:hAnsi="宋体" w:eastAsia="宋体" w:cs="宋体"/>
          <w:color w:val="auto"/>
          <w:sz w:val="30"/>
          <w:szCs w:val="30"/>
          <w:highlight w:val="none"/>
        </w:rPr>
      </w:pPr>
    </w:p>
    <w:p w14:paraId="45AC5C8B">
      <w:pPr>
        <w:rPr>
          <w:rFonts w:hint="eastAsia" w:ascii="宋体" w:hAnsi="宋体" w:eastAsia="宋体" w:cs="宋体"/>
          <w:color w:val="auto"/>
          <w:sz w:val="30"/>
          <w:szCs w:val="30"/>
          <w:highlight w:val="none"/>
        </w:rPr>
      </w:pPr>
    </w:p>
    <w:p w14:paraId="23D9994E">
      <w:pPr>
        <w:rPr>
          <w:rFonts w:hint="eastAsia" w:ascii="宋体" w:hAnsi="宋体" w:eastAsia="宋体" w:cs="宋体"/>
          <w:color w:val="auto"/>
          <w:sz w:val="30"/>
          <w:szCs w:val="30"/>
          <w:highlight w:val="none"/>
        </w:rPr>
      </w:pPr>
    </w:p>
    <w:p w14:paraId="02876014">
      <w:pPr>
        <w:pStyle w:val="3"/>
        <w:rPr>
          <w:rFonts w:hint="eastAsia" w:ascii="宋体" w:hAnsi="宋体" w:eastAsia="宋体" w:cs="宋体"/>
          <w:color w:val="auto"/>
          <w:sz w:val="30"/>
          <w:szCs w:val="30"/>
          <w:highlight w:val="none"/>
        </w:rPr>
      </w:pPr>
    </w:p>
    <w:p w14:paraId="0345B561">
      <w:pPr>
        <w:pStyle w:val="3"/>
        <w:rPr>
          <w:rFonts w:hint="eastAsia" w:ascii="宋体" w:hAnsi="宋体" w:eastAsia="宋体" w:cs="宋体"/>
          <w:color w:val="auto"/>
          <w:sz w:val="30"/>
          <w:szCs w:val="30"/>
          <w:highlight w:val="none"/>
        </w:rPr>
      </w:pPr>
    </w:p>
    <w:p w14:paraId="5657D8EC">
      <w:pPr>
        <w:pStyle w:val="3"/>
        <w:rPr>
          <w:rFonts w:hint="eastAsia" w:ascii="宋体" w:hAnsi="宋体" w:eastAsia="宋体" w:cs="宋体"/>
          <w:color w:val="auto"/>
          <w:sz w:val="30"/>
          <w:szCs w:val="30"/>
          <w:highlight w:val="none"/>
        </w:rPr>
      </w:pPr>
    </w:p>
    <w:p w14:paraId="163D9361">
      <w:pPr>
        <w:pStyle w:val="3"/>
        <w:rPr>
          <w:rFonts w:hint="eastAsia" w:ascii="宋体" w:hAnsi="宋体" w:eastAsia="宋体" w:cs="宋体"/>
          <w:color w:val="auto"/>
          <w:sz w:val="30"/>
          <w:szCs w:val="30"/>
          <w:highlight w:val="none"/>
        </w:rPr>
      </w:pPr>
    </w:p>
    <w:p w14:paraId="75DA1F50">
      <w:pPr>
        <w:pStyle w:val="3"/>
        <w:rPr>
          <w:rFonts w:hint="eastAsia" w:ascii="宋体" w:hAnsi="宋体" w:eastAsia="宋体" w:cs="宋体"/>
          <w:color w:val="auto"/>
          <w:sz w:val="30"/>
          <w:szCs w:val="30"/>
          <w:highlight w:val="none"/>
        </w:rPr>
      </w:pPr>
    </w:p>
    <w:p w14:paraId="4F9F8D5B">
      <w:pPr>
        <w:jc w:val="center"/>
        <w:rPr>
          <w:rFonts w:hint="eastAsia" w:ascii="宋体" w:hAnsi="宋体" w:eastAsia="宋体" w:cs="宋体"/>
          <w:color w:val="auto"/>
          <w:sz w:val="28"/>
          <w:szCs w:val="28"/>
          <w:highlight w:val="none"/>
        </w:rPr>
      </w:pPr>
    </w:p>
    <w:p w14:paraId="366983FF">
      <w:pPr>
        <w:ind w:firstLine="2124" w:firstLineChars="664"/>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p>
    <w:p w14:paraId="56A6CB0E">
      <w:pPr>
        <w:tabs>
          <w:tab w:val="left" w:pos="480"/>
        </w:tabs>
        <w:ind w:firstLine="2124" w:firstLineChars="664"/>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乙  方： </w:t>
      </w:r>
    </w:p>
    <w:p w14:paraId="0EC4A86F">
      <w:pPr>
        <w:jc w:val="center"/>
        <w:rPr>
          <w:rFonts w:hint="eastAsia" w:ascii="宋体" w:hAnsi="宋体" w:eastAsia="宋体" w:cs="宋体"/>
          <w:color w:val="auto"/>
          <w:sz w:val="30"/>
          <w:szCs w:val="30"/>
          <w:highlight w:val="none"/>
        </w:rPr>
      </w:pPr>
    </w:p>
    <w:p w14:paraId="434CD9DF">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202</w:t>
      </w:r>
      <w:r>
        <w:rPr>
          <w:rFonts w:hint="eastAsia" w:ascii="宋体" w:hAnsi="宋体" w:eastAsia="宋体" w:cs="宋体"/>
          <w:color w:val="auto"/>
          <w:sz w:val="32"/>
          <w:szCs w:val="32"/>
          <w:highlight w:val="none"/>
          <w:lang w:val="en-US" w:eastAsia="zh-CN"/>
        </w:rPr>
        <w:t>6</w:t>
      </w:r>
      <w:r>
        <w:rPr>
          <w:rFonts w:hint="eastAsia" w:ascii="宋体" w:hAnsi="宋体" w:eastAsia="宋体" w:cs="宋体"/>
          <w:color w:val="auto"/>
          <w:sz w:val="32"/>
          <w:szCs w:val="32"/>
          <w:highlight w:val="none"/>
        </w:rPr>
        <w:t>年   月</w:t>
      </w:r>
    </w:p>
    <w:p w14:paraId="6826097E">
      <w:pPr>
        <w:pStyle w:val="10"/>
        <w:rPr>
          <w:rFonts w:hint="eastAsia" w:ascii="宋体" w:hAnsi="宋体" w:eastAsia="宋体" w:cs="宋体"/>
          <w:color w:val="auto"/>
          <w:highlight w:val="none"/>
        </w:rPr>
      </w:pPr>
    </w:p>
    <w:p w14:paraId="16C77DAB">
      <w:pPr>
        <w:pStyle w:val="10"/>
        <w:rPr>
          <w:rFonts w:hint="eastAsia" w:ascii="宋体" w:hAnsi="宋体" w:eastAsia="宋体" w:cs="宋体"/>
          <w:color w:val="auto"/>
          <w:highlight w:val="none"/>
        </w:rPr>
      </w:pPr>
    </w:p>
    <w:p w14:paraId="398B5A74">
      <w:pPr>
        <w:pStyle w:val="10"/>
        <w:rPr>
          <w:rFonts w:hint="eastAsia" w:ascii="宋体" w:hAnsi="宋体" w:eastAsia="宋体" w:cs="宋体"/>
          <w:color w:val="auto"/>
          <w:highlight w:val="none"/>
        </w:rPr>
      </w:pPr>
    </w:p>
    <w:p w14:paraId="747A3127">
      <w:pPr>
        <w:widowControl/>
        <w:adjustRightInd w:val="0"/>
        <w:snapToGrid w:val="0"/>
        <w:spacing w:line="360" w:lineRule="auto"/>
        <w:ind w:firstLine="482"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甲方：</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5F887382">
      <w:pPr>
        <w:widowControl/>
        <w:adjustRightInd w:val="0"/>
        <w:snapToGrid w:val="0"/>
        <w:spacing w:line="360" w:lineRule="auto"/>
        <w:ind w:firstLine="482"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乙方：</w:t>
      </w:r>
      <w:r>
        <w:rPr>
          <w:rFonts w:hint="eastAsia" w:ascii="宋体" w:hAnsi="宋体" w:eastAsia="宋体" w:cs="宋体"/>
          <w:color w:val="auto"/>
          <w:sz w:val="24"/>
          <w:highlight w:val="none"/>
          <w:u w:val="single"/>
        </w:rPr>
        <w:t xml:space="preserve">                       </w:t>
      </w:r>
    </w:p>
    <w:p w14:paraId="7124C37F">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p>
    <w:p w14:paraId="51DE7A12">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陕西博宇天诚项目管理有限公司就甲方所需服务，按照政府采购程序组织</w:t>
      </w:r>
      <w:r>
        <w:rPr>
          <w:rFonts w:hint="eastAsia" w:ascii="宋体" w:hAnsi="宋体" w:eastAsia="宋体" w:cs="宋体"/>
          <w:color w:val="auto"/>
          <w:sz w:val="24"/>
          <w:highlight w:val="none"/>
          <w:u w:val="single"/>
        </w:rPr>
        <w:t xml:space="preserve"> 竞争性磋商</w:t>
      </w:r>
      <w:r>
        <w:rPr>
          <w:rFonts w:hint="eastAsia" w:ascii="宋体" w:hAnsi="宋体" w:eastAsia="宋体" w:cs="宋体"/>
          <w:color w:val="auto"/>
          <w:sz w:val="24"/>
          <w:highlight w:val="none"/>
        </w:rPr>
        <w:t>，确定乙方为</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u w:val="single"/>
          <w:lang w:bidi="ar"/>
        </w:rPr>
        <w:t>（包号）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zh-CN"/>
        </w:rPr>
        <w:t>(项目</w:t>
      </w:r>
      <w:r>
        <w:rPr>
          <w:rFonts w:hint="eastAsia" w:ascii="宋体" w:hAnsi="宋体" w:eastAsia="宋体" w:cs="宋体"/>
          <w:color w:val="auto"/>
          <w:sz w:val="24"/>
          <w:highlight w:val="none"/>
          <w:u w:val="single"/>
        </w:rPr>
        <w:t>编号：  )</w:t>
      </w:r>
      <w:r>
        <w:rPr>
          <w:rFonts w:hint="eastAsia" w:ascii="宋体" w:hAnsi="宋体" w:eastAsia="宋体" w:cs="宋体"/>
          <w:color w:val="auto"/>
          <w:sz w:val="24"/>
          <w:highlight w:val="none"/>
        </w:rPr>
        <w:t>中标人。依据《中华人民共和国民法典》和《中华人民共和国政府采购法》，以及采购文件、成交通知书，经甲、乙双方协商，达成如下合同条款。</w:t>
      </w:r>
    </w:p>
    <w:p w14:paraId="38393123">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0" w:name="_Toc12630"/>
      <w:r>
        <w:rPr>
          <w:rFonts w:hint="eastAsia" w:ascii="宋体" w:hAnsi="宋体" w:eastAsia="宋体" w:cs="宋体"/>
          <w:b/>
          <w:color w:val="auto"/>
          <w:sz w:val="24"/>
          <w:highlight w:val="none"/>
        </w:rPr>
        <w:t>一、项目名称、标的内容、范围和要求</w:t>
      </w:r>
      <w:bookmarkEnd w:id="0"/>
    </w:p>
    <w:p w14:paraId="5B3AF85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（一）</w:t>
      </w:r>
      <w:r>
        <w:rPr>
          <w:rFonts w:hint="eastAsia" w:ascii="宋体" w:hAnsi="宋体" w:eastAsia="宋体" w:cs="宋体"/>
          <w:b/>
          <w:color w:val="auto"/>
          <w:sz w:val="24"/>
          <w:highlight w:val="none"/>
        </w:rPr>
        <w:t>项目名称</w:t>
      </w:r>
    </w:p>
    <w:p w14:paraId="12F8C1C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bidi="ar"/>
        </w:rPr>
        <w:t xml:space="preserve">       （项目名称）（包号）                                    </w:t>
      </w:r>
    </w:p>
    <w:p w14:paraId="44A78850">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（二）标的内容、范围</w:t>
      </w:r>
    </w:p>
    <w:p w14:paraId="55F0342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 xml:space="preserve">                                                                </w:t>
      </w:r>
    </w:p>
    <w:p w14:paraId="3F2845C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 xml:space="preserve">                                                                 </w:t>
      </w:r>
    </w:p>
    <w:p w14:paraId="31B26398">
      <w:pPr>
        <w:widowControl/>
        <w:numPr>
          <w:ilvl w:val="0"/>
          <w:numId w:val="1"/>
        </w:numPr>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1" w:name="_Toc10628"/>
      <w:r>
        <w:rPr>
          <w:rFonts w:hint="eastAsia" w:ascii="宋体" w:hAnsi="宋体" w:eastAsia="宋体" w:cs="宋体"/>
          <w:b/>
          <w:color w:val="auto"/>
          <w:sz w:val="24"/>
          <w:highlight w:val="none"/>
        </w:rPr>
        <w:t>进度计划及服务期限</w:t>
      </w:r>
      <w:bookmarkEnd w:id="1"/>
    </w:p>
    <w:p w14:paraId="1D1D7F6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服务期限：自政府采购合同签订生效之日起至本项目所有服务内容完成之日止。</w:t>
      </w:r>
    </w:p>
    <w:p w14:paraId="14CAB38C">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2" w:name="_Toc16468"/>
      <w:r>
        <w:rPr>
          <w:rFonts w:hint="eastAsia" w:ascii="宋体" w:hAnsi="宋体" w:eastAsia="宋体" w:cs="宋体"/>
          <w:b/>
          <w:color w:val="auto"/>
          <w:sz w:val="24"/>
          <w:highlight w:val="none"/>
        </w:rPr>
        <w:t>三、技术标准及要求</w:t>
      </w:r>
      <w:bookmarkEnd w:id="2"/>
    </w:p>
    <w:p w14:paraId="0F4397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本项目主要</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内容</w:t>
      </w:r>
      <w:r>
        <w:rPr>
          <w:rFonts w:hint="eastAsia" w:ascii="宋体" w:hAnsi="宋体" w:eastAsia="宋体" w:cs="宋体"/>
          <w:color w:val="auto"/>
          <w:sz w:val="24"/>
          <w:highlight w:val="none"/>
          <w:lang w:val="en-US" w:eastAsia="zh-CN"/>
        </w:rPr>
        <w:t>以</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汉中市武乡林场2026年重点区域森林病虫害防治实施方案</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中要求为准</w:t>
      </w:r>
      <w:r>
        <w:rPr>
          <w:rFonts w:hint="eastAsia" w:ascii="宋体" w:hAnsi="宋体" w:eastAsia="宋体" w:cs="宋体"/>
          <w:color w:val="auto"/>
          <w:sz w:val="24"/>
          <w:highlight w:val="none"/>
        </w:rPr>
        <w:t>。具体技术标准和要求，以</w:t>
      </w:r>
      <w:r>
        <w:rPr>
          <w:rFonts w:hint="eastAsia" w:ascii="宋体" w:hAnsi="宋体" w:eastAsia="宋体" w:cs="宋体"/>
          <w:color w:val="auto"/>
          <w:sz w:val="24"/>
          <w:highlight w:val="none"/>
          <w:lang w:val="en-US" w:eastAsia="zh-CN"/>
        </w:rPr>
        <w:t>采购</w:t>
      </w:r>
      <w:r>
        <w:rPr>
          <w:rFonts w:hint="eastAsia" w:ascii="宋体" w:hAnsi="宋体" w:eastAsia="宋体" w:cs="宋体"/>
          <w:color w:val="auto"/>
          <w:sz w:val="24"/>
          <w:highlight w:val="none"/>
        </w:rPr>
        <w:t>文件、投标文件为准。</w:t>
      </w:r>
    </w:p>
    <w:p w14:paraId="3EDB677E">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3" w:name="_Toc20041"/>
      <w:r>
        <w:rPr>
          <w:rFonts w:hint="eastAsia" w:ascii="宋体" w:hAnsi="宋体" w:eastAsia="宋体" w:cs="宋体"/>
          <w:b/>
          <w:color w:val="auto"/>
          <w:sz w:val="24"/>
          <w:highlight w:val="none"/>
        </w:rPr>
        <w:t>四、合同价款</w:t>
      </w:r>
      <w:bookmarkEnd w:id="3"/>
    </w:p>
    <w:p w14:paraId="6E5EB22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1.合同金额（大写）：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282BB3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2.合同总价即中标价，为一次性报价，不受市场价变化或实际工作量变化的影响。合同价款为完成服务费、人工费、</w:t>
      </w:r>
      <w:r>
        <w:rPr>
          <w:rFonts w:hint="eastAsia" w:ascii="宋体" w:hAnsi="宋体" w:eastAsia="宋体" w:cs="宋体"/>
          <w:color w:val="auto"/>
          <w:sz w:val="24"/>
          <w:highlight w:val="none"/>
          <w:lang w:val="en-US" w:eastAsia="zh-CN"/>
        </w:rPr>
        <w:t>设备费</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保险</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利润</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药品</w:t>
      </w:r>
      <w:r>
        <w:rPr>
          <w:rFonts w:hint="eastAsia" w:ascii="宋体" w:hAnsi="宋体" w:eastAsia="宋体" w:cs="宋体"/>
          <w:color w:val="auto"/>
          <w:sz w:val="24"/>
          <w:highlight w:val="none"/>
        </w:rPr>
        <w:t>、税费及其他相关的一切费用。</w:t>
      </w:r>
    </w:p>
    <w:p w14:paraId="16A7F8B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3.合同总价一次性包死，不受市场价格变化因素的影响。</w:t>
      </w:r>
    </w:p>
    <w:p w14:paraId="7207C155">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五、付款方式</w:t>
      </w:r>
    </w:p>
    <w:p w14:paraId="150DAFFB">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（一）分期付款</w:t>
      </w:r>
    </w:p>
    <w:p w14:paraId="014D1DB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以双方合同约定为准</w:t>
      </w:r>
    </w:p>
    <w:p w14:paraId="1F62F79B">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（二）支付方式：</w:t>
      </w:r>
      <w:r>
        <w:rPr>
          <w:rFonts w:hint="eastAsia" w:ascii="宋体" w:hAnsi="宋体" w:eastAsia="宋体" w:cs="宋体"/>
          <w:color w:val="auto"/>
          <w:sz w:val="24"/>
          <w:highlight w:val="none"/>
        </w:rPr>
        <w:t>银行转账。乙方指定收款银行账户如下：</w:t>
      </w:r>
    </w:p>
    <w:p w14:paraId="6124DBE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p w14:paraId="3FFE1D0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开户账号：</w:t>
      </w:r>
    </w:p>
    <w:p w14:paraId="0EEDEF5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开户人：</w:t>
      </w:r>
    </w:p>
    <w:p w14:paraId="7B796A74">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（三）结算方式：</w:t>
      </w:r>
      <w:r>
        <w:rPr>
          <w:rFonts w:hint="eastAsia" w:ascii="宋体" w:hAnsi="宋体" w:eastAsia="宋体" w:cs="宋体"/>
          <w:color w:val="auto"/>
          <w:sz w:val="24"/>
          <w:highlight w:val="none"/>
        </w:rPr>
        <w:t>验收合格后填写政府采购项目验收单（一式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份），发票（按合同总价值开采购人），服务商持成交通知书、服务合同、正式发票、政府采购项目验收单，与采购人结算。</w:t>
      </w:r>
    </w:p>
    <w:p w14:paraId="7969D8C8">
      <w:pPr>
        <w:widowControl/>
        <w:numPr>
          <w:ilvl w:val="0"/>
          <w:numId w:val="2"/>
        </w:numPr>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知识产权（技术成果）的归属</w:t>
      </w:r>
    </w:p>
    <w:p w14:paraId="6D8AA70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1．本项目所涉及到的所有成果的知识产权归甲方所有。</w:t>
      </w:r>
    </w:p>
    <w:p w14:paraId="73BA1DD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所提供的服务及递交的成果应具有或已取得合法知识产权，乙方应保证所供产品及服务不会出现因第三方提出侵犯其专利权、商标权或其它知识产权而引发法律或经济纠纷，否则由乙方负责解决并承担全部责任。</w:t>
      </w:r>
    </w:p>
    <w:p w14:paraId="6335127D">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3．乙方为执行本合同而提供的技术资料使用权归甲方所有。</w:t>
      </w:r>
    </w:p>
    <w:p w14:paraId="328A741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4.乙方应保证甲方在使用成交产品时，不承担任何涉及知识产权法律诉讼的责任。</w:t>
      </w:r>
    </w:p>
    <w:p w14:paraId="5F5A1B5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5.乙方无论出于任何目的如在其他地方使用该成果，必须经甲方同意方可使用。否则，甲方有权要求终止涉及到该中标知识产权的任何使用活动并保留追究乙方相应的法律责任的权利。</w:t>
      </w:r>
    </w:p>
    <w:p w14:paraId="4DABB6EC">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七、验收标准</w:t>
      </w:r>
    </w:p>
    <w:p w14:paraId="51490E4A">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（一）验收</w:t>
      </w:r>
    </w:p>
    <w:p w14:paraId="1BF1771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验收由</w:t>
      </w:r>
      <w:r>
        <w:rPr>
          <w:rFonts w:hint="eastAsia" w:ascii="宋体" w:hAnsi="宋体" w:eastAsia="宋体" w:cs="宋体"/>
          <w:bCs/>
          <w:color w:val="auto"/>
          <w:sz w:val="24"/>
          <w:highlight w:val="none"/>
          <w:lang w:val="en-US" w:eastAsia="zh-CN"/>
        </w:rPr>
        <w:t>汉中市</w:t>
      </w:r>
      <w:bookmarkStart w:id="6" w:name="_GoBack"/>
      <w:bookmarkEnd w:id="6"/>
      <w:r>
        <w:rPr>
          <w:rFonts w:hint="eastAsia" w:ascii="宋体" w:hAnsi="宋体" w:eastAsia="宋体" w:cs="宋体"/>
          <w:bCs/>
          <w:color w:val="auto"/>
          <w:sz w:val="24"/>
          <w:highlight w:val="none"/>
          <w:lang w:val="en-US" w:eastAsia="zh-CN"/>
        </w:rPr>
        <w:t>武乡林场</w:t>
      </w:r>
      <w:r>
        <w:rPr>
          <w:rFonts w:hint="eastAsia" w:ascii="宋体" w:hAnsi="宋体" w:eastAsia="宋体" w:cs="宋体"/>
          <w:bCs/>
          <w:color w:val="auto"/>
          <w:sz w:val="24"/>
          <w:highlight w:val="none"/>
        </w:rPr>
        <w:t>组织验收小组，依照约定工作内容开展实地验收工作。</w:t>
      </w:r>
    </w:p>
    <w:p w14:paraId="3B17CC5E">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（二）验收依据</w:t>
      </w:r>
    </w:p>
    <w:p w14:paraId="652C23D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1.招投标文件、澄清表（函）；</w:t>
      </w:r>
    </w:p>
    <w:p w14:paraId="5297D06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2.本合同及附件文本；</w:t>
      </w:r>
    </w:p>
    <w:p w14:paraId="50C1DEC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3.合同签订时国家及行业现行的标准和技术规范。</w:t>
      </w:r>
    </w:p>
    <w:p w14:paraId="44D0BCA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u w:val="single"/>
        </w:rPr>
        <w:t xml:space="preserve">                      </w:t>
      </w:r>
    </w:p>
    <w:p w14:paraId="4897C29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（三）资料归档</w:t>
      </w:r>
    </w:p>
    <w:p w14:paraId="6273367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乙方应向甲方提交项目实施过程中的所有资料，以便采购人甲方日后管理和维护。</w:t>
      </w:r>
    </w:p>
    <w:p w14:paraId="7CE032A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八、双方权利义务</w:t>
      </w:r>
    </w:p>
    <w:p w14:paraId="5068BE62">
      <w:pPr>
        <w:widowControl/>
        <w:adjustRightInd w:val="0"/>
        <w:snapToGrid w:val="0"/>
        <w:spacing w:line="360" w:lineRule="auto"/>
        <w:ind w:firstLine="482" w:firstLineChars="200"/>
        <w:textAlignment w:val="baseline"/>
        <w:outlineLvl w:val="0"/>
        <w:rPr>
          <w:rFonts w:hint="eastAsia" w:ascii="宋体" w:hAnsi="宋体" w:eastAsia="宋体" w:cs="宋体"/>
          <w:b/>
          <w:bCs/>
          <w:color w:val="auto"/>
          <w:sz w:val="24"/>
          <w:highlight w:val="none"/>
        </w:rPr>
      </w:pPr>
      <w:bookmarkStart w:id="4" w:name="_Toc31726"/>
      <w:r>
        <w:rPr>
          <w:rFonts w:hint="eastAsia" w:ascii="宋体" w:hAnsi="宋体" w:eastAsia="宋体" w:cs="宋体"/>
          <w:b/>
          <w:bCs/>
          <w:color w:val="auto"/>
          <w:sz w:val="24"/>
          <w:highlight w:val="none"/>
        </w:rPr>
        <w:t>（一）甲方的权利义务</w:t>
      </w:r>
      <w:bookmarkEnd w:id="4"/>
    </w:p>
    <w:p w14:paraId="7B7EB90F">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1.甲方有权向乙方询问工作进展情况及相关的内容。甲方有权阐述对具体问题的意见和建议。</w:t>
      </w:r>
    </w:p>
    <w:p w14:paraId="06676A78">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2.当甲方认定专业人员不按合同履行其职责，或与第三人串通给甲方造成经济损失的，甲方有权要求更换专业人员，直至终止合同并要求乙方承担相应的赔偿责任。</w:t>
      </w:r>
    </w:p>
    <w:p w14:paraId="262463CF">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3.甲方应当授权胜任本项目的代表（联系人姓名及邮箱），负责与乙方联系。</w:t>
      </w:r>
    </w:p>
    <w:p w14:paraId="4F23041F">
      <w:pPr>
        <w:widowControl/>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（二）乙方权利义务</w:t>
      </w:r>
    </w:p>
    <w:p w14:paraId="075CFC4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1、乙方保证项目的维护服务工作符合合同约定的质量要求。</w:t>
      </w:r>
    </w:p>
    <w:p w14:paraId="06D1A55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2、乙方保证其现场维护服务人员具有从事本项目维护服务工作的资格和水平。</w:t>
      </w:r>
    </w:p>
    <w:p w14:paraId="5821172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3、乙方保证在合同履约过程中不侵犯第三方知识产权。</w:t>
      </w:r>
    </w:p>
    <w:p w14:paraId="4F4FBA1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4、乙方人员在甲方现场工作期间，严格遵守甲方的有关规章管理制度。</w:t>
      </w:r>
    </w:p>
    <w:p w14:paraId="201D6C8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5、乙方在合同维护有效期内提供系统技术服务和技术支持。</w:t>
      </w:r>
    </w:p>
    <w:p w14:paraId="246F14EA">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九、保密责任</w:t>
      </w:r>
    </w:p>
    <w:p w14:paraId="4E11F6B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7C2318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2.乙方有义务保护甲方的知识产权，未经甲方同意，不得将甲方所有的具有知识产权性质的成果文件、资料向第三方转让或用于本合同以外的项目。如发生以上情况，甲方有权索赔。</w:t>
      </w:r>
    </w:p>
    <w:p w14:paraId="181F86D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3.保密期限为长期。若乙方泄密应向甲方支付合同价款30%的违约金并赔偿甲方的所有损失。</w:t>
      </w:r>
    </w:p>
    <w:p w14:paraId="51C0DD2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4．本条款为独立条款，本合同的无效、变更、解除和终止均不影响本条款的效力。</w:t>
      </w:r>
    </w:p>
    <w:p w14:paraId="715B660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十、违约责任</w:t>
      </w:r>
    </w:p>
    <w:p w14:paraId="3DD3360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1.按《民法典》中的相关条款执行。</w:t>
      </w:r>
    </w:p>
    <w:p w14:paraId="76BA1D0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bookmarkStart w:id="5" w:name="_Hlk66788073"/>
      <w:r>
        <w:rPr>
          <w:rFonts w:hint="eastAsia" w:ascii="宋体" w:hAnsi="宋体" w:eastAsia="宋体" w:cs="宋体"/>
          <w:color w:val="auto"/>
          <w:sz w:val="24"/>
          <w:highlight w:val="none"/>
        </w:rPr>
        <w:t>2.未按合同要求提供服务或服务质量不能满足合同要求，甲方应当将乙方违约的情况以及拟采取的措施以书面形式报政府采购监管部门，根据政府采购监管部门的处理意见，甲方有权单方面终止合同，并要求乙方承担违约责任。同时，政府采购监管部门有权依据《政府采购法》及相关法律法规对乙方的违法行为进行相应的处罚。</w:t>
      </w:r>
    </w:p>
    <w:p w14:paraId="73A4698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3.在本合同履行过程中，双方因违约或造成对方经济、社会效益等损失的应当赔偿，包括但不限于律师费、差旅费、诉讼费、调查费、公证费、鉴定费、专家证人出庭费、诉讼保全保险费等。</w:t>
      </w:r>
    </w:p>
    <w:p w14:paraId="69D57DA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4.乙方提供的服务不符合本项目相关文件和本合同规定的，甲方有权拒绝，并且乙方须向甲方支付本合同总价款30%的违约金。</w:t>
      </w:r>
    </w:p>
    <w:p w14:paraId="6A19CE1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5.乙方未能按照本合同约定时间提供服务或完成约定的项目服务内容的，从逾期之日起每日按本合同总价款2%的数额向甲方支付违约金；逾期日以上的，甲方有权终止合同，由此造成的甲方经济损失由乙方承担。</w:t>
      </w:r>
    </w:p>
    <w:p w14:paraId="7E1D489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6.未经甲方同意，乙方不得擅自将本合同服务转包或分包第三方承担。</w:t>
      </w:r>
      <w:bookmarkEnd w:id="5"/>
    </w:p>
    <w:p w14:paraId="24987E6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十一、协议解除或终止 </w:t>
      </w:r>
    </w:p>
    <w:p w14:paraId="56F0603A">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（一）除本合同另有规定外，在发生以下情况时，甲方有权在向乙方发出终止通知后终止本合同： </w:t>
      </w:r>
    </w:p>
    <w:p w14:paraId="62CCB80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1.乙方未履行合同规定的义务并且在接到甲方通知后 7 天内或乙方在甲方同意延长的时间内仍未履行的。 </w:t>
      </w:r>
    </w:p>
    <w:p w14:paraId="3264591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2.因乙方的过错导致甲方的初步验收延迟超过 1 周。 </w:t>
      </w:r>
    </w:p>
    <w:p w14:paraId="32C95B0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（二）发生以下情况时，任何一方有权在向另一方发出终止通知后终止本合同： </w:t>
      </w:r>
    </w:p>
    <w:p w14:paraId="50D9F6E6">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1.一方破产或无清偿能力； </w:t>
      </w:r>
    </w:p>
    <w:p w14:paraId="4D5916D4">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2.不可抗力事件阻碍任何一方履行其合同义务持续超过 30 天； </w:t>
      </w:r>
    </w:p>
    <w:p w14:paraId="74B822D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3.因本条而终止时，乙方仅有权就其在终止之前已履行的服务获得付款。 </w:t>
      </w:r>
    </w:p>
    <w:p w14:paraId="4E2EC126">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十二、解决争议方式</w:t>
      </w:r>
    </w:p>
    <w:p w14:paraId="09BFD85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本合同在履行过程中发生的争议，由甲、乙双方当事人协商解决，协商不成的依法向甲方所在地人民法院起诉。</w:t>
      </w:r>
    </w:p>
    <w:p w14:paraId="0AD852B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十三、组成本合同的文件</w:t>
      </w:r>
    </w:p>
    <w:p w14:paraId="254C08B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（一）本合同中的词语和术语的含义与合同条款中定义的相同。</w:t>
      </w:r>
    </w:p>
    <w:p w14:paraId="1BF31956">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（二）下列文件是本合同的组成部分，并与本合同一起阅读和解释：</w:t>
      </w:r>
    </w:p>
    <w:p w14:paraId="5C35CB6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1.中标通知书</w:t>
      </w:r>
    </w:p>
    <w:p w14:paraId="1CD05504">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2.投标响应文件</w:t>
      </w:r>
    </w:p>
    <w:p w14:paraId="4243B5EB">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3.招标文件</w:t>
      </w:r>
    </w:p>
    <w:p w14:paraId="7D0B932A">
      <w:pPr>
        <w:widowControl/>
        <w:autoSpaceDE w:val="0"/>
        <w:autoSpaceDN w:val="0"/>
        <w:adjustRightInd w:val="0"/>
        <w:snapToGrid w:val="0"/>
        <w:spacing w:line="360" w:lineRule="auto"/>
        <w:ind w:firstLine="480" w:firstLineChars="200"/>
        <w:textAlignment w:val="baseline"/>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4.本合同签订后，双方依法签订的补充协议也是本合同文件的组成部分。</w:t>
      </w:r>
    </w:p>
    <w:p w14:paraId="4F1EB1B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十四、合同生效及其他</w:t>
      </w:r>
    </w:p>
    <w:p w14:paraId="1164DF2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1.本合同须经甲、乙双方签字盖章后正式生效。</w:t>
      </w:r>
    </w:p>
    <w:p w14:paraId="3A86FEC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2.合同生效后，甲、乙双方须严格执行本合同条款的规定，全面履行合同，违者按《中华人民共和国民法典》的有关规定承担相应责任。</w:t>
      </w:r>
    </w:p>
    <w:p w14:paraId="5125745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3.本合同一式</w:t>
      </w:r>
      <w:r>
        <w:rPr>
          <w:rFonts w:hint="eastAsia" w:ascii="宋体" w:hAnsi="宋体" w:eastAsia="宋体" w:cs="宋体"/>
          <w:color w:val="auto"/>
          <w:sz w:val="24"/>
          <w:highlight w:val="none"/>
          <w:u w:val="single"/>
        </w:rPr>
        <w:t xml:space="preserve"> 8 </w:t>
      </w:r>
      <w:r>
        <w:rPr>
          <w:rFonts w:hint="eastAsia" w:ascii="宋体" w:hAnsi="宋体" w:eastAsia="宋体" w:cs="宋体"/>
          <w:color w:val="auto"/>
          <w:sz w:val="24"/>
          <w:highlight w:val="none"/>
        </w:rPr>
        <w:t>份，甲方持</w:t>
      </w:r>
      <w:r>
        <w:rPr>
          <w:rFonts w:hint="eastAsia" w:ascii="宋体" w:hAnsi="宋体" w:eastAsia="宋体" w:cs="宋体"/>
          <w:color w:val="auto"/>
          <w:sz w:val="24"/>
          <w:highlight w:val="none"/>
          <w:u w:val="single"/>
        </w:rPr>
        <w:t xml:space="preserve"> 5 </w:t>
      </w:r>
      <w:r>
        <w:rPr>
          <w:rFonts w:hint="eastAsia" w:ascii="宋体" w:hAnsi="宋体" w:eastAsia="宋体" w:cs="宋体"/>
          <w:color w:val="auto"/>
          <w:sz w:val="24"/>
          <w:highlight w:val="none"/>
        </w:rPr>
        <w:t>份，乙方持</w:t>
      </w:r>
      <w:r>
        <w:rPr>
          <w:rFonts w:hint="eastAsia" w:ascii="宋体" w:hAnsi="宋体" w:eastAsia="宋体" w:cs="宋体"/>
          <w:color w:val="auto"/>
          <w:sz w:val="24"/>
          <w:highlight w:val="none"/>
          <w:u w:val="single"/>
        </w:rPr>
        <w:t xml:space="preserve"> 2 </w:t>
      </w:r>
      <w:r>
        <w:rPr>
          <w:rFonts w:hint="eastAsia" w:ascii="宋体" w:hAnsi="宋体" w:eastAsia="宋体" w:cs="宋体"/>
          <w:color w:val="auto"/>
          <w:sz w:val="24"/>
          <w:highlight w:val="none"/>
        </w:rPr>
        <w:t>份，西乡县财政局政府采购管理处备案</w:t>
      </w:r>
      <w:r>
        <w:rPr>
          <w:rFonts w:hint="eastAsia" w:ascii="宋体" w:hAnsi="宋体" w:eastAsia="宋体" w:cs="宋体"/>
          <w:color w:val="auto"/>
          <w:sz w:val="24"/>
          <w:highlight w:val="none"/>
          <w:u w:val="single"/>
        </w:rPr>
        <w:t xml:space="preserve"> 1 </w:t>
      </w:r>
      <w:r>
        <w:rPr>
          <w:rFonts w:hint="eastAsia" w:ascii="宋体" w:hAnsi="宋体" w:eastAsia="宋体" w:cs="宋体"/>
          <w:color w:val="auto"/>
          <w:sz w:val="24"/>
          <w:highlight w:val="none"/>
        </w:rPr>
        <w:t>份。</w:t>
      </w:r>
    </w:p>
    <w:p w14:paraId="036356DE">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4.本合同如有未尽事宜，甲、乙双方协商解决。</w:t>
      </w:r>
    </w:p>
    <w:p w14:paraId="2494A09A">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2"/>
          <w:szCs w:val="18"/>
          <w:highlight w:val="none"/>
        </w:rPr>
      </w:pPr>
      <w:r>
        <w:rPr>
          <w:rFonts w:hint="eastAsia" w:ascii="宋体" w:hAnsi="宋体" w:eastAsia="宋体" w:cs="宋体"/>
          <w:bCs/>
          <w:color w:val="auto"/>
          <w:sz w:val="24"/>
          <w:highlight w:val="none"/>
        </w:rPr>
        <w:t>（以下无正文）</w:t>
      </w:r>
    </w:p>
    <w:p w14:paraId="6B40C0AE">
      <w:pPr>
        <w:spacing w:line="360" w:lineRule="auto"/>
        <w:jc w:val="left"/>
        <w:rPr>
          <w:rFonts w:hint="eastAsia" w:ascii="宋体" w:hAnsi="宋体" w:eastAsia="宋体" w:cs="宋体"/>
          <w:color w:val="auto"/>
          <w:sz w:val="24"/>
          <w:highlight w:val="none"/>
        </w:rPr>
      </w:pPr>
    </w:p>
    <w:p w14:paraId="304E302A">
      <w:pPr>
        <w:rPr>
          <w:rFonts w:hint="eastAsia"/>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F39A3">
    <w:pPr>
      <w:spacing w:line="176" w:lineRule="auto"/>
      <w:ind w:left="44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EDF9A">
                          <w:pPr>
                            <w:pStyle w:val="7"/>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7EEEDF9A">
                    <w:pPr>
                      <w:pStyle w:val="7"/>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CC2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499E9"/>
    <w:multiLevelType w:val="singleLevel"/>
    <w:tmpl w:val="AE3499E9"/>
    <w:lvl w:ilvl="0" w:tentative="0">
      <w:start w:val="2"/>
      <w:numFmt w:val="chineseCounting"/>
      <w:suff w:val="nothing"/>
      <w:lvlText w:val="%1、"/>
      <w:lvlJc w:val="left"/>
      <w:rPr>
        <w:rFonts w:hint="eastAsia"/>
      </w:rPr>
    </w:lvl>
  </w:abstractNum>
  <w:abstractNum w:abstractNumId="1">
    <w:nsid w:val="1E18C35F"/>
    <w:multiLevelType w:val="singleLevel"/>
    <w:tmpl w:val="1E18C35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10DA2FDE"/>
    <w:rsid w:val="11E5037C"/>
    <w:rsid w:val="188C493A"/>
    <w:rsid w:val="1B043F7E"/>
    <w:rsid w:val="268C1462"/>
    <w:rsid w:val="3F0834A4"/>
    <w:rsid w:val="73036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ind w:firstLine="630"/>
    </w:pPr>
    <w:rPr>
      <w:sz w:val="32"/>
      <w:szCs w:val="20"/>
    </w:rPr>
  </w:style>
  <w:style w:type="paragraph" w:styleId="6">
    <w:name w:val="toc 8"/>
    <w:basedOn w:val="1"/>
    <w:next w:val="1"/>
    <w:qFormat/>
    <w:uiPriority w:val="39"/>
    <w:pPr>
      <w:ind w:left="2940" w:leftChars="1400"/>
    </w:pPr>
  </w:style>
  <w:style w:type="paragraph" w:styleId="7">
    <w:name w:val="footer"/>
    <w:basedOn w:val="1"/>
    <w:next w:val="6"/>
    <w:qFormat/>
    <w:uiPriority w:val="0"/>
    <w:pPr>
      <w:tabs>
        <w:tab w:val="center" w:pos="4153"/>
        <w:tab w:val="right" w:pos="8306"/>
      </w:tabs>
      <w:snapToGrid w:val="0"/>
      <w:jc w:val="left"/>
    </w:pPr>
    <w:rPr>
      <w:sz w:val="18"/>
    </w:rPr>
  </w:style>
  <w:style w:type="paragraph" w:customStyle="1" w:styleId="10">
    <w:name w:val="Default"/>
    <w:qFormat/>
    <w:uiPriority w:val="0"/>
    <w:pPr>
      <w:widowControl w:val="0"/>
      <w:autoSpaceDE w:val="0"/>
      <w:autoSpaceDN w:val="0"/>
      <w:adjustRightInd w:val="0"/>
    </w:pPr>
    <w:rPr>
      <w:rFonts w:ascii="等线" w:hAnsi="Cambria Math" w:eastAsia="等线" w:cs="等线"/>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2704</Words>
  <Characters>2747</Characters>
  <Lines>0</Lines>
  <Paragraphs>0</Paragraphs>
  <TotalTime>2</TotalTime>
  <ScaleCrop>false</ScaleCrop>
  <LinksUpToDate>false</LinksUpToDate>
  <CharactersWithSpaces>3055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2024-06-04T09:57:00Z</dcterms:created>
  <dc:creator>Administrator</dc:creator>
  <cp:lastModifiedBy>李飞</cp:lastModifiedBy>
  <dcterms:modified xsi:type="dcterms:W3CDTF">2026-05-18T02:17:35Z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E31A07838B9E497FA9556265F04F21A4_12</vt:lpwstr>
  </property>
  <property fmtid="{D5CDD505-2E9C-101B-9397-08002B2CF9AE}" pid="4" name="KSOTemplateDocerSaveRecord">
    <vt:lpwstr>eyJoZGlkIjoiYmZhNjZmMjQ1MWZlNTA1MTI3ZjI1MjVjNTZhMDAyZTUiLCJ1c2VySWQiOiI0NTY0NDY4NjgifQ==</vt:lpwstr>
  </property>
</Properties>
</file>