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版本号：陕融招字-2026-0604号20260625001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五轴多光束成型系统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陕融招字-2026-0604号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五轴多光束成型系统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陕融招字-2026-0604号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五轴多光束成型系统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五轴多光束成型系统采购项目，能满足钛合金、高温合金、高强钢等多种金属材料高精度智能成形，实现复杂曲面、异形内腔构件的高效近净成形，具有高重复定位精度和构件表面质量，对成型过程可全程直观观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采购包1（五轴多光束成型系统）：属于专门面向中小企业采购。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 自然人应提供身份证）；</w:t>
      </w:r>
    </w:p>
    <w:p>
      <w:pPr>
        <w:pStyle w:val="null3"/>
      </w:pPr>
      <w:r>
        <w:rPr>
          <w:rFonts w:ascii="仿宋_GB2312" w:hAnsi="仿宋_GB2312" w:cs="仿宋_GB2312" w:eastAsia="仿宋_GB2312"/>
        </w:rPr>
        <w:t>2、财务状况报告：提供 2024或 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 3 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 附法定代表人/负责人、被授权人身份证复印件及被授权人近半年任意一个月社保缴纳证明或劳动合同。）（ 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开户银行：中国建设银行股份有限公司西安交大支行</w:t>
            </w:r>
          </w:p>
          <w:p>
            <w:pPr>
              <w:pStyle w:val="null3"/>
            </w:pPr>
            <w:r>
              <w:rPr>
                <w:rFonts w:ascii="仿宋_GB2312" w:hAnsi="仿宋_GB2312" w:cs="仿宋_GB2312" w:eastAsia="仿宋_GB2312"/>
              </w:rPr>
              <w:t>银行账号：6105 0172 4100 0000 1522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 （备注项目编号＋采购包号+项目名称）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 80 万元以下收取定额 3000 元；代理项目金额 80 万以上-400 万以下，按照《招标代理服务收费管理暂行办法》（计价格[2002]1980 号）及（发改办价格 [2011]534 号）规定的计费标准*55%计取。 中标单位在领取中标通知书前，须向采购代理机构一次性支付招标代理服务费；代理服务费以转账、 电汇或现金等形式交纳。 缴纳账号： 开户名称： 陕西思迈融工程建设项目管理有限公司 开户银行：招商银行股份有限公司西安西影路支行 银行账号： 1299 0860 5410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 029-82295130</w:t>
      </w:r>
    </w:p>
    <w:p>
      <w:pPr>
        <w:pStyle w:val="null3"/>
      </w:pPr>
      <w:r>
        <w:rPr>
          <w:rFonts w:ascii="仿宋_GB2312" w:hAnsi="仿宋_GB2312" w:cs="仿宋_GB2312" w:eastAsia="仿宋_GB2312"/>
        </w:rPr>
        <w:t>地址：陕西省西安市雁塔区南二环东段凯森盛世 1 号 B 座 2606 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五轴多光束成型系统采购项目，能满足钛合金、高温合金、高强钢等多种金属材料高精度智能成形，实现复杂曲面、异形内腔构件的高效近净成形，具有高重复定位精度和构件表面质量，对成型过程可全程直观观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五轴多光束成型系统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标的名称：五轴多光束成型系统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配置清单</w:t>
            </w:r>
          </w:p>
          <w:tbl>
            <w:tblPr>
              <w:tblInd w:type="dxa" w:w="135"/>
              <w:tblBorders>
                <w:top w:val="none" w:color="000000" w:sz="4"/>
                <w:left w:val="none" w:color="000000" w:sz="4"/>
                <w:bottom w:val="none" w:color="000000" w:sz="4"/>
                <w:right w:val="none" w:color="000000" w:sz="4"/>
                <w:insideH w:val="none"/>
                <w:insideV w:val="none"/>
              </w:tblBorders>
            </w:tblPr>
            <w:tblGrid>
              <w:gridCol w:w="251"/>
              <w:gridCol w:w="924"/>
              <w:gridCol w:w="765"/>
              <w:gridCol w:w="601"/>
            </w:tblGrid>
            <w:tr>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配置</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五轴多光束成</w:t>
                  </w:r>
                  <w:r>
                    <w:rPr>
                      <w:rFonts w:ascii="仿宋_GB2312" w:hAnsi="仿宋_GB2312" w:cs="仿宋_GB2312" w:eastAsia="仿宋_GB2312"/>
                      <w:sz w:val="24"/>
                      <w:color w:val="000000"/>
                    </w:rPr>
                    <w:t>型系统</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设备主体</w:t>
                  </w:r>
                </w:p>
              </w:tc>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251"/>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同轴多激光系统</w:t>
                  </w:r>
                </w:p>
              </w:tc>
              <w:tc>
                <w:tcPr>
                  <w:tcW w:type="dxa" w:w="60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蓝光激光系统</w:t>
                  </w:r>
                </w:p>
              </w:tc>
              <w:tc>
                <w:tcPr>
                  <w:tcW w:type="dxa" w:w="60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送粉系统</w:t>
                  </w:r>
                </w:p>
              </w:tc>
              <w:tc>
                <w:tcPr>
                  <w:tcW w:type="dxa" w:w="60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冷却系统</w:t>
                  </w:r>
                </w:p>
              </w:tc>
              <w:tc>
                <w:tcPr>
                  <w:tcW w:type="dxa" w:w="60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安全防护与气密系统</w:t>
                  </w:r>
                </w:p>
              </w:tc>
              <w:tc>
                <w:tcPr>
                  <w:tcW w:type="dxa" w:w="60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监测系统</w:t>
                  </w:r>
                </w:p>
              </w:tc>
              <w:tc>
                <w:tcPr>
                  <w:tcW w:type="dxa" w:w="60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电气与控制系统</w:t>
                  </w:r>
                </w:p>
              </w:tc>
              <w:tc>
                <w:tcPr>
                  <w:tcW w:type="dxa" w:w="601"/>
                  <w:vMerge/>
                  <w:tcBorders>
                    <w:top w:val="none" w:color="000000" w:sz="4"/>
                    <w:left w:val="single" w:color="000000" w:sz="4"/>
                    <w:bottom w:val="single" w:color="000000" w:sz="4"/>
                    <w:right w:val="single" w:color="000000" w:sz="4"/>
                  </w:tcBorders>
                </w:tc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喷砂机</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p>
                  <w:pPr>
                    <w:pStyle w:val="null3"/>
                    <w:jc w:val="center"/>
                  </w:pP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防爆吸尘器</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p>
                  <w:pPr>
                    <w:pStyle w:val="null3"/>
                    <w:jc w:val="center"/>
                  </w:pP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高能快速混粉</w:t>
                  </w:r>
                  <w:r>
                    <w:rPr>
                      <w:rFonts w:ascii="仿宋_GB2312" w:hAnsi="仿宋_GB2312" w:cs="仿宋_GB2312" w:eastAsia="仿宋_GB2312"/>
                      <w:sz w:val="24"/>
                      <w:color w:val="000000"/>
                    </w:rPr>
                    <w:t>设备</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p>
                  <w:pPr>
                    <w:pStyle w:val="null3"/>
                    <w:jc w:val="center"/>
                  </w:pP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45"/>
              <w:ind w:left="105"/>
            </w:pPr>
            <w:r>
              <w:rPr>
                <w:rFonts w:ascii="仿宋_GB2312" w:hAnsi="仿宋_GB2312" w:cs="仿宋_GB2312" w:eastAsia="仿宋_GB2312"/>
                <w:sz w:val="24"/>
                <w:color w:val="000000"/>
              </w:rPr>
              <w:t>一、五轴多光束成型系统参数要求：</w:t>
            </w:r>
          </w:p>
          <w:p>
            <w:pPr>
              <w:pStyle w:val="null3"/>
              <w:spacing w:before="180"/>
              <w:ind w:left="105"/>
            </w:pPr>
            <w:r>
              <w:rPr>
                <w:rFonts w:ascii="仿宋_GB2312" w:hAnsi="仿宋_GB2312" w:cs="仿宋_GB2312" w:eastAsia="仿宋_GB2312"/>
                <w:sz w:val="24"/>
                <w:color w:val="000000"/>
              </w:rPr>
              <w:t>1.设备主体</w:t>
            </w:r>
          </w:p>
          <w:p>
            <w:pPr>
              <w:pStyle w:val="null3"/>
              <w:spacing w:before="3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设备主体尺寸：参考尺寸≤3050mm×2260mm×2550mm（长×</w:t>
            </w:r>
            <w:r>
              <w:rPr>
                <w:rFonts w:ascii="仿宋_GB2312" w:hAnsi="仿宋_GB2312" w:cs="仿宋_GB2312" w:eastAsia="仿宋_GB2312"/>
                <w:sz w:val="24"/>
                <w:color w:val="000000"/>
              </w:rPr>
              <w:t>宽×高</w:t>
            </w:r>
            <w:r>
              <w:rPr>
                <w:rFonts w:ascii="仿宋_GB2312" w:hAnsi="仿宋_GB2312" w:cs="仿宋_GB2312" w:eastAsia="仿宋_GB2312"/>
                <w:sz w:val="24"/>
                <w:color w:val="000000"/>
              </w:rPr>
              <w:t>）；</w:t>
            </w:r>
          </w:p>
          <w:p>
            <w:pPr>
              <w:pStyle w:val="null3"/>
              <w:spacing w:before="90"/>
            </w:pPr>
            <w:r>
              <w:rPr>
                <w:rFonts w:ascii="仿宋_GB2312" w:hAnsi="仿宋_GB2312" w:cs="仿宋_GB2312" w:eastAsia="仿宋_GB2312"/>
                <w:sz w:val="24"/>
                <w:color w:val="000000"/>
              </w:rPr>
              <w:t>(2)设备重量≤4500KG；</w:t>
            </w:r>
          </w:p>
          <w:p>
            <w:pPr>
              <w:pStyle w:val="null3"/>
              <w:spacing w:before="90"/>
            </w:pPr>
            <w:r>
              <w:rPr>
                <w:rFonts w:ascii="仿宋_GB2312" w:hAnsi="仿宋_GB2312" w:cs="仿宋_GB2312" w:eastAsia="仿宋_GB2312"/>
                <w:sz w:val="24"/>
                <w:color w:val="000000"/>
              </w:rPr>
              <w:t>(3)设备额定输入功率≤15kW；</w:t>
            </w:r>
          </w:p>
          <w:p>
            <w:pPr>
              <w:pStyle w:val="null3"/>
              <w:spacing w:before="30"/>
              <w:jc w:val="left"/>
            </w:pP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(4)</w:t>
            </w:r>
            <w:r>
              <w:rPr>
                <w:rFonts w:ascii="仿宋_GB2312" w:hAnsi="仿宋_GB2312" w:cs="仿宋_GB2312" w:eastAsia="仿宋_GB2312"/>
                <w:sz w:val="24"/>
                <w:color w:val="000000"/>
              </w:rPr>
              <w:t>成形最大尺寸：有效成形空间直径≥650mm，高度≥</w:t>
            </w:r>
            <w:r>
              <w:rPr>
                <w:rFonts w:ascii="仿宋_GB2312" w:hAnsi="仿宋_GB2312" w:cs="仿宋_GB2312" w:eastAsia="仿宋_GB2312"/>
                <w:sz w:val="24"/>
                <w:color w:val="000000"/>
              </w:rPr>
              <w:t>650mm；</w:t>
            </w:r>
          </w:p>
          <w:p>
            <w:pPr>
              <w:pStyle w:val="null3"/>
              <w:spacing w:before="90"/>
            </w:pPr>
            <w:r>
              <w:rPr>
                <w:rFonts w:ascii="仿宋_GB2312" w:hAnsi="仿宋_GB2312" w:cs="仿宋_GB2312" w:eastAsia="仿宋_GB2312"/>
                <w:sz w:val="24"/>
                <w:color w:val="000000"/>
              </w:rPr>
              <w:t>▲</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(5)设备运动轴数：</w:t>
            </w:r>
            <w:r>
              <w:rPr>
                <w:rFonts w:ascii="仿宋_GB2312" w:hAnsi="仿宋_GB2312" w:cs="仿宋_GB2312" w:eastAsia="仿宋_GB2312"/>
                <w:sz w:val="24"/>
                <w:color w:val="000000"/>
              </w:rPr>
              <w:t>≥5；</w:t>
            </w:r>
          </w:p>
          <w:p>
            <w:pPr>
              <w:pStyle w:val="null3"/>
              <w:ind w:left="90" w:right="210" w:firstLine="34"/>
            </w:pPr>
            <w:r>
              <w:rPr>
                <w:rFonts w:ascii="仿宋_GB2312" w:hAnsi="仿宋_GB2312" w:cs="仿宋_GB2312" w:eastAsia="仿宋_GB2312"/>
                <w:sz w:val="24"/>
                <w:color w:val="000000"/>
              </w:rPr>
              <w:t>数控三轴系统：X轴行程≥800mm；Y轴行程≥900mm；Z轴行程 ≥700mm；定位精度≤ ±0.15mm；重复定位精度≤±0.1mm；数控两轴变位机(工作台面≥650mm)，A 轴行程摇篮摆角范围：≥±120 °；B轴与C轴连续360 °旋转；定位精度≤±0.08 ° ;重复定位精度≤ ±0.05°;</w:t>
            </w:r>
          </w:p>
          <w:p>
            <w:pPr>
              <w:pStyle w:val="null3"/>
              <w:ind w:left="90"/>
            </w:pPr>
            <w:r>
              <w:rPr>
                <w:rFonts w:ascii="仿宋_GB2312" w:hAnsi="仿宋_GB2312" w:cs="仿宋_GB2312" w:eastAsia="仿宋_GB2312"/>
                <w:sz w:val="24"/>
                <w:color w:val="000000"/>
              </w:rPr>
              <w:t>2.同轴多激光系统</w:t>
            </w:r>
          </w:p>
          <w:p>
            <w:pPr>
              <w:pStyle w:val="null3"/>
              <w:spacing w:before="180"/>
              <w:ind w:left="105" w:right="45"/>
            </w:pPr>
            <w:r>
              <w:rPr>
                <w:rFonts w:ascii="仿宋_GB2312" w:hAnsi="仿宋_GB2312" w:cs="仿宋_GB2312" w:eastAsia="仿宋_GB2312"/>
                <w:sz w:val="24"/>
                <w:color w:val="000000"/>
              </w:rPr>
              <w:t>▲</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(1)激光器</w:t>
            </w:r>
            <w:r>
              <w:rPr>
                <w:rFonts w:ascii="仿宋_GB2312" w:hAnsi="仿宋_GB2312" w:cs="仿宋_GB2312" w:eastAsia="仿宋_GB2312"/>
                <w:sz w:val="24"/>
                <w:color w:val="000000"/>
              </w:rPr>
              <w:t>：激光功率≥3000W，</w:t>
            </w:r>
            <w:r>
              <w:rPr>
                <w:rFonts w:ascii="仿宋_GB2312" w:hAnsi="仿宋_GB2312" w:cs="仿宋_GB2312" w:eastAsia="仿宋_GB2312"/>
                <w:sz w:val="24"/>
                <w:color w:val="000000"/>
              </w:rPr>
              <w:t>激</w:t>
            </w:r>
            <w:r>
              <w:rPr>
                <w:rFonts w:ascii="仿宋_GB2312" w:hAnsi="仿宋_GB2312" w:cs="仿宋_GB2312" w:eastAsia="仿宋_GB2312"/>
                <w:sz w:val="24"/>
                <w:color w:val="000000"/>
              </w:rPr>
              <w:t>光中心波长</w:t>
            </w:r>
            <w:r>
              <w:rPr>
                <w:rFonts w:ascii="仿宋_GB2312" w:hAnsi="仿宋_GB2312" w:cs="仿宋_GB2312" w:eastAsia="仿宋_GB2312"/>
                <w:sz w:val="24"/>
                <w:color w:val="000000"/>
              </w:rPr>
              <w:t>976nm±10nm，</w:t>
            </w:r>
            <w:r>
              <w:rPr>
                <w:rFonts w:ascii="仿宋_GB2312" w:hAnsi="仿宋_GB2312" w:cs="仿宋_GB2312" w:eastAsia="仿宋_GB2312"/>
                <w:sz w:val="24"/>
                <w:color w:val="000000"/>
              </w:rPr>
              <w:t>激光类型为四级（Class IV</w:t>
            </w:r>
            <w:r>
              <w:rPr>
                <w:rFonts w:ascii="仿宋_GB2312" w:hAnsi="仿宋_GB2312" w:cs="仿宋_GB2312" w:eastAsia="仿宋_GB2312"/>
                <w:sz w:val="24"/>
                <w:color w:val="000000"/>
              </w:rPr>
              <w:t>）；</w:t>
            </w:r>
          </w:p>
          <w:p>
            <w:pPr>
              <w:pStyle w:val="null3"/>
              <w:spacing w:before="30"/>
              <w:jc w:val="both"/>
            </w:pP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(2)增材热源：多路同轴激光，激光数</w:t>
            </w:r>
            <w:r>
              <w:rPr>
                <w:rFonts w:ascii="仿宋_GB2312" w:hAnsi="仿宋_GB2312" w:cs="仿宋_GB2312" w:eastAsia="仿宋_GB2312"/>
                <w:sz w:val="24"/>
                <w:color w:val="000000"/>
              </w:rPr>
              <w:t>量≥6，单个激光器的功</w:t>
            </w:r>
            <w:r>
              <w:rPr>
                <w:rFonts w:ascii="仿宋_GB2312" w:hAnsi="仿宋_GB2312" w:cs="仿宋_GB2312" w:eastAsia="仿宋_GB2312"/>
                <w:sz w:val="24"/>
                <w:color w:val="000000"/>
              </w:rPr>
              <w:t>率≥500W；</w:t>
            </w:r>
          </w:p>
          <w:p>
            <w:pPr>
              <w:pStyle w:val="null3"/>
              <w:spacing w:before="90"/>
              <w:ind w:left="90" w:right="210" w:firstLine="34"/>
            </w:pPr>
            <w:r>
              <w:rPr>
                <w:rFonts w:ascii="仿宋_GB2312" w:hAnsi="仿宋_GB2312" w:cs="仿宋_GB2312" w:eastAsia="仿宋_GB2312"/>
                <w:sz w:val="24"/>
                <w:color w:val="000000"/>
              </w:rPr>
              <w:t>(3)激光头：重量≤3kg，直径（最大横截</w:t>
            </w:r>
            <w:r>
              <w:rPr>
                <w:rFonts w:ascii="仿宋_GB2312" w:hAnsi="仿宋_GB2312" w:cs="仿宋_GB2312" w:eastAsia="仿宋_GB2312"/>
                <w:sz w:val="24"/>
                <w:color w:val="000000"/>
              </w:rPr>
              <w:t>面尺寸）≤160mm，</w:t>
            </w:r>
            <w:r>
              <w:rPr>
                <w:rFonts w:ascii="仿宋_GB2312" w:hAnsi="仿宋_GB2312" w:cs="仿宋_GB2312" w:eastAsia="仿宋_GB2312"/>
                <w:sz w:val="24"/>
                <w:color w:val="000000"/>
              </w:rPr>
              <w:t>长度≤180mm；</w:t>
            </w:r>
          </w:p>
          <w:p>
            <w:pPr>
              <w:pStyle w:val="null3"/>
              <w:ind w:left="90" w:right="210" w:firstLine="34"/>
            </w:pPr>
            <w:r>
              <w:rPr>
                <w:rFonts w:ascii="仿宋_GB2312" w:hAnsi="仿宋_GB2312" w:cs="仿宋_GB2312" w:eastAsia="仿宋_GB2312"/>
                <w:sz w:val="24"/>
                <w:color w:val="000000"/>
              </w:rPr>
              <w:t>(4)激光热丝辅助预热，热丝电流可调范围0～100A（连续可</w:t>
            </w:r>
            <w:r>
              <w:rPr>
                <w:rFonts w:ascii="仿宋_GB2312" w:hAnsi="仿宋_GB2312" w:cs="仿宋_GB2312" w:eastAsia="仿宋_GB2312"/>
                <w:sz w:val="24"/>
                <w:color w:val="000000"/>
              </w:rPr>
              <w:t>调</w:t>
            </w:r>
            <w:r>
              <w:rPr>
                <w:rFonts w:ascii="仿宋_GB2312" w:hAnsi="仿宋_GB2312" w:cs="仿宋_GB2312" w:eastAsia="仿宋_GB2312"/>
                <w:sz w:val="24"/>
                <w:color w:val="000000"/>
              </w:rPr>
              <w:t>）；</w:t>
            </w:r>
          </w:p>
          <w:p>
            <w:pPr>
              <w:pStyle w:val="null3"/>
              <w:ind w:left="135"/>
            </w:pPr>
            <w:r>
              <w:rPr>
                <w:rFonts w:ascii="仿宋_GB2312" w:hAnsi="仿宋_GB2312" w:cs="仿宋_GB2312" w:eastAsia="仿宋_GB2312"/>
                <w:sz w:val="24"/>
                <w:color w:val="000000"/>
              </w:rPr>
              <w:t>(5)支持丝材直径：0.8～1.5mm（</w:t>
            </w:r>
            <w:r>
              <w:rPr>
                <w:rFonts w:ascii="仿宋_GB2312" w:hAnsi="仿宋_GB2312" w:cs="仿宋_GB2312" w:eastAsia="仿宋_GB2312"/>
                <w:sz w:val="24"/>
                <w:color w:val="000000"/>
              </w:rPr>
              <w:t>连续适配</w:t>
            </w:r>
            <w:r>
              <w:rPr>
                <w:rFonts w:ascii="仿宋_GB2312" w:hAnsi="仿宋_GB2312" w:cs="仿宋_GB2312" w:eastAsia="仿宋_GB2312"/>
                <w:sz w:val="24"/>
                <w:color w:val="000000"/>
              </w:rPr>
              <w:t>）；</w:t>
            </w:r>
          </w:p>
          <w:p>
            <w:pPr>
              <w:pStyle w:val="null3"/>
              <w:spacing w:before="180"/>
              <w:ind w:left="90" w:right="150" w:firstLine="34"/>
            </w:pPr>
            <w:r>
              <w:rPr>
                <w:rFonts w:ascii="仿宋_GB2312" w:hAnsi="仿宋_GB2312" w:cs="仿宋_GB2312" w:eastAsia="仿宋_GB2312"/>
                <w:sz w:val="24"/>
                <w:color w:val="000000"/>
              </w:rPr>
              <w:t>(6)可打印的材料：碳钢、不锈钢、铝合金、镍基合金等主流</w:t>
            </w:r>
            <w:r>
              <w:rPr>
                <w:rFonts w:ascii="仿宋_GB2312" w:hAnsi="仿宋_GB2312" w:cs="仿宋_GB2312" w:eastAsia="仿宋_GB2312"/>
                <w:sz w:val="24"/>
                <w:color w:val="000000"/>
              </w:rPr>
              <w:t>金属丝材；</w:t>
            </w:r>
          </w:p>
          <w:p>
            <w:pPr>
              <w:pStyle w:val="null3"/>
              <w:ind w:left="135"/>
            </w:pPr>
            <w:r>
              <w:rPr>
                <w:rFonts w:ascii="仿宋_GB2312" w:hAnsi="仿宋_GB2312" w:cs="仿宋_GB2312" w:eastAsia="仿宋_GB2312"/>
                <w:sz w:val="24"/>
                <w:color w:val="000000"/>
              </w:rPr>
              <w:t>(7)送丝仓：≤1300mm×1000m</w:t>
            </w:r>
            <w:r>
              <w:rPr>
                <w:rFonts w:ascii="仿宋_GB2312" w:hAnsi="仿宋_GB2312" w:cs="仿宋_GB2312" w:eastAsia="仿宋_GB2312"/>
                <w:sz w:val="24"/>
                <w:color w:val="000000"/>
              </w:rPr>
              <w:t>m×1500mm（长×宽×高）。</w:t>
            </w:r>
          </w:p>
          <w:p>
            <w:pPr>
              <w:pStyle w:val="null3"/>
              <w:spacing w:before="30"/>
              <w:jc w:val="both"/>
            </w:pPr>
            <w:r>
              <w:rPr>
                <w:rFonts w:ascii="仿宋_GB2312" w:hAnsi="仿宋_GB2312" w:cs="仿宋_GB2312" w:eastAsia="仿宋_GB2312"/>
                <w:sz w:val="24"/>
                <w:color w:val="000000"/>
              </w:rPr>
              <w:t>3.蓝光激光系统</w:t>
            </w:r>
          </w:p>
          <w:p>
            <w:pPr>
              <w:pStyle w:val="null3"/>
              <w:spacing w:before="30"/>
              <w:ind w:left="120"/>
            </w:pPr>
            <w:r>
              <w:rPr>
                <w:rFonts w:ascii="仿宋_GB2312" w:hAnsi="仿宋_GB2312" w:cs="仿宋_GB2312" w:eastAsia="仿宋_GB2312"/>
                <w:sz w:val="24"/>
                <w:color w:val="000000"/>
              </w:rPr>
              <w:t>▲</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(1)总输出功率：</w:t>
            </w:r>
            <w:r>
              <w:rPr>
                <w:rFonts w:ascii="仿宋_GB2312" w:hAnsi="仿宋_GB2312" w:cs="仿宋_GB2312" w:eastAsia="仿宋_GB2312"/>
                <w:sz w:val="24"/>
                <w:color w:val="000000"/>
              </w:rPr>
              <w:t>≥800W；</w:t>
            </w:r>
          </w:p>
          <w:p>
            <w:pPr>
              <w:pStyle w:val="null3"/>
              <w:spacing w:before="180"/>
              <w:ind w:left="150"/>
            </w:pPr>
            <w:r>
              <w:rPr>
                <w:rFonts w:ascii="仿宋_GB2312" w:hAnsi="仿宋_GB2312" w:cs="仿宋_GB2312" w:eastAsia="仿宋_GB2312"/>
                <w:sz w:val="24"/>
                <w:color w:val="000000"/>
              </w:rPr>
              <w:t>(2)功率调节范围:10～100%（连续可调</w:t>
            </w:r>
            <w:r>
              <w:rPr>
                <w:rFonts w:ascii="仿宋_GB2312" w:hAnsi="仿宋_GB2312" w:cs="仿宋_GB2312" w:eastAsia="仿宋_GB2312"/>
                <w:sz w:val="24"/>
                <w:color w:val="000000"/>
              </w:rPr>
              <w:t>）；</w:t>
            </w:r>
          </w:p>
          <w:p>
            <w:pPr>
              <w:pStyle w:val="null3"/>
              <w:spacing w:before="180"/>
              <w:ind w:left="150"/>
            </w:pPr>
            <w:r>
              <w:rPr>
                <w:rFonts w:ascii="仿宋_GB2312" w:hAnsi="仿宋_GB2312" w:cs="仿宋_GB2312" w:eastAsia="仿宋_GB2312"/>
                <w:sz w:val="24"/>
                <w:color w:val="000000"/>
              </w:rPr>
              <w:t>(3)制冷方式:水冷（闭环水冷系统</w:t>
            </w:r>
            <w:r>
              <w:rPr>
                <w:rFonts w:ascii="仿宋_GB2312" w:hAnsi="仿宋_GB2312" w:cs="仿宋_GB2312" w:eastAsia="仿宋_GB2312"/>
                <w:sz w:val="24"/>
                <w:color w:val="000000"/>
              </w:rPr>
              <w:t>）；</w:t>
            </w:r>
          </w:p>
          <w:p>
            <w:pPr>
              <w:pStyle w:val="null3"/>
              <w:spacing w:before="180"/>
              <w:ind w:left="150"/>
            </w:pPr>
            <w:r>
              <w:rPr>
                <w:rFonts w:ascii="仿宋_GB2312" w:hAnsi="仿宋_GB2312" w:cs="仿宋_GB2312" w:eastAsia="仿宋_GB2312"/>
                <w:sz w:val="24"/>
                <w:color w:val="000000"/>
              </w:rPr>
              <w:t>(4)支持蓝光或红外激光模块扩展；</w:t>
            </w:r>
          </w:p>
          <w:p>
            <w:pPr>
              <w:pStyle w:val="null3"/>
              <w:spacing w:before="180"/>
              <w:ind w:left="150"/>
            </w:pPr>
            <w:r>
              <w:rPr>
                <w:rFonts w:ascii="仿宋_GB2312" w:hAnsi="仿宋_GB2312" w:cs="仿宋_GB2312" w:eastAsia="仿宋_GB2312"/>
                <w:sz w:val="24"/>
                <w:color w:val="000000"/>
              </w:rPr>
              <w:t>(5)纤芯直径:100～300</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μm。</w:t>
            </w:r>
          </w:p>
          <w:p>
            <w:pPr>
              <w:pStyle w:val="null3"/>
              <w:spacing w:before="180"/>
              <w:ind w:left="105"/>
            </w:pPr>
            <w:r>
              <w:rPr>
                <w:rFonts w:ascii="仿宋_GB2312" w:hAnsi="仿宋_GB2312" w:cs="仿宋_GB2312" w:eastAsia="仿宋_GB2312"/>
                <w:sz w:val="24"/>
                <w:color w:val="000000"/>
              </w:rPr>
              <w:t>4.冷却系统</w:t>
            </w:r>
          </w:p>
          <w:p>
            <w:pPr>
              <w:pStyle w:val="null3"/>
              <w:spacing w:before="180"/>
              <w:ind w:left="150"/>
            </w:pPr>
            <w:r>
              <w:rPr>
                <w:rFonts w:ascii="仿宋_GB2312" w:hAnsi="仿宋_GB2312" w:cs="仿宋_GB2312" w:eastAsia="仿宋_GB2312"/>
                <w:sz w:val="24"/>
                <w:color w:val="000000"/>
              </w:rPr>
              <w:t>(1)制冷量：</w:t>
            </w:r>
            <w:r>
              <w:rPr>
                <w:rFonts w:ascii="仿宋_GB2312" w:hAnsi="仿宋_GB2312" w:cs="仿宋_GB2312" w:eastAsia="仿宋_GB2312"/>
                <w:sz w:val="24"/>
                <w:color w:val="000000"/>
              </w:rPr>
              <w:t>≥3000W；</w:t>
            </w:r>
          </w:p>
          <w:p>
            <w:pPr>
              <w:pStyle w:val="null3"/>
              <w:spacing w:before="180"/>
              <w:ind w:left="120"/>
            </w:pPr>
            <w:r>
              <w:rPr>
                <w:rFonts w:ascii="仿宋_GB2312" w:hAnsi="仿宋_GB2312" w:cs="仿宋_GB2312" w:eastAsia="仿宋_GB2312"/>
                <w:sz w:val="24"/>
                <w:color w:val="000000"/>
              </w:rPr>
              <w:t>▲</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(2)温控精度：≤±1℃;</w:t>
            </w:r>
          </w:p>
          <w:p>
            <w:pPr>
              <w:pStyle w:val="null3"/>
              <w:spacing w:before="180"/>
              <w:ind w:left="150"/>
            </w:pPr>
            <w:r>
              <w:rPr>
                <w:rFonts w:ascii="仿宋_GB2312" w:hAnsi="仿宋_GB2312" w:cs="仿宋_GB2312" w:eastAsia="仿宋_GB2312"/>
                <w:sz w:val="24"/>
                <w:color w:val="000000"/>
              </w:rPr>
              <w:t>(3)最大循环水流量：</w:t>
            </w:r>
            <w:r>
              <w:rPr>
                <w:rFonts w:ascii="仿宋_GB2312" w:hAnsi="仿宋_GB2312" w:cs="仿宋_GB2312" w:eastAsia="仿宋_GB2312"/>
                <w:sz w:val="24"/>
                <w:color w:val="000000"/>
              </w:rPr>
              <w:t>≥15L/min；</w:t>
            </w:r>
          </w:p>
          <w:p>
            <w:pPr>
              <w:pStyle w:val="null3"/>
              <w:spacing w:before="180"/>
              <w:ind w:left="150"/>
            </w:pPr>
            <w:r>
              <w:rPr>
                <w:rFonts w:ascii="仿宋_GB2312" w:hAnsi="仿宋_GB2312" w:cs="仿宋_GB2312" w:eastAsia="仿宋_GB2312"/>
                <w:sz w:val="24"/>
                <w:color w:val="000000"/>
              </w:rPr>
              <w:t>(4)水箱容量≥15L。</w:t>
            </w:r>
          </w:p>
          <w:p>
            <w:pPr>
              <w:pStyle w:val="null3"/>
              <w:spacing w:before="180"/>
              <w:ind w:left="120"/>
            </w:pPr>
            <w:r>
              <w:rPr>
                <w:rFonts w:ascii="仿宋_GB2312" w:hAnsi="仿宋_GB2312" w:cs="仿宋_GB2312" w:eastAsia="仿宋_GB2312"/>
                <w:sz w:val="24"/>
                <w:color w:val="000000"/>
              </w:rPr>
              <w:t>5.送粉系统</w:t>
            </w:r>
          </w:p>
          <w:p>
            <w:pPr>
              <w:pStyle w:val="null3"/>
              <w:spacing w:before="180"/>
              <w:ind w:left="120"/>
            </w:pPr>
            <w:r>
              <w:rPr>
                <w:rFonts w:ascii="仿宋_GB2312" w:hAnsi="仿宋_GB2312" w:cs="仿宋_GB2312" w:eastAsia="仿宋_GB2312"/>
                <w:sz w:val="24"/>
                <w:color w:val="000000"/>
              </w:rPr>
              <w:t>▲</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(1)送粉精度：</w:t>
            </w:r>
            <w:r>
              <w:rPr>
                <w:rFonts w:ascii="仿宋_GB2312" w:hAnsi="仿宋_GB2312" w:cs="仿宋_GB2312" w:eastAsia="仿宋_GB2312"/>
                <w:sz w:val="24"/>
                <w:color w:val="000000"/>
              </w:rPr>
              <w:t>±1.5%；</w:t>
            </w:r>
          </w:p>
          <w:p>
            <w:pPr>
              <w:pStyle w:val="null3"/>
              <w:spacing w:before="180"/>
              <w:ind w:left="120"/>
            </w:pPr>
            <w:r>
              <w:rPr>
                <w:rFonts w:ascii="仿宋_GB2312" w:hAnsi="仿宋_GB2312" w:cs="仿宋_GB2312" w:eastAsia="仿宋_GB2312"/>
                <w:sz w:val="24"/>
                <w:color w:val="000000"/>
              </w:rPr>
              <w:t>▲</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(2)送粉量范围：</w:t>
            </w:r>
            <w:r>
              <w:rPr>
                <w:rFonts w:ascii="仿宋_GB2312" w:hAnsi="仿宋_GB2312" w:cs="仿宋_GB2312" w:eastAsia="仿宋_GB2312"/>
                <w:sz w:val="24"/>
                <w:color w:val="000000"/>
              </w:rPr>
              <w:t>≥0.1～150g/min；</w:t>
            </w:r>
          </w:p>
          <w:p>
            <w:pPr>
              <w:pStyle w:val="null3"/>
              <w:spacing w:before="180"/>
              <w:ind w:left="150"/>
            </w:pPr>
            <w:r>
              <w:rPr>
                <w:rFonts w:ascii="仿宋_GB2312" w:hAnsi="仿宋_GB2312" w:cs="仿宋_GB2312" w:eastAsia="仿宋_GB2312"/>
                <w:sz w:val="24"/>
                <w:color w:val="000000"/>
              </w:rPr>
              <w:t>(3)支持多通道送粉与丝材协同输入；</w:t>
            </w:r>
          </w:p>
          <w:p>
            <w:pPr>
              <w:pStyle w:val="null3"/>
              <w:spacing w:before="180"/>
              <w:ind w:left="150"/>
            </w:pPr>
            <w:r>
              <w:rPr>
                <w:rFonts w:ascii="仿宋_GB2312" w:hAnsi="仿宋_GB2312" w:cs="仿宋_GB2312" w:eastAsia="仿宋_GB2312"/>
                <w:sz w:val="24"/>
                <w:color w:val="000000"/>
              </w:rPr>
              <w:t>(4)粉末颗粒度适应性：粉末直径范围</w:t>
            </w:r>
            <w:r>
              <w:rPr>
                <w:rFonts w:ascii="仿宋_GB2312" w:hAnsi="仿宋_GB2312" w:cs="仿宋_GB2312" w:eastAsia="仿宋_GB2312"/>
                <w:sz w:val="24"/>
                <w:color w:val="000000"/>
              </w:rPr>
              <w:t>20～250</w:t>
            </w:r>
            <w:r>
              <w:rPr>
                <w:rFonts w:ascii="仿宋_GB2312" w:hAnsi="仿宋_GB2312" w:cs="仿宋_GB2312" w:eastAsia="仿宋_GB2312"/>
                <w:sz w:val="24"/>
                <w:color w:val="000000"/>
              </w:rPr>
              <w:t>μm；</w:t>
            </w:r>
          </w:p>
          <w:p>
            <w:pPr>
              <w:pStyle w:val="null3"/>
              <w:spacing w:before="180"/>
              <w:ind w:left="150"/>
            </w:pPr>
            <w:r>
              <w:rPr>
                <w:rFonts w:ascii="仿宋_GB2312" w:hAnsi="仿宋_GB2312" w:cs="仿宋_GB2312" w:eastAsia="仿宋_GB2312"/>
                <w:sz w:val="24"/>
                <w:color w:val="000000"/>
              </w:rPr>
              <w:t>(5)粉末输送距离：3～12m；</w:t>
            </w:r>
          </w:p>
          <w:p>
            <w:pPr>
              <w:pStyle w:val="null3"/>
              <w:spacing w:before="180"/>
              <w:ind w:left="150"/>
            </w:pPr>
            <w:r>
              <w:rPr>
                <w:rFonts w:ascii="仿宋_GB2312" w:hAnsi="仿宋_GB2312" w:cs="仿宋_GB2312" w:eastAsia="仿宋_GB2312"/>
                <w:sz w:val="24"/>
                <w:color w:val="000000"/>
              </w:rPr>
              <w:t>(6)丝材与粉末同步输送，扩展模块接口兼容标准工业尺寸；</w:t>
            </w:r>
          </w:p>
          <w:p>
            <w:pPr>
              <w:pStyle w:val="null3"/>
              <w:spacing w:before="180"/>
              <w:ind w:left="150"/>
            </w:pPr>
            <w:r>
              <w:rPr>
                <w:rFonts w:ascii="仿宋_GB2312" w:hAnsi="仿宋_GB2312" w:cs="仿宋_GB2312" w:eastAsia="仿宋_GB2312"/>
                <w:sz w:val="24"/>
                <w:color w:val="000000"/>
              </w:rPr>
              <w:t>(7)冷却形式：水冷。</w:t>
            </w:r>
          </w:p>
          <w:p>
            <w:pPr>
              <w:pStyle w:val="null3"/>
              <w:spacing w:before="180"/>
              <w:ind w:left="120"/>
            </w:pPr>
            <w:r>
              <w:rPr>
                <w:rFonts w:ascii="仿宋_GB2312" w:hAnsi="仿宋_GB2312" w:cs="仿宋_GB2312" w:eastAsia="仿宋_GB2312"/>
                <w:sz w:val="24"/>
                <w:color w:val="000000"/>
              </w:rPr>
              <w:t>6.安全防护与气密系统</w:t>
            </w:r>
          </w:p>
          <w:p>
            <w:pPr>
              <w:pStyle w:val="null3"/>
              <w:spacing w:before="180"/>
              <w:ind w:left="120" w:right="210" w:firstLine="34"/>
            </w:pPr>
            <w:r>
              <w:rPr>
                <w:rFonts w:ascii="仿宋_GB2312" w:hAnsi="仿宋_GB2312" w:cs="仿宋_GB2312" w:eastAsia="仿宋_GB2312"/>
                <w:sz w:val="24"/>
                <w:color w:val="000000"/>
              </w:rPr>
              <w:t>(1)激光防护玻璃：OD7</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防护等级，光</w:t>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OD≥6（@976nm</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波</w:t>
            </w:r>
            <w:r>
              <w:rPr>
                <w:rFonts w:ascii="仿宋_GB2312" w:hAnsi="仿宋_GB2312" w:cs="仿宋_GB2312" w:eastAsia="仿宋_GB2312"/>
                <w:sz w:val="24"/>
                <w:color w:val="000000"/>
              </w:rPr>
              <w:t>长</w:t>
            </w:r>
            <w:r>
              <w:rPr>
                <w:rFonts w:ascii="仿宋_GB2312" w:hAnsi="仿宋_GB2312" w:cs="仿宋_GB2312" w:eastAsia="仿宋_GB2312"/>
                <w:sz w:val="24"/>
                <w:color w:val="000000"/>
              </w:rPr>
              <w:t>）；</w:t>
            </w:r>
          </w:p>
          <w:p>
            <w:pPr>
              <w:pStyle w:val="null3"/>
              <w:ind w:left="120" w:right="105" w:firstLine="33"/>
            </w:pPr>
            <w:r>
              <w:rPr>
                <w:rFonts w:ascii="仿宋_GB2312" w:hAnsi="仿宋_GB2312" w:cs="仿宋_GB2312" w:eastAsia="仿宋_GB2312"/>
                <w:sz w:val="24"/>
                <w:color w:val="000000"/>
              </w:rPr>
              <w:t>(2)全局气密：加工仓内氧含量≤500ppm</w:t>
            </w:r>
            <w:r>
              <w:rPr>
                <w:rFonts w:ascii="仿宋_GB2312" w:hAnsi="仿宋_GB2312" w:cs="仿宋_GB2312" w:eastAsia="仿宋_GB2312"/>
                <w:sz w:val="24"/>
                <w:color w:val="000000"/>
              </w:rPr>
              <w:t>，配备正压惰性气体</w:t>
            </w:r>
            <w:r>
              <w:rPr>
                <w:rFonts w:ascii="仿宋_GB2312" w:hAnsi="仿宋_GB2312" w:cs="仿宋_GB2312" w:eastAsia="仿宋_GB2312"/>
                <w:sz w:val="24"/>
                <w:color w:val="000000"/>
              </w:rPr>
              <w:t>保护，压力可调范围</w:t>
            </w:r>
            <w:r>
              <w:rPr>
                <w:rFonts w:ascii="仿宋_GB2312" w:hAnsi="仿宋_GB2312" w:cs="仿宋_GB2312" w:eastAsia="仿宋_GB2312"/>
                <w:sz w:val="24"/>
                <w:color w:val="000000"/>
              </w:rPr>
              <w:t>0～50Pa。</w:t>
            </w:r>
          </w:p>
          <w:p>
            <w:pPr>
              <w:pStyle w:val="null3"/>
              <w:ind w:left="120"/>
            </w:pPr>
            <w:r>
              <w:rPr>
                <w:rFonts w:ascii="仿宋_GB2312" w:hAnsi="仿宋_GB2312" w:cs="仿宋_GB2312" w:eastAsia="仿宋_GB2312"/>
                <w:sz w:val="24"/>
                <w:color w:val="000000"/>
              </w:rPr>
              <w:t>7.监测系统</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熔池监测系统，可对增材区域的熔池形貌进行实时分析，解</w:t>
            </w:r>
            <w:r>
              <w:rPr>
                <w:rFonts w:ascii="仿宋_GB2312" w:hAnsi="仿宋_GB2312" w:cs="仿宋_GB2312" w:eastAsia="仿宋_GB2312"/>
                <w:sz w:val="24"/>
                <w:color w:val="000000"/>
              </w:rPr>
              <w:t>析并还原增材熔池画面，熔池相机：分辨率≥1440×108</w:t>
            </w:r>
            <w:r>
              <w:rPr>
                <w:rFonts w:ascii="仿宋_GB2312" w:hAnsi="仿宋_GB2312" w:cs="仿宋_GB2312" w:eastAsia="仿宋_GB2312"/>
                <w:sz w:val="24"/>
                <w:color w:val="000000"/>
              </w:rPr>
              <w:t>0px，</w:t>
            </w:r>
            <w:r>
              <w:rPr>
                <w:rFonts w:ascii="仿宋_GB2312" w:hAnsi="仿宋_GB2312" w:cs="仿宋_GB2312" w:eastAsia="仿宋_GB2312"/>
                <w:sz w:val="24"/>
                <w:color w:val="000000"/>
              </w:rPr>
              <w:t>帧率≥65.2fps，主动水冷散热或散热鳍片，PoE供电；</w:t>
            </w:r>
          </w:p>
          <w:p>
            <w:pPr>
              <w:pStyle w:val="null3"/>
              <w:spacing w:before="180"/>
              <w:ind w:left="120" w:right="105" w:firstLine="31"/>
            </w:pPr>
            <w:r>
              <w:rPr>
                <w:rFonts w:ascii="仿宋_GB2312" w:hAnsi="仿宋_GB2312" w:cs="仿宋_GB2312" w:eastAsia="仿宋_GB2312"/>
                <w:sz w:val="24"/>
                <w:color w:val="000000"/>
              </w:rPr>
              <w:t>(2</w:t>
            </w:r>
            <w:r>
              <w:rPr>
                <w:rFonts w:ascii="仿宋_GB2312" w:hAnsi="仿宋_GB2312" w:cs="仿宋_GB2312" w:eastAsia="仿宋_GB2312"/>
                <w:sz w:val="24"/>
                <w:color w:val="000000"/>
              </w:rPr>
              <w:t>)红外热成像：分辨率≥384×288，帧</w:t>
            </w:r>
            <w:r>
              <w:rPr>
                <w:rFonts w:ascii="仿宋_GB2312" w:hAnsi="仿宋_GB2312" w:cs="仿宋_GB2312" w:eastAsia="仿宋_GB2312"/>
                <w:sz w:val="24"/>
                <w:color w:val="000000"/>
              </w:rPr>
              <w:t>率≥25fps，测温范围</w:t>
            </w:r>
            <w:r>
              <w:rPr>
                <w:rFonts w:ascii="仿宋_GB2312" w:hAnsi="仿宋_GB2312" w:cs="仿宋_GB2312" w:eastAsia="仿宋_GB2312"/>
                <w:sz w:val="24"/>
                <w:color w:val="000000"/>
              </w:rPr>
              <w:t>覆盖-20℃~+650℃。</w:t>
            </w:r>
          </w:p>
          <w:p>
            <w:pPr>
              <w:pStyle w:val="null3"/>
              <w:jc w:val="left"/>
            </w:pPr>
            <w:r>
              <w:rPr>
                <w:rFonts w:ascii="仿宋_GB2312" w:hAnsi="仿宋_GB2312" w:cs="仿宋_GB2312" w:eastAsia="仿宋_GB2312"/>
                <w:sz w:val="24"/>
                <w:color w:val="000000"/>
              </w:rPr>
              <w:t>8.电气与控制系统</w:t>
            </w:r>
          </w:p>
          <w:p>
            <w:pPr>
              <w:pStyle w:val="null3"/>
              <w:spacing w:before="30"/>
              <w:ind w:left="150"/>
            </w:pPr>
            <w:r>
              <w:rPr>
                <w:rFonts w:ascii="仿宋_GB2312" w:hAnsi="仿宋_GB2312" w:cs="仿宋_GB2312" w:eastAsia="仿宋_GB2312"/>
                <w:sz w:val="24"/>
                <w:color w:val="000000"/>
              </w:rPr>
              <w:t>(1)稳压电源（UPS</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输入规格</w:t>
            </w:r>
            <w:r>
              <w:rPr>
                <w:rFonts w:ascii="仿宋_GB2312" w:hAnsi="仿宋_GB2312" w:cs="仿宋_GB2312" w:eastAsia="仿宋_GB2312"/>
                <w:sz w:val="24"/>
                <w:color w:val="000000"/>
              </w:rPr>
              <w:t>380V AC、50Hz、三相；</w:t>
            </w:r>
          </w:p>
          <w:p>
            <w:pPr>
              <w:pStyle w:val="null3"/>
              <w:spacing w:before="180"/>
              <w:ind w:left="120" w:right="105" w:firstLine="27"/>
            </w:pPr>
            <w:r>
              <w:rPr>
                <w:rFonts w:ascii="仿宋_GB2312" w:hAnsi="仿宋_GB2312" w:cs="仿宋_GB2312" w:eastAsia="仿宋_GB2312"/>
                <w:sz w:val="24"/>
                <w:color w:val="000000"/>
              </w:rPr>
              <w:t>(2）控制系统：具备开放式接</w:t>
            </w:r>
            <w:r>
              <w:rPr>
                <w:rFonts w:ascii="仿宋_GB2312" w:hAnsi="仿宋_GB2312" w:cs="仿宋_GB2312" w:eastAsia="仿宋_GB2312"/>
                <w:sz w:val="24"/>
                <w:color w:val="000000"/>
              </w:rPr>
              <w:t>口，支持实时数据交互与可视化</w:t>
            </w:r>
            <w:r>
              <w:rPr>
                <w:rFonts w:ascii="仿宋_GB2312" w:hAnsi="仿宋_GB2312" w:cs="仿宋_GB2312" w:eastAsia="仿宋_GB2312"/>
                <w:sz w:val="24"/>
                <w:color w:val="000000"/>
              </w:rPr>
              <w:t>显示。可同步监测打印路径、热场分布及熔池状</w:t>
            </w:r>
            <w:r>
              <w:rPr>
                <w:rFonts w:ascii="仿宋_GB2312" w:hAnsi="仿宋_GB2312" w:cs="仿宋_GB2312" w:eastAsia="仿宋_GB2312"/>
                <w:sz w:val="24"/>
                <w:color w:val="000000"/>
              </w:rPr>
              <w:t>态；</w:t>
            </w:r>
          </w:p>
          <w:p>
            <w:pPr>
              <w:pStyle w:val="null3"/>
              <w:ind w:left="120" w:right="150" w:firstLine="35"/>
            </w:pPr>
            <w:r>
              <w:rPr>
                <w:rFonts w:ascii="仿宋_GB2312" w:hAnsi="仿宋_GB2312" w:cs="仿宋_GB2312" w:eastAsia="仿宋_GB2312"/>
                <w:sz w:val="24"/>
                <w:color w:val="000000"/>
              </w:rPr>
              <w:t>(3)控制系统实时显示运动机构、送丝轴数、保护气速度、丝</w:t>
            </w:r>
            <w:r>
              <w:rPr>
                <w:rFonts w:ascii="仿宋_GB2312" w:hAnsi="仿宋_GB2312" w:cs="仿宋_GB2312" w:eastAsia="仿宋_GB2312"/>
                <w:sz w:val="24"/>
                <w:color w:val="000000"/>
              </w:rPr>
              <w:t>材余量、沉积效率、打印预估时间等；</w:t>
            </w:r>
          </w:p>
          <w:p>
            <w:pPr>
              <w:pStyle w:val="null3"/>
              <w:ind w:left="135" w:right="150" w:firstLine="22"/>
            </w:pPr>
            <w:r>
              <w:rPr>
                <w:rFonts w:ascii="仿宋_GB2312" w:hAnsi="仿宋_GB2312" w:cs="仿宋_GB2312" w:eastAsia="仿宋_GB2312"/>
                <w:sz w:val="24"/>
                <w:color w:val="000000"/>
              </w:rPr>
              <w:t>(4)控制系统实时显示激光功率、打印速度、送丝速度、能量密度、热输入、层间控温温度等核心工艺参数；</w:t>
            </w:r>
          </w:p>
          <w:p>
            <w:pPr>
              <w:pStyle w:val="null3"/>
              <w:jc w:val="left"/>
            </w:pPr>
            <w:r>
              <w:rPr>
                <w:rFonts w:ascii="仿宋_GB2312" w:hAnsi="仿宋_GB2312" w:cs="仿宋_GB2312" w:eastAsia="仿宋_GB2312"/>
                <w:sz w:val="24"/>
                <w:color w:val="000000"/>
              </w:rPr>
              <w:t>(5)控制系统须支持程序在线编辑，可查看当前运行程序行号、</w:t>
            </w:r>
            <w:r>
              <w:rPr>
                <w:rFonts w:ascii="仿宋_GB2312" w:hAnsi="仿宋_GB2312" w:cs="仿宋_GB2312" w:eastAsia="仿宋_GB2312"/>
                <w:sz w:val="24"/>
                <w:color w:val="000000"/>
              </w:rPr>
              <w:t>总行数及具体指令段，支持程序段增删改查，禁止锁定或封闭式固件架构。</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0"/>
              <w:ind w:left="120"/>
            </w:pPr>
            <w:r>
              <w:rPr>
                <w:rFonts w:ascii="仿宋_GB2312" w:hAnsi="仿宋_GB2312" w:cs="仿宋_GB2312" w:eastAsia="仿宋_GB2312"/>
                <w:sz w:val="24"/>
                <w:color w:val="000000"/>
              </w:rPr>
              <w:t>二、喷砂机参数要求：</w:t>
            </w:r>
          </w:p>
          <w:p>
            <w:pPr>
              <w:pStyle w:val="null3"/>
            </w:pPr>
            <w:r>
              <w:rPr>
                <w:rFonts w:ascii="仿宋_GB2312" w:hAnsi="仿宋_GB2312" w:cs="仿宋_GB2312" w:eastAsia="仿宋_GB2312"/>
                <w:sz w:val="24"/>
                <w:color w:val="000000"/>
              </w:rPr>
              <w:t>1.设备工作仓内空尺寸：≥900mm×600mm×550mm；</w:t>
            </w:r>
          </w:p>
          <w:p>
            <w:pPr>
              <w:pStyle w:val="null3"/>
            </w:pPr>
            <w:r>
              <w:rPr>
                <w:rFonts w:ascii="仿宋_GB2312" w:hAnsi="仿宋_GB2312" w:cs="仿宋_GB2312" w:eastAsia="仿宋_GB2312"/>
                <w:sz w:val="24"/>
                <w:color w:val="000000"/>
              </w:rPr>
              <w:t>2.砂尘分离器处理风量：≥10m³/min (≥600m³/h）；</w:t>
            </w:r>
          </w:p>
          <w:p>
            <w:pPr>
              <w:pStyle w:val="null3"/>
            </w:pPr>
            <w:r>
              <w:rPr>
                <w:rFonts w:ascii="仿宋_GB2312" w:hAnsi="仿宋_GB2312" w:cs="仿宋_GB2312" w:eastAsia="仿宋_GB2312"/>
                <w:sz w:val="24"/>
                <w:color w:val="000000"/>
              </w:rPr>
              <w:t>3.除尘系统：袋式或滤芯式除尘装置；除尘风机</w:t>
            </w:r>
            <w:r>
              <w:rPr>
                <w:rFonts w:ascii="仿宋_GB2312" w:hAnsi="仿宋_GB2312" w:cs="仿宋_GB2312" w:eastAsia="仿宋_GB2312"/>
                <w:sz w:val="24"/>
                <w:color w:val="000000"/>
              </w:rPr>
              <w:t>电机额定功率：</w:t>
            </w:r>
            <w:r>
              <w:rPr>
                <w:rFonts w:ascii="仿宋_GB2312" w:hAnsi="仿宋_GB2312" w:cs="仿宋_GB2312" w:eastAsia="仿宋_GB2312"/>
                <w:sz w:val="24"/>
                <w:color w:val="000000"/>
              </w:rPr>
              <w:t>≥350W。</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0"/>
              <w:ind w:left="120"/>
            </w:pPr>
            <w:r>
              <w:rPr>
                <w:rFonts w:ascii="仿宋_GB2312" w:hAnsi="仿宋_GB2312" w:cs="仿宋_GB2312" w:eastAsia="仿宋_GB2312"/>
                <w:sz w:val="24"/>
                <w:color w:val="000000"/>
              </w:rPr>
              <w:t>三、防爆吸尘器参数要求：</w:t>
            </w:r>
          </w:p>
          <w:p>
            <w:pPr>
              <w:pStyle w:val="null3"/>
            </w:pPr>
            <w:r>
              <w:rPr>
                <w:rFonts w:ascii="仿宋_GB2312" w:hAnsi="仿宋_GB2312" w:cs="仿宋_GB2312" w:eastAsia="仿宋_GB2312"/>
                <w:sz w:val="24"/>
                <w:color w:val="000000"/>
              </w:rPr>
              <w:t>1.额定工作电源：AC 220V/50Hz 单相；</w:t>
            </w:r>
          </w:p>
          <w:p>
            <w:pPr>
              <w:pStyle w:val="null3"/>
            </w:pPr>
            <w:r>
              <w:rPr>
                <w:rFonts w:ascii="仿宋_GB2312" w:hAnsi="仿宋_GB2312" w:cs="仿宋_GB2312" w:eastAsia="仿宋_GB2312"/>
                <w:sz w:val="24"/>
                <w:color w:val="000000"/>
              </w:rPr>
              <w:t>2.最大风量≥220m³/h；</w:t>
            </w:r>
          </w:p>
          <w:p>
            <w:pPr>
              <w:pStyle w:val="null3"/>
            </w:pPr>
            <w:r>
              <w:rPr>
                <w:rFonts w:ascii="仿宋_GB2312" w:hAnsi="仿宋_GB2312" w:cs="仿宋_GB2312" w:eastAsia="仿宋_GB2312"/>
                <w:sz w:val="24"/>
                <w:color w:val="000000"/>
              </w:rPr>
              <w:t>3.最大真空度≥25kPa；</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0"/>
              <w:ind w:left="150"/>
            </w:pPr>
            <w:r>
              <w:rPr>
                <w:rFonts w:ascii="仿宋_GB2312" w:hAnsi="仿宋_GB2312" w:cs="仿宋_GB2312" w:eastAsia="仿宋_GB2312"/>
                <w:sz w:val="24"/>
                <w:color w:val="000000"/>
              </w:rPr>
              <w:t>四、高能快速混粉设备参数要求：</w:t>
            </w:r>
          </w:p>
          <w:p>
            <w:pPr>
              <w:pStyle w:val="null3"/>
            </w:pPr>
            <w:r>
              <w:rPr>
                <w:rFonts w:ascii="仿宋_GB2312" w:hAnsi="仿宋_GB2312" w:cs="仿宋_GB2312" w:eastAsia="仿宋_GB2312"/>
                <w:sz w:val="24"/>
                <w:color w:val="000000"/>
              </w:rPr>
              <w:t>1.单次有效混粉容积： ≥100ml；</w:t>
            </w:r>
          </w:p>
          <w:p>
            <w:pPr>
              <w:pStyle w:val="null3"/>
            </w:pPr>
            <w:r>
              <w:rPr>
                <w:rFonts w:ascii="仿宋_GB2312" w:hAnsi="仿宋_GB2312" w:cs="仿宋_GB2312" w:eastAsia="仿宋_GB2312"/>
                <w:sz w:val="24"/>
                <w:color w:val="000000"/>
              </w:rPr>
              <w:t>2.在标准物料配比、额定装载率工况下，物料均匀混合</w:t>
            </w:r>
            <w:r>
              <w:rPr>
                <w:rFonts w:ascii="仿宋_GB2312" w:hAnsi="仿宋_GB2312" w:cs="仿宋_GB2312" w:eastAsia="仿宋_GB2312"/>
                <w:sz w:val="24"/>
                <w:color w:val="000000"/>
              </w:rPr>
              <w:t>完成时</w:t>
            </w:r>
            <w:r>
              <w:rPr>
                <w:rFonts w:ascii="仿宋_GB2312" w:hAnsi="仿宋_GB2312" w:cs="仿宋_GB2312" w:eastAsia="仿宋_GB2312"/>
                <w:sz w:val="24"/>
                <w:color w:val="000000"/>
              </w:rPr>
              <w:t>间：</w:t>
            </w:r>
            <w:r>
              <w:rPr>
                <w:rFonts w:ascii="仿宋_GB2312" w:hAnsi="仿宋_GB2312" w:cs="仿宋_GB2312" w:eastAsia="仿宋_GB2312"/>
                <w:sz w:val="24"/>
                <w:color w:val="000000"/>
              </w:rPr>
              <w:t>≤30min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接采购人通知后90个日历日完成供货、安装、调试并交付使用。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进度款，设备安装调试完成，经采购人验收合格并签署《验收合格报告》后，供应商开具全额 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①招标文件、投标文件及技术澄清文件（函）；②国家、行业现行有效的技术标准、规范、规程及强制性条文；③设备出厂技术文件、产品合格证、检验报告等质量证明文件。（2）验收条件：①供应商已按照合同规定提供了全部产品及完整的技术资料。②所供货物符合招标文件和投标文件技术规格要求，性能满足要求。③所供货物具备产品合格证。（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4）验收流程：①到货初检（采购人、供应商共同参与）：检查外包装完整性、 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12小时无故障；关键参数与投标文件承诺值对比，符合文件相关规定。④最终验收：签署《验收合格报告》，产品保修期自最终验收合格之日起算， 由供应商提供产品保修文件。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1年（自验收合格出具验收报告之日起算）。质保期内出现任何非人为故意损坏的质量问题，由供应商包换或包退，并承担调换或退货的全部费用。①质量标准：供应商的产品质量应当符合国家行业规定的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提供质保，采购人报修后采购人报修后1小时内供应商必须响应，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为采购人修复瑕疵或更新换代，其间产生的费用均由供应商承担。（2）安装调试及售后服务要求：①安装调试要求：a.安装人员须具备相应专业资质，熟悉设备结构、技术参数及安全规范。b.安装前核对设备型号、规格、数量及配件，确保无缺损、无故障。c.调试过程记录各项数据，异常情况立即停机排查，排除故障后方可继续。d.调试完成后清理现场，恢复环境整洁。②配套工程：包含安装设备所需各种工具（需提前2日做好准备）。 ③质量保证：按采购人及招标文件要求，为采购人提供全新的货物（包括零部件），对提供的货物在质保期内，因产品质量而导致的缺陷，供应商须及时提供包修、包换、包退服务；超出质保期后，提供上 门维修服务，仅收取成本费。④售后服务：响应时限：7×24小时售后服务，须配备专业技术团队，接到设备故障报修后，1小时内给出初步解决方案；若无法远程解决，24小时内派遣资深工程师抵达现场排查维修，最大限度缩短停机时间，减少对科研教学工作的影响；人员培训：提供相关操作人员培训资料，对产品软硬件操作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于结果公告发布后3日内提交纸质投标文件肆份（正本壹份、副本叁份），纸质版投标文件需包含目录、无少页、缺页、连续页码（要求首封面为第1页，从第2页开始连续编辑页码），封面加盖投标人公章及骑缝章。纸质版文件内容应与电子版文件内容保持一致。递交地点：西安市雁塔区南二环东段凯森盛世1号B座2606室；（2）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 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2024或 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 附法定代表人/负责人、被授权人身份证复印件及被授权人近半年任意一个月社保缴纳证明或劳动合同。）（ 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国务院办公厅《关于建立政府强制采购节能产品制度的通知》（国办发〔2007〕51号）、财政部、国家发改委、生态环境部、市监总局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6）其他需要落实的政府采购政策</w:t>
            </w:r>
          </w:p>
        </w:tc>
        <w:tc>
          <w:tcPr>
            <w:tcW w:type="dxa" w:w="1661"/>
          </w:tcPr>
          <w:p>
            <w:pPr>
              <w:pStyle w:val="null3"/>
            </w:pPr>
            <w:r>
              <w:rPr>
                <w:rFonts w:ascii="仿宋_GB2312" w:hAnsi="仿宋_GB2312" w:cs="仿宋_GB2312" w:eastAsia="仿宋_GB2312"/>
              </w:rPr>
              <w:t>本国产品说明 中小企业声明函 残疾人福利性单位声明函 关于符合本国产品标准的声明函 中国境内生产的组件成本核算基本规则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2.投标人的投标报价高于采购预算（或最高限价）的，响应文件按无效处理。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投标函 保证金缴纳凭证</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“★”项参数响应</w:t>
            </w:r>
          </w:p>
        </w:tc>
        <w:tc>
          <w:tcPr>
            <w:tcW w:type="dxa" w:w="3322"/>
          </w:tcPr>
          <w:p>
            <w:pPr>
              <w:pStyle w:val="null3"/>
            </w:pPr>
            <w:r>
              <w:rPr>
                <w:rFonts w:ascii="仿宋_GB2312" w:hAnsi="仿宋_GB2312" w:cs="仿宋_GB2312" w:eastAsia="仿宋_GB2312"/>
              </w:rPr>
              <w:t>对技术要求中“★”项参数（1项）响应不得负偏离，并提供佐证材料（佐证材料包括：国家认可的第三方检测机构出具的检测报告、技术白皮书、产品彩页、官网功能截图任意一种），参数负偏离或未提供证明材料，视为未响应。</w:t>
            </w:r>
          </w:p>
        </w:tc>
        <w:tc>
          <w:tcPr>
            <w:tcW w:type="dxa" w:w="1661"/>
          </w:tcPr>
          <w:p>
            <w:pPr>
              <w:pStyle w:val="null3"/>
            </w:pPr>
            <w:r>
              <w:rPr>
                <w:rFonts w:ascii="仿宋_GB2312" w:hAnsi="仿宋_GB2312" w:cs="仿宋_GB2312" w:eastAsia="仿宋_GB2312"/>
              </w:rPr>
              <w:t>产品技术参数表 投标方案说明书</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★”项为实质性要求，不满足视为未响应投标无效，不参与后续评分。 完全符合、响应招标文件要求，没有负偏离的得34分； “▲”参数（共 8 项） 负偏离一项扣2分，非“▲”参数（共 36 项）负偏离一项扣0.5分，扣完为止。 【备注：所有标注“▲”的参数均须提供佐证材料，佐证材料包括：国家认可的第三方检测机构出具的检测报告、技术白皮书、产品彩页、官网功能截图任意一种，经评审专家审定得分。未提供不得分。】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根据项目实际需求，提供完整详细的项目实施方案。内容包含①供货组织及进度安排②对接及运输方案③安装调试方案。 二、评审标准 1、完整性：方案须全面，对评审内容中的各项要求有详细描述； 2、可实施性及针对性：切合本项目实际情况，实施步骤清晰、内容科学合理。 三、赋分依据（满分6分） ①供货组织及进度安排：每完全满足一个评审标准得1分，满分2分； ②对接及运输方案:每完全满足一个评审标准得1分，满分2分。 ③安装调试方案：每完全满足一个评审标准得1分，满分2分;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根据项目实际需求，提供完整详细的项目质量保证方案。内容包含①产品性能②质量管理体系③质量保证措施。 二、评审标准 1、完整性：方案须全面，对评审内容中的各项要求有详细描述； 2、可实施性及针对性：切合本项目实际情况，实施步骤清晰、内容科学合理。 三、赋分依据（满分6分） ①产品性能：每完全满足一个评审标准得1分，满分2分； ②质量管理体系：每完全满足一个评审标准得1分，满分2分； ③质量保证措施：每完全满足一个评审标准得1分，满分2分;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 案。内容包含①售后服务内容及响应时间、方式②售后保障（处理、补救）措施及售后回访维护。 二、评审标准 1、完整性：方案须全面，对评审内容中的各项要求描述详细； 2、可实施性及针对性：切合本项目实际情况，实施步骤清晰、内容科学合理。 三、赋分依据（满分4分） ①售后服务内容及响应时间、方式：每完全满足一个评审标准得1分，满分2分； ②售后保障（处理、补救）措施及售后回访维护:每完全满足一个评审标准得1分，满分2分。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根据项目实际需求提供技术培训方案。内容包含①培训计划、时长及人员安排②培训内容及形式。 二、评审标准 1、完整性：方案须全面，对评审内容中的各项要求描述详细； 2、可实施性及针对性：切合本项目实际情况，实施步骤清晰、内容科学合理。 三、赋分依据（满分4分） ①培训计划、时长及人员安排：每完全满足一个评审标准得1分，满分2分； ②培训内容及形式:每完全满足一个评审标准得1分，满分2分。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质保期高于采购文件要求（1年）的，每增加一年得0.5分，最高得1分。无承诺不得分。 【提供承诺书并加盖公章】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2、有效最低报价为基准价得40分。 3、按（评标基准价/评审价格）×40的公式计算报价得分。 4、投标报价不完整的，不进入评标基准价的计算，本项得0分。 备注：本项目专门面向中小企业采购，不再进行政策性扣减。</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详见附件：供应商认为有必要补充说明的事项</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