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版本号：SCYB2026-CG-005.1B120260729001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2026年铁锁关镇农事农机社会化服务建设项目设备采购(二次)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SCYB2026-CG-005.1B1</w:t>
      </w:r>
      <w:r>
        <w:br/>
      </w:r>
      <w:r>
        <w:br/>
      </w:r>
      <w:r>
        <w:br/>
      </w:r>
    </w:p>
    <w:p>
      <w:pPr>
        <w:pStyle w:val="null3"/>
        <w:jc w:val="center"/>
        <w:outlineLvl w:val="2"/>
      </w:pPr>
      <w:r>
        <w:rPr>
          <w:rFonts w:ascii="仿宋_GB2312" w:hAnsi="仿宋_GB2312" w:cs="仿宋_GB2312" w:eastAsia="仿宋_GB2312"/>
          <w:sz w:val="28"/>
          <w:b/>
        </w:rPr>
        <w:t>宁强县铁锁关镇人民政府</w:t>
      </w:r>
    </w:p>
    <w:p>
      <w:pPr>
        <w:pStyle w:val="null3"/>
        <w:jc w:val="center"/>
        <w:outlineLvl w:val="2"/>
      </w:pPr>
      <w:r>
        <w:rPr>
          <w:rFonts w:ascii="仿宋_GB2312" w:hAnsi="仿宋_GB2312" w:cs="仿宋_GB2312" w:eastAsia="仿宋_GB2312"/>
          <w:sz w:val="28"/>
          <w:b/>
        </w:rPr>
        <w:t>陕西顺畅义邦项目管理有限公司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陕西顺畅义邦项目管理有限公司</w:t>
      </w:r>
      <w:r>
        <w:rPr>
          <w:rFonts w:ascii="仿宋_GB2312" w:hAnsi="仿宋_GB2312" w:cs="仿宋_GB2312" w:eastAsia="仿宋_GB2312"/>
        </w:rPr>
        <w:t>（以下简称“代理机构”）受</w:t>
      </w:r>
      <w:r>
        <w:rPr>
          <w:rFonts w:ascii="仿宋_GB2312" w:hAnsi="仿宋_GB2312" w:cs="仿宋_GB2312" w:eastAsia="仿宋_GB2312"/>
        </w:rPr>
        <w:t>宁强县铁锁关镇人民政府</w:t>
      </w:r>
      <w:r>
        <w:rPr>
          <w:rFonts w:ascii="仿宋_GB2312" w:hAnsi="仿宋_GB2312" w:cs="仿宋_GB2312" w:eastAsia="仿宋_GB2312"/>
        </w:rPr>
        <w:t>委托，拟对</w:t>
      </w:r>
      <w:r>
        <w:rPr>
          <w:rFonts w:ascii="仿宋_GB2312" w:hAnsi="仿宋_GB2312" w:cs="仿宋_GB2312" w:eastAsia="仿宋_GB2312"/>
        </w:rPr>
        <w:t>2026年铁锁关镇农事农机社会化服务建设项目设备采购(二次)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SCYB2026-CG-005.1B1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2026年铁锁关镇农事农机社会化服务建设项目设备采购(二次)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本项目为购买（1）枝条秸秆粉碎机4 台；（2）自走履带式收割机2台；（3）履带 自走式旋耕机4台；（4）带 秸秆粉碎还田机2台； （5）玉米、大豆施肥播种机 1台；（6）轮式拖拉机 1台；（7）带旋耕机1台；（8）液压翻转犁1台；（9）四 驱自走式微耕机5台； （10）四驱田园管理机1 台；（11）自走履带式玉米收割机1台；（12） 铡草揉丝机1台；（13） 秸秆打捆包膜一体机1 台；（14）铝合金爬梯 2个（2.3米2个）；（15）植保无人机1台（打药、洒 播、调运等功能）（16）农机转运车1辆；（17）铝合金爬梯 2个（2.7米 2个），满足农事农机社会化服务需求。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采购包1（2026年铁锁关镇农事农机社会化服务建设项目设备采购）：属于专门面向小微企业采购。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企业法人或其他组织或自然人，供应商需在项目电子化交易系统中按要求上传相应证明文件并进行电子签章。：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法人身份证或法定代表人授权书及授权代表身份证，供应商需在项目电子化交易系统中按要求上传相应证明文件并进行电子签章。：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需在项目电子化交易系统中按要求上传相应证明文件并进行电子签章。：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提供《汉中市政府采购供应商资格承诺函》。</w:t>
      </w:r>
    </w:p>
    <w:p>
      <w:pPr>
        <w:pStyle w:val="null3"/>
      </w:pPr>
      <w:r>
        <w:rPr>
          <w:rFonts w:ascii="仿宋_GB2312" w:hAnsi="仿宋_GB2312" w:cs="仿宋_GB2312" w:eastAsia="仿宋_GB2312"/>
        </w:rPr>
        <w:t>4、本项目不接受联合体投标，供应商需在项目电子化交易系统中上传非联合体投标声明并进行电子签章。：本项目不接受联合体投标，供应商须提供非联合体投标声明。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宁强县铁锁关镇人民政府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宁强县铁锁关镇天台街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0916-4357322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陕西顺畅义邦项目管理有限公司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汉台区望江路远东大厦3楼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0916-8823535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农机转运车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开户名称：陕西顺畅义邦项目管理有限公司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 0165 0042 0000 0387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宁强县铁锁关镇人民政府</w:t>
      </w:r>
      <w:r>
        <w:rPr>
          <w:rFonts w:ascii="仿宋_GB2312" w:hAnsi="仿宋_GB2312" w:cs="仿宋_GB2312" w:eastAsia="仿宋_GB2312"/>
        </w:rPr>
        <w:t>和</w:t>
      </w:r>
      <w:r>
        <w:rPr>
          <w:rFonts w:ascii="仿宋_GB2312" w:hAnsi="仿宋_GB2312" w:cs="仿宋_GB2312" w:eastAsia="仿宋_GB2312"/>
        </w:rPr>
        <w:t>陕西顺畅义邦项目管理有限公司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宁强县铁锁关镇人民政府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陕西顺畅义邦项目管理有限公司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宁强县铁锁关镇人民政府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陕西顺畅义邦项目管理有限公司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由镇、供应商共同验收，验收标准达到国家相关标准。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陕西顺畅义邦项目管理有限公司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联系人：路顺姬</w:t>
      </w:r>
    </w:p>
    <w:p>
      <w:pPr>
        <w:pStyle w:val="null3"/>
      </w:pPr>
      <w:r>
        <w:rPr>
          <w:rFonts w:ascii="仿宋_GB2312" w:hAnsi="仿宋_GB2312" w:cs="仿宋_GB2312" w:eastAsia="仿宋_GB2312"/>
        </w:rPr>
        <w:t>联系电话：0916-8823535</w:t>
      </w:r>
    </w:p>
    <w:p>
      <w:pPr>
        <w:pStyle w:val="null3"/>
      </w:pPr>
      <w:r>
        <w:rPr>
          <w:rFonts w:ascii="仿宋_GB2312" w:hAnsi="仿宋_GB2312" w:cs="仿宋_GB2312" w:eastAsia="仿宋_GB2312"/>
        </w:rPr>
        <w:t>地址：汉台区望江路远东大厦3楼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（1）枝条秸秆粉碎机4 台；（2）自走履带式收割机2台；（3）履带自走式旋耕机4台；（4）带秸秆粉碎还田机2台； （5）玉米、大豆施肥播种机1台；（6）轮式拖拉机1台；（7）带旋耕机1台；（8）液压翻转犁1台；（9）四驱自走式微耕机5台； （10）四驱田园管理机1 台；（11）自走履带式玉米收割机1台；（12）铡草揉丝机1台；（13）秸秆打捆包膜一体机1 台；（14）铝合金爬梯 2个（2.3米2个）；（15）植保无人机1台（打药、洒 播、调运等功能）（16）农机转运车1辆；（17）铝合金爬梯 2个（2.7米 2个）。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轮式拖拉机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植保无人机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铝合金爬梯</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铝合金爬梯</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秸秆打捆包膜一体机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四驱田园管理机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农业运输车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四驱自走式微耕机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履带自走式旋耕机（带挖斗）</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187,200.00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旋耕机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枝条秸秆粉碎机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34,400.00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秸秆粉碎还田机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玉米、大豆施肥播种机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自走履带式收割机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97,800.00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自走履带式玉米收割机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铡草揉丝机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液压翻转犁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标的名称：轮式拖拉机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1.驱动方式:四轮驱动；2.液压输出（组）：≥2组；3.轮胎：水田轮（高花）或同等防滑轮胎；4.挡位数（前进/倒退）：≥8/2；5.动力输出轴标准转速：540/720r/min。</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6.功率:≥51.5kW；（需提供证证明材料，未提供证明材料为未实质性响应招标文件，视为无效投标）</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7.轴距mm:≥1860；8.最小离地间隙及部位：≥335mm（前桥底部）。（需提供证明材料，未提供证明材料的视为负偏离）</w:t>
            </w:r>
          </w:p>
        </w:tc>
      </w:tr>
    </w:tbl>
    <w:p>
      <w:pPr>
        <w:pStyle w:val="null3"/>
      </w:pPr>
      <w:r>
        <w:rPr>
          <w:rFonts w:ascii="仿宋_GB2312" w:hAnsi="仿宋_GB2312" w:cs="仿宋_GB2312" w:eastAsia="仿宋_GB2312"/>
        </w:rPr>
        <w:t>标的名称：植保无人机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最大有效载荷：≥50kg；2.有效喷幅：≥5-11米；3.电池:高能锂电池组（总容量≥40000mAh）；4.控制系统：具备RTK高精度定位模块，支持智能遥控；5.安全功能：具备仿地雷达、避障系统；6.包含：（打药系统、撒播系统、吊运系统）专业培训、办理飞行证。</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7.最大吊运重量：≥84 kg。（需提供证明材料，未提供证明材料的视为负偏离）</w:t>
            </w:r>
          </w:p>
        </w:tc>
      </w:tr>
    </w:tbl>
    <w:p>
      <w:pPr>
        <w:pStyle w:val="null3"/>
      </w:pPr>
      <w:r>
        <w:rPr>
          <w:rFonts w:ascii="仿宋_GB2312" w:hAnsi="仿宋_GB2312" w:cs="仿宋_GB2312" w:eastAsia="仿宋_GB2312"/>
        </w:rPr>
        <w:t>标的名称：铝合金爬梯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1.爬梯长度：≥2.7米(含爬头)，宽度:≥40cm；2.材质：6061-T6高强度铝合金；3.动载承重：≥3000Kg。</w:t>
            </w:r>
          </w:p>
        </w:tc>
      </w:tr>
    </w:tbl>
    <w:p>
      <w:pPr>
        <w:pStyle w:val="null3"/>
      </w:pPr>
      <w:r>
        <w:rPr>
          <w:rFonts w:ascii="仿宋_GB2312" w:hAnsi="仿宋_GB2312" w:cs="仿宋_GB2312" w:eastAsia="仿宋_GB2312"/>
        </w:rPr>
        <w:t>标的名称：铝合金爬梯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1.爬梯长度：≥2.3米(含爬头)，宽度:≥40cm；2.材质：6061-T6高强度铝合金；3.动载承重：≥3000Kg。</w:t>
            </w:r>
          </w:p>
        </w:tc>
      </w:tr>
    </w:tbl>
    <w:p>
      <w:pPr>
        <w:pStyle w:val="null3"/>
      </w:pPr>
      <w:r>
        <w:rPr>
          <w:rFonts w:ascii="仿宋_GB2312" w:hAnsi="仿宋_GB2312" w:cs="仿宋_GB2312" w:eastAsia="仿宋_GB2312"/>
        </w:rPr>
        <w:t>标的名称：秸秆打捆包膜一体机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一体化秸秆打捆缠膜包膜一体机，对粉碎后的玉米秸秆进行压缩打包，自动覆膜；2.配套动力：主电机功率≥5.5kW，包膜驱动电机功率≥0.55kw，气泵电机功率≥1.5kw；3.出料口宽度：≥500mm；4.进料口宽度：≥450mm；5.挂接方式：固定式；6.草捆直径:520-550mm；7.草捆密度：牧草≧300，青储玉米≧450；8.打捆重量：15-85kg；9.生产效率：45~60捆/h；10.膜架数量：≥1个；11.配备转速：350-400转/小时；12.配备气泵、手推车各1台。</w:t>
            </w:r>
          </w:p>
        </w:tc>
      </w:tr>
    </w:tbl>
    <w:p>
      <w:pPr>
        <w:pStyle w:val="null3"/>
      </w:pPr>
      <w:r>
        <w:rPr>
          <w:rFonts w:ascii="仿宋_GB2312" w:hAnsi="仿宋_GB2312" w:cs="仿宋_GB2312" w:eastAsia="仿宋_GB2312"/>
        </w:rPr>
        <w:t>标的名称：四驱田园管理机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1.额定功率： ≥6.3KW；2.标定转速：≥3600r/min ；3.排放标准 ：第四阶段；4.扶把水平调整：可调；5.扶把上下调整：可调；6.发动机输出传动方式 ：直联；7.主离合器型式 ：摩擦片式；8.主离合器状态 ：常开；9.配套开沟装置型式：刀片式；10.配套培土装置型式：刀片式；11.配套培土装置工作宽度： ≥295mm。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12.结构型式：双轴、轮式；13.配套开沟装置工作宽度：≥295mm。（需提供证明材料，未提供证明材料的视为负偏离）</w:t>
            </w:r>
          </w:p>
        </w:tc>
      </w:tr>
    </w:tbl>
    <w:p>
      <w:pPr>
        <w:pStyle w:val="null3"/>
      </w:pPr>
      <w:r>
        <w:rPr>
          <w:rFonts w:ascii="仿宋_GB2312" w:hAnsi="仿宋_GB2312" w:cs="仿宋_GB2312" w:eastAsia="仿宋_GB2312"/>
        </w:rPr>
        <w:t>标的名称：农业运输车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1.最大功率：≥88kw；2.最大扭矩：≥158Nm； 3.环保标准：国VI；4.能源类型：汽油； 5.变速箱：5挡手动；6.车身结构：货车；7.轴距：≥3300mm；8.进气形式：自然吸气；9.驱动方式：中置后驱；10.整备质量≤1360kg，载重量≥1385kg；11.最高车速≥110km/h。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13.排量：≥1.6L；14.货箱尺寸：≥2500*1650*360mm。（需提供证明材料，未提供证明材料的视为负偏离）</w:t>
            </w:r>
          </w:p>
        </w:tc>
      </w:tr>
    </w:tbl>
    <w:p>
      <w:pPr>
        <w:pStyle w:val="null3"/>
      </w:pPr>
      <w:r>
        <w:rPr>
          <w:rFonts w:ascii="仿宋_GB2312" w:hAnsi="仿宋_GB2312" w:cs="仿宋_GB2312" w:eastAsia="仿宋_GB2312"/>
        </w:rPr>
        <w:t>标的名称：四驱自走式微耕机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1.配套动力：国四或更高排放标准；2.标准功率：≥6.3KW；3.标定转速：≥3600r/min；4.耕幅:≥1000mm；5.配置：（旱地刀、水田刀、水田轮）；6.发动机输出传动方式：直连；7.总刀数：≥24把。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8.生产率:≥0.03hm²/h；9.刀辊设计转速:快档：≥225r/min慢档：≥160r/min。（需提供证明材料，未提供证明材料的视为负偏离）</w:t>
            </w:r>
          </w:p>
        </w:tc>
      </w:tr>
    </w:tbl>
    <w:p>
      <w:pPr>
        <w:pStyle w:val="null3"/>
      </w:pPr>
      <w:r>
        <w:rPr>
          <w:rFonts w:ascii="仿宋_GB2312" w:hAnsi="仿宋_GB2312" w:cs="仿宋_GB2312" w:eastAsia="仿宋_GB2312"/>
        </w:rPr>
        <w:t>标的名称：履带自走式旋耕机（带挖斗）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1.配套动力：水冷柴油机≥16.4KW；2.档位：前进后退静液压无极变速+（标配遥控器）；3.轨距：≥700mm；4.最小离地间隙：290mm。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5.耕幅:≥1200mm；6.生产率：≥0.06h㎡/（h.m)。（需提供证明材料，未提供证明材料的视为负偏离）</w:t>
            </w:r>
          </w:p>
        </w:tc>
      </w:tr>
    </w:tbl>
    <w:p>
      <w:pPr>
        <w:pStyle w:val="null3"/>
      </w:pPr>
      <w:r>
        <w:rPr>
          <w:rFonts w:ascii="仿宋_GB2312" w:hAnsi="仿宋_GB2312" w:cs="仿宋_GB2312" w:eastAsia="仿宋_GB2312"/>
        </w:rPr>
        <w:t>标的名称：旋耕机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1.结构型式：框架式；2.配套动力范围(kW)：36.8～66.2；3.工作幅宽(cm)：≥1800mm；4.传动方式：中间传动；5.耕深：≥12cm。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6.总安装刀数量：≥52；7.作业速度范围：≥0.55m/s。（需提供证明材料，未提供证明材料的视为负偏离）</w:t>
            </w:r>
          </w:p>
        </w:tc>
      </w:tr>
    </w:tbl>
    <w:p>
      <w:pPr>
        <w:pStyle w:val="null3"/>
      </w:pPr>
      <w:r>
        <w:rPr>
          <w:rFonts w:ascii="仿宋_GB2312" w:hAnsi="仿宋_GB2312" w:cs="仿宋_GB2312" w:eastAsia="仿宋_GB2312"/>
        </w:rPr>
        <w:t>标的名称：枝条秸秆粉碎机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1.配套动力：≥7.5kW的柴油机；2.喂入口尺寸：≥34cm*42cm；3.最大切碎直径：≥95mm；4.进料方式：半自动自由落料；5.刀片型式：旋转飞刀+底刀；6.生产效率：3-5吨/h；7.整机要求：有急停按钮；8.整机重量：≥165kg。</w:t>
            </w:r>
          </w:p>
        </w:tc>
      </w:tr>
    </w:tbl>
    <w:p>
      <w:pPr>
        <w:pStyle w:val="null3"/>
      </w:pPr>
      <w:r>
        <w:rPr>
          <w:rFonts w:ascii="仿宋_GB2312" w:hAnsi="仿宋_GB2312" w:cs="仿宋_GB2312" w:eastAsia="仿宋_GB2312"/>
        </w:rPr>
        <w:t>标的名称：秸秆粉碎还田机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1.配套动力范围（kW）：36.5-46；2.联接方式：三点悬挂；3.刀轴传动方式：侧边皮带传动；4.刀片形式：甩刀式。</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5.作业幅宽:≥1300mm；6.总安装刀数量(把)：≥60把。（需提供证明材料，未提供证明材料的视为负偏离）</w:t>
            </w:r>
          </w:p>
        </w:tc>
      </w:tr>
    </w:tbl>
    <w:p>
      <w:pPr>
        <w:pStyle w:val="null3"/>
      </w:pPr>
      <w:r>
        <w:rPr>
          <w:rFonts w:ascii="仿宋_GB2312" w:hAnsi="仿宋_GB2312" w:cs="仿宋_GB2312" w:eastAsia="仿宋_GB2312"/>
        </w:rPr>
        <w:t>标的名称：玉米、大豆施肥播种机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1.结构型式:悬挂式；2.配套动力：50-70马力；3.排种开沟深度：2-6cm；4.株距可调；播种行数：≥4行；5.行距：≥55cm；6.工作幅宽：≥2200mm。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7.作业生产率：0.4-0.6h㎡/h。（需提供证明材料，未提供证明材料的视为负偏离）</w:t>
            </w:r>
          </w:p>
        </w:tc>
      </w:tr>
    </w:tbl>
    <w:p>
      <w:pPr>
        <w:pStyle w:val="null3"/>
      </w:pPr>
      <w:r>
        <w:rPr>
          <w:rFonts w:ascii="仿宋_GB2312" w:hAnsi="仿宋_GB2312" w:cs="仿宋_GB2312" w:eastAsia="仿宋_GB2312"/>
        </w:rPr>
        <w:t>标的名称：自走履带式收割机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1.结构型式：履带式；乘坐式；2.喂入量：≥1.0kg/s；3.割台宽度:≥1.1m；4.转向操纵方式:操纵杆式；5.燃料:柴油。6.履带规格：宽度≥350mm，橡胶履带：≥66mm*45节。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7.作业小时生产率:≥0.06hm²/h。（需提供证证明材料，未提供证明材料为未实质性响应招标文件，视为无效投标）</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8.动力 ：≥9.8KW；≥3600rpm（国四）。（需提供证明材料，未提供证明材料的视为负偏离）</w:t>
            </w:r>
          </w:p>
        </w:tc>
      </w:tr>
    </w:tbl>
    <w:p>
      <w:pPr>
        <w:pStyle w:val="null3"/>
      </w:pPr>
      <w:r>
        <w:rPr>
          <w:rFonts w:ascii="仿宋_GB2312" w:hAnsi="仿宋_GB2312" w:cs="仿宋_GB2312" w:eastAsia="仿宋_GB2312"/>
        </w:rPr>
        <w:t>标的名称：自走履带式玉米收割机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1.摘穗、剥皮、集粮一体化作业；2.水冷柴油发动机，功率：≥16kw；3.结构形式：履带自走式 ；4.工作行数：1行；适用行距范围：400-700mm（可调）；5.作业速度：≥1.2亩/小时；6.籽粒破碎率：≤5％。</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7.最小离地间隙：≥180mm；8.秸秆破碎合格率：≥98％。（需提供证明材料，未提供证明材料的视为负偏离）</w:t>
            </w:r>
          </w:p>
        </w:tc>
      </w:tr>
    </w:tbl>
    <w:p>
      <w:pPr>
        <w:pStyle w:val="null3"/>
      </w:pPr>
      <w:r>
        <w:rPr>
          <w:rFonts w:ascii="仿宋_GB2312" w:hAnsi="仿宋_GB2312" w:cs="仿宋_GB2312" w:eastAsia="仿宋_GB2312"/>
        </w:rPr>
        <w:t>标的名称：铡草揉丝机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1.铡草揉丝一体机，动力：≥15kW(主电机）+1.5kW(输送）；2.生产率：6-8t/h；3.传动方式：皮带传动； 4.出料口宽度：≥500mm；5.进料口宽度：≥450mm；6、铡切动刀≥4片，锤片数量：≥48片。</w:t>
            </w:r>
          </w:p>
        </w:tc>
      </w:tr>
    </w:tbl>
    <w:p>
      <w:pPr>
        <w:pStyle w:val="null3"/>
      </w:pPr>
      <w:r>
        <w:rPr>
          <w:rFonts w:ascii="仿宋_GB2312" w:hAnsi="仿宋_GB2312" w:cs="仿宋_GB2312" w:eastAsia="仿宋_GB2312"/>
        </w:rPr>
        <w:t>标的名称：液压翻转犁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1.结构型式：悬挂式；2.配套拖拉机标定功率:36.5-58.8kw；3.翻转机构型式：液压式、全翻转式；4.犁体数量:≥3+3；5.总工作幅宽:≥810mm；6.犁体纵向距离:≥560mm。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7.犁体幅宽:≥270mm；8.限深轮调节范围:0-110mm。（需提供证明材料，未提供证明材料的视为负偏离）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宁强县铁锁关镇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进度款，乙方将设备运送至甲方指定地点，并完成安装、调试，经甲方验收合格后，达到付款条件起7个工作日内，支付合同总金额的67.0%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其他，合同总价的3%作为质量保证金，达到付款条件起7个工作日内，支付合同总金额的3.0%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由镇、供应商共同验收，验收标准达到国家相关标准。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 三包服务：在产品三包有效期内，乙方负责提供免费上门修理服务，不得向甲方收取其他费用。 终身维修：三包有效期届满后，乙方仍应提供终身上门修理服务，相关维修费用由甲方承担。 零部件储备：乙方应维持所销售农机产品常用零部件的合理库存，确保不因缺件导致维修延误。 应急响应：农忙季节期间，产品发生故障的，乙方维修人员应在接到报修通知后 3小时内到达现场，及时进行故障排查与修复，保障农业生产正常进行。 维修记录：乙方每次上门维修均应填写维修记录，由甲乙双方签字确认，作为服务质量评估及质量保证金结算的依据。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仲裁，若因乙方未按本合同约定履行维修义务或零部件储备不足，导致甲方无法正常使用设备的，甲方有权暂缓支付剩余款项或质量保证金，直至乙方完成整改。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供应商为具有独立承担民事责任能力的企业法人或其他组织或自然人，供应商需在项目电子化交易系统中按要求上传相应证明文件并进行电子签章。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本项目不接受联合体投标，供应商需在项目电子化交易系统中上传非联合体投标声明并进行电子签章。</w:t>
            </w:r>
          </w:p>
        </w:tc>
        <w:tc>
          <w:tcPr>
            <w:tcW w:type="dxa" w:w="3322"/>
          </w:tcPr>
          <w:p>
            <w:pPr>
              <w:pStyle w:val="null3"/>
            </w:pPr>
            <w:r>
              <w:rPr>
                <w:rFonts w:ascii="仿宋_GB2312" w:hAnsi="仿宋_GB2312" w:cs="仿宋_GB2312" w:eastAsia="仿宋_GB2312"/>
              </w:rPr>
              <w:t>本项目不接受联合体投标，供应商须提供非联合体投标声明。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技术参数偏离表.docx 开标一览表 本国产品说明 中小企业声明函 商务应答表 中国境内生产的组件成本核算基本规则 产品技术参数表 投标人应提交的相关资格证明材料.docx 技术文件.docx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技术参数偏离表.docx 开标一览表 本国产品说明 中小企业声明函 商务应答表 中国境内生产的组件成本核算基本规则 产品技术参数表 投标人应提交的相关资格证明材料.docx 技术文件.docx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技术文件.docx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技术参数偏离表.docx 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和配置完全满足招标文件要求的，得30分；带“★”号的技术参数不允许偏离；带“▲”号为重要指标技术参数，偏离在12项以内（含12项），每项扣1分，偏离超过12项，重要指标技术参数评分得0分；不带符号的为一般技术参数，偏离在14项以内（含14项），每项扣0.5分，偏离超过14项，一般技术参数评分得0分。 注：带“▲”号的技术参数最多偏离12项；不带符号的技术参数最多偏离14项，超过最多偏离项数得0分。一般技术参数按格式技术参数偏离表。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三、赋分依据（针对每条评审标准，如存在不合理的方面扣0.2分） ①项目总进度计划：每完全满足一个评审标准得0.5分，满分1.5分； ②供货组织安排:每完全满足一个评审标准得0.5分，满分1.5分； ③运输方案:每完全满足一个评审标准得0.5分，满分1.5分； ④安装调试方案:每完全满足一个评审标准得0.5分，满分1.5分； ⑤物力调配及保障措施：每完全满足一个评审标准得0.5分，满分1.5分； ⑥应急保障方案：每完全满足一个评审标准得0.5分，满分1.5分。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 ①产品配套资料及产品性能②质量管理体系及保证措施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三、赋分依据（针对每条评审标准，如存在不合理的方面扣0.2分） ①产品配套资料及产品性能：每完全满足一个评审标准得0.5分，满分1.5分； ②质量管理体系及保证措施:每完全满足一个评审标准得0.5分，满分1.5分；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节能环保 产品</w:t>
            </w:r>
          </w:p>
        </w:tc>
        <w:tc>
          <w:tcPr>
            <w:tcW w:type="dxa" w:w="2492"/>
          </w:tcPr>
          <w:p>
            <w:pPr>
              <w:pStyle w:val="null3"/>
            </w:pPr>
            <w:r>
              <w:rPr>
                <w:rFonts w:ascii="仿宋_GB2312" w:hAnsi="仿宋_GB2312" w:cs="仿宋_GB2312" w:eastAsia="仿宋_GB2312"/>
              </w:rPr>
              <w:t>所投产品认定为节能产品的得1分（若项目为单一产品，得1分；若非单一产品，每种产品得0.5分，最高得2分）；所投产品认定为环保产品的得1分（若项目为单一产品，得1分；若非单一产品，每种产品得0.5分，最高得1分）；既是节能产品又是环保产品可同时得分，非节能、环保产品的不得分。 属于强制采购的节能产品，不再给予加分。 注：节能产品环境标志产品为品目清单中产品并取得认证证书，且在有效期内。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承诺采用《商品包装政府采购需求标准（试行）》（财办库[2020]）123号）或者《快递包装政府采购需求标准（试行）》（财办库[2020]）123号）进行产品包装的，得1分，无承诺不得分。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根据本项目工作特点提供机构建设方案，方案内容包括：①组织机构的运行配备②专业服务团队人员的职能分工。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三、赋分标准（针对每条评审标准，如存在不合理的方面扣0.2分） ①组织机构的运行配备：每完全满足一个评审标准得0.5分，满分1.5分； ②专业服务团队人员的职能分工:每完全满足一个评审标准得0.5分，满分1.5分。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投标人提供2023年1月以来（以合同签订时间为准）的同类项目业绩，每提供一个业绩得2.5分，最多得5分，未提供不得分；（提供合同复印件）。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制造商证明</w:t>
            </w:r>
          </w:p>
        </w:tc>
        <w:tc>
          <w:tcPr>
            <w:tcW w:type="dxa" w:w="2492"/>
          </w:tcPr>
          <w:p>
            <w:pPr>
              <w:pStyle w:val="null3"/>
            </w:pPr>
            <w:r>
              <w:rPr>
                <w:rFonts w:ascii="仿宋_GB2312" w:hAnsi="仿宋_GB2312" w:cs="仿宋_GB2312" w:eastAsia="仿宋_GB2312"/>
              </w:rPr>
              <w:t>提供带★所投产品制造商授权书得2分，投标人为制造商的直接得2分，投标人未提供的不得分。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针对本项目提供培训方案，为采购人培训操作维护人员，以保障使用过程中能熟练操作、维护和正常使用，培训方案内容包含①培训内容②培训计划安排。 二、评审标准： 1、完整性：切合本项目实际情况，方案内容齐全，对招标文件中各项要求有详细描述及其他内容的补充； 2、可实施性：切合本项目实际情况，叙述合理清楚，符合客观实际情况； 三、赋分标准（针对每条评审标准，如存在不合理的方面扣0.2分） ①培训内容：每完全满足一个评审标准得0.5分，满分1分； ②培训计划安排：每完全满足一个评审标准得0.5分，满分1分。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根据项目实际需求提供售后服务方案。内容包含：①售后服务范围、故障处理及补救措施②定期回访及维护。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三、赋分依据（针对每条评审标准，如存在不合理的方面扣0.2分） ①售后服务范围、故障处理及补救措施：每完全满足一个评审标准得0.5分，满分1.5分； ②定期回访及维护:每完全满足一个评审标准得0.5分，满分1.5分。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以本次满足投标文件要求的最低投标评审价为评标基准价，其价格为满分。其他投标人的价格分，统一按照下列公式计算：投标报价得分=(评标基准价／投标报价)×100×40%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