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版本号：HRC-ZBDL-2026-0078920260722001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渭北新城仙居苑墓园日常管理委托第三方机构实施项目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HRC-ZBDL-2026-00789</w:t>
      </w:r>
      <w:r>
        <w:br/>
      </w:r>
      <w:r>
        <w:br/>
      </w:r>
      <w:r>
        <w:br/>
      </w:r>
    </w:p>
    <w:p>
      <w:pPr>
        <w:pStyle w:val="null3"/>
        <w:jc w:val="center"/>
        <w:outlineLvl w:val="2"/>
      </w:pPr>
      <w:r>
        <w:rPr>
          <w:rFonts w:ascii="仿宋_GB2312" w:hAnsi="仿宋_GB2312" w:cs="仿宋_GB2312" w:eastAsia="仿宋_GB2312"/>
          <w:sz w:val="28"/>
          <w:b/>
        </w:rPr>
        <w:t>西安市临潼区北田街道办事处</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西安市临潼区北田街道办事处</w:t>
      </w:r>
      <w:r>
        <w:rPr>
          <w:rFonts w:ascii="仿宋_GB2312" w:hAnsi="仿宋_GB2312" w:cs="仿宋_GB2312" w:eastAsia="仿宋_GB2312"/>
        </w:rPr>
        <w:t>委托，拟对</w:t>
      </w:r>
      <w:r>
        <w:rPr>
          <w:rFonts w:ascii="仿宋_GB2312" w:hAnsi="仿宋_GB2312" w:cs="仿宋_GB2312" w:eastAsia="仿宋_GB2312"/>
        </w:rPr>
        <w:t>渭北新城仙居苑墓园日常管理委托第三方机构实施项目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HRC-ZBDL-2026-00789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渭北新城仙居苑墓园日常管理委托第三方机构实施项目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加强渭北新城仙居苑墓园规范化管理与长效运营，维护其民生公益属性及良好环境，满足辖区重点项目坟冢迁移安置需求，并持续为村民提供文明、节俭、绿色的殡葬祭祀服务，现拟将该墓园日常管理委托第三方机构实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采购包1（渭北新城仙居苑墓园日常管理委托第三方机构实施）：属于专门面向中小企业采购。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授权代表：法定代表人（主要负责人）委托代理人参加投标时，应提供法定代表人（主要负责人）委托授权书和授权代表本单位证明（开标前六个月任意一月的个人养老保险缴纳证明）；法定代表人（主要负责人）亲自参加投标时，应提供法定代表人（主要负责人）身份证明书；</w:t>
      </w:r>
    </w:p>
    <w:p>
      <w:pPr>
        <w:pStyle w:val="null3"/>
      </w:pPr>
      <w:r>
        <w:rPr>
          <w:rFonts w:ascii="仿宋_GB2312" w:hAnsi="仿宋_GB2312" w:cs="仿宋_GB2312" w:eastAsia="仿宋_GB2312"/>
        </w:rPr>
        <w:t>2、信用记录：供应商不得被“信用中国”（www.creditchina.gov.cn）列入重大税收违法案件当事人名单；不得被“中国执行信息公开网”（zxgk.court.gov.cn）列入失信被执行人名单；不得被“中国政府采购网”（www.ccgp.gov.cn）列入政府采购严重违法失信行为记录名单。</w:t>
      </w:r>
    </w:p>
    <w:p>
      <w:pPr>
        <w:pStyle w:val="null3"/>
      </w:pPr>
      <w:r>
        <w:rPr>
          <w:rFonts w:ascii="仿宋_GB2312" w:hAnsi="仿宋_GB2312" w:cs="仿宋_GB2312" w:eastAsia="仿宋_GB2312"/>
        </w:rPr>
        <w:t>3、控股管理关系：单位负责人为同一人或者存在直接控股、管理关系的不同供应商，不得参加同一合同包下的政府采购活动；</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西安市临潼区北田街道办事处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临潼区北田街道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临潼区北田街道办事处经办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029-83989005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冯延平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029-85393806/13227022154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029-86522654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参考《国家计委关于印发〈招标代理服务费管理暂行办法〉的通知》（计价格【2002】1980号）、《国家发展和改革委员会办公厅关于招标代理服务收费有关问题的通知》（发改办价格〔2003〕857号）规定计取，不足陆仟按陆仟元收取。 2、成交供应商在领取中标通知书前，须向采购代理机构一次性支付招标代理服务费。 3、代理服务费缴纳账户信息： 户名：华睿诚项目管理有限公司 开户行名称：西安银行小寨东路支行 账号：8160 1158 0000 1012 24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西安市临潼区北田街道办事处</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西安市临潼区北田街道办事处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西安市临潼区北田街道办事处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按照《财政部关于进一步加强政府采购需求和履约验收管理的指导意见》(财库(2016)205号)的要求进行验收。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联系人：冯延平</w:t>
      </w:r>
    </w:p>
    <w:p>
      <w:pPr>
        <w:pStyle w:val="null3"/>
      </w:pPr>
      <w:r>
        <w:rPr>
          <w:rFonts w:ascii="仿宋_GB2312" w:hAnsi="仿宋_GB2312" w:cs="仿宋_GB2312" w:eastAsia="仿宋_GB2312"/>
        </w:rPr>
        <w:t>联系电话：13227022154</w:t>
      </w:r>
    </w:p>
    <w:p>
      <w:pPr>
        <w:pStyle w:val="null3"/>
      </w:pPr>
      <w:r>
        <w:rPr>
          <w:rFonts w:ascii="仿宋_GB2312" w:hAnsi="仿宋_GB2312" w:cs="仿宋_GB2312" w:eastAsia="仿宋_GB2312"/>
        </w:rPr>
        <w:t>地址：陕西省西安市曲江新区雁翔路3269号旺座曲江E座29层2901号</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强渭北新城仙居苑墓园规范化管理与长效运营，维护其民生公益属性及良好环境，满足辖区重点项目坟冢迁移安置需求，并持续为村民提供文明、节俭、绿色的殡葬祭祀服务，现拟将该墓园日常管理委托第三方机构实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渭北新城仙居苑墓园日常管理委托第三方机构实施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标的名称：渭北新城仙居苑墓园日常管理委托第三方机构实施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w:t>
            </w:r>
            <w:r>
              <w:rPr>
                <w:rFonts w:ascii="仿宋_GB2312" w:hAnsi="仿宋_GB2312" w:cs="仿宋_GB2312" w:eastAsia="仿宋_GB2312"/>
                <w:sz w:val="24"/>
                <w:b/>
                <w:color w:val="000000"/>
              </w:rPr>
              <w:t>基本情况</w:t>
            </w:r>
          </w:p>
          <w:p>
            <w:pPr>
              <w:pStyle w:val="null3"/>
              <w:ind w:firstLine="480"/>
            </w:pPr>
            <w:r>
              <w:rPr>
                <w:rFonts w:ascii="仿宋_GB2312" w:hAnsi="仿宋_GB2312" w:cs="仿宋_GB2312" w:eastAsia="仿宋_GB2312"/>
                <w:sz w:val="24"/>
              </w:rPr>
              <w:t>渭北新城仙居苑墓园位于经开区北田街办温梁村二组，墓园占地面积约</w:t>
            </w:r>
            <w:r>
              <w:rPr>
                <w:rFonts w:ascii="仿宋_GB2312" w:hAnsi="仿宋_GB2312" w:cs="仿宋_GB2312" w:eastAsia="仿宋_GB2312"/>
                <w:sz w:val="24"/>
              </w:rPr>
              <w:t>50亩，设计建成墓穴6462个，为原临潼区渭北新城管委2015年建设。截至2025年10月底，墓园共安置逝者约6733位。该公墓的用途一是集中安置因土地征用而迁改的坟冢，二是为辖区新亡故人员提供安葬用地，三是为辖区群众提供祭祀已故亲人的服务。</w:t>
            </w:r>
          </w:p>
          <w:p>
            <w:pPr>
              <w:pStyle w:val="null3"/>
            </w:pPr>
            <w:r>
              <w:rPr>
                <w:rFonts w:ascii="仿宋_GB2312" w:hAnsi="仿宋_GB2312" w:cs="仿宋_GB2312" w:eastAsia="仿宋_GB2312"/>
                <w:sz w:val="24"/>
                <w:b/>
              </w:rPr>
              <w:t>二、日常管理内容</w:t>
            </w:r>
          </w:p>
          <w:p>
            <w:pPr>
              <w:pStyle w:val="null3"/>
              <w:ind w:firstLine="480"/>
              <w:jc w:val="both"/>
            </w:pPr>
            <w:r>
              <w:rPr>
                <w:rFonts w:ascii="仿宋_GB2312" w:hAnsi="仿宋_GB2312" w:cs="仿宋_GB2312" w:eastAsia="仿宋_GB2312"/>
                <w:sz w:val="24"/>
              </w:rPr>
              <w:t>为渭北新城仙居苑墓园</w:t>
            </w:r>
            <w:r>
              <w:rPr>
                <w:rFonts w:ascii="仿宋_GB2312" w:hAnsi="仿宋_GB2312" w:cs="仿宋_GB2312" w:eastAsia="仿宋_GB2312"/>
                <w:sz w:val="24"/>
              </w:rPr>
              <w:t>提供</w:t>
            </w:r>
            <w:r>
              <w:rPr>
                <w:rFonts w:ascii="仿宋_GB2312" w:hAnsi="仿宋_GB2312" w:cs="仿宋_GB2312" w:eastAsia="仿宋_GB2312"/>
                <w:sz w:val="24"/>
              </w:rPr>
              <w:t>日常管</w:t>
            </w:r>
            <w:r>
              <w:rPr>
                <w:rFonts w:ascii="仿宋_GB2312" w:hAnsi="仿宋_GB2312" w:cs="仿宋_GB2312" w:eastAsia="仿宋_GB2312"/>
                <w:sz w:val="24"/>
              </w:rPr>
              <w:t>理服务，包括但不限于：</w:t>
            </w:r>
            <w:r>
              <w:rPr>
                <w:rFonts w:ascii="仿宋_GB2312" w:hAnsi="仿宋_GB2312" w:cs="仿宋_GB2312" w:eastAsia="仿宋_GB2312"/>
                <w:sz w:val="24"/>
              </w:rPr>
              <w:t>墓园</w:t>
            </w:r>
            <w:r>
              <w:rPr>
                <w:rFonts w:ascii="仿宋_GB2312" w:hAnsi="仿宋_GB2312" w:cs="仿宋_GB2312" w:eastAsia="仿宋_GB2312"/>
                <w:sz w:val="24"/>
              </w:rPr>
              <w:t>安全防护</w:t>
            </w:r>
            <w:r>
              <w:rPr>
                <w:rFonts w:ascii="仿宋_GB2312" w:hAnsi="仿宋_GB2312" w:cs="仿宋_GB2312" w:eastAsia="仿宋_GB2312"/>
                <w:sz w:val="24"/>
              </w:rPr>
              <w:t>、</w:t>
            </w:r>
            <w:r>
              <w:rPr>
                <w:rFonts w:ascii="仿宋_GB2312" w:hAnsi="仿宋_GB2312" w:cs="仿宋_GB2312" w:eastAsia="仿宋_GB2312"/>
                <w:sz w:val="24"/>
              </w:rPr>
              <w:t>秩序维护</w:t>
            </w:r>
            <w:r>
              <w:rPr>
                <w:rFonts w:ascii="仿宋_GB2312" w:hAnsi="仿宋_GB2312" w:cs="仿宋_GB2312" w:eastAsia="仿宋_GB2312"/>
                <w:sz w:val="24"/>
              </w:rPr>
              <w:t>、</w:t>
            </w:r>
            <w:r>
              <w:rPr>
                <w:rFonts w:ascii="仿宋_GB2312" w:hAnsi="仿宋_GB2312" w:cs="仿宋_GB2312" w:eastAsia="仿宋_GB2312"/>
                <w:sz w:val="24"/>
              </w:rPr>
              <w:t>环境卫生保洁</w:t>
            </w:r>
            <w:r>
              <w:rPr>
                <w:rFonts w:ascii="仿宋_GB2312" w:hAnsi="仿宋_GB2312" w:cs="仿宋_GB2312" w:eastAsia="仿宋_GB2312"/>
                <w:sz w:val="24"/>
              </w:rPr>
              <w:t>、</w:t>
            </w:r>
            <w:r>
              <w:rPr>
                <w:rFonts w:ascii="仿宋_GB2312" w:hAnsi="仿宋_GB2312" w:cs="仿宋_GB2312" w:eastAsia="仿宋_GB2312"/>
                <w:sz w:val="24"/>
              </w:rPr>
              <w:t>设施</w:t>
            </w:r>
            <w:r>
              <w:rPr>
                <w:rFonts w:ascii="仿宋_GB2312" w:hAnsi="仿宋_GB2312" w:cs="仿宋_GB2312" w:eastAsia="仿宋_GB2312"/>
                <w:sz w:val="24"/>
              </w:rPr>
              <w:t>设备</w:t>
            </w:r>
            <w:r>
              <w:rPr>
                <w:rFonts w:ascii="仿宋_GB2312" w:hAnsi="仿宋_GB2312" w:cs="仿宋_GB2312" w:eastAsia="仿宋_GB2312"/>
                <w:sz w:val="24"/>
              </w:rPr>
              <w:t>维护</w:t>
            </w:r>
            <w:r>
              <w:rPr>
                <w:rFonts w:ascii="仿宋_GB2312" w:hAnsi="仿宋_GB2312" w:cs="仿宋_GB2312" w:eastAsia="仿宋_GB2312"/>
                <w:sz w:val="24"/>
              </w:rPr>
              <w:t>、</w:t>
            </w:r>
            <w:r>
              <w:rPr>
                <w:rFonts w:ascii="仿宋_GB2312" w:hAnsi="仿宋_GB2312" w:cs="仿宋_GB2312" w:eastAsia="仿宋_GB2312"/>
                <w:sz w:val="24"/>
              </w:rPr>
              <w:t>绿化养护</w:t>
            </w:r>
            <w:r>
              <w:rPr>
                <w:rFonts w:ascii="仿宋_GB2312" w:hAnsi="仿宋_GB2312" w:cs="仿宋_GB2312" w:eastAsia="仿宋_GB2312"/>
                <w:sz w:val="24"/>
              </w:rPr>
              <w:t>、</w:t>
            </w:r>
            <w:r>
              <w:rPr>
                <w:rFonts w:ascii="仿宋_GB2312" w:hAnsi="仿宋_GB2312" w:cs="仿宋_GB2312" w:eastAsia="仿宋_GB2312"/>
                <w:sz w:val="24"/>
              </w:rPr>
              <w:t>客户服务</w:t>
            </w:r>
            <w:r>
              <w:rPr>
                <w:rFonts w:ascii="仿宋_GB2312" w:hAnsi="仿宋_GB2312" w:cs="仿宋_GB2312" w:eastAsia="仿宋_GB2312"/>
                <w:sz w:val="24"/>
              </w:rPr>
              <w:t>、信息报送及应急处理、</w:t>
            </w:r>
            <w:r>
              <w:rPr>
                <w:rFonts w:ascii="仿宋_GB2312" w:hAnsi="仿宋_GB2312" w:cs="仿宋_GB2312" w:eastAsia="仿宋_GB2312"/>
                <w:sz w:val="24"/>
              </w:rPr>
              <w:t>现场管理、档案管理</w:t>
            </w:r>
            <w:r>
              <w:rPr>
                <w:rFonts w:ascii="仿宋_GB2312" w:hAnsi="仿宋_GB2312" w:cs="仿宋_GB2312" w:eastAsia="仿宋_GB2312"/>
                <w:sz w:val="24"/>
              </w:rPr>
              <w:t>等</w:t>
            </w:r>
            <w:r>
              <w:rPr>
                <w:rFonts w:ascii="仿宋_GB2312" w:hAnsi="仿宋_GB2312" w:cs="仿宋_GB2312" w:eastAsia="仿宋_GB2312"/>
                <w:sz w:val="24"/>
              </w:rPr>
              <w:t>配合采购人完成临时交办的</w:t>
            </w:r>
            <w:r>
              <w:rPr>
                <w:rFonts w:ascii="仿宋_GB2312" w:hAnsi="仿宋_GB2312" w:cs="仿宋_GB2312" w:eastAsia="仿宋_GB2312"/>
                <w:sz w:val="24"/>
              </w:rPr>
              <w:t>其他</w:t>
            </w:r>
            <w:r>
              <w:rPr>
                <w:rFonts w:ascii="仿宋_GB2312" w:hAnsi="仿宋_GB2312" w:cs="仿宋_GB2312" w:eastAsia="仿宋_GB2312"/>
                <w:sz w:val="24"/>
              </w:rPr>
              <w:t>任务。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安全防护：实施</w:t>
            </w:r>
            <w:r>
              <w:rPr>
                <w:rFonts w:ascii="仿宋_GB2312" w:hAnsi="仿宋_GB2312" w:cs="仿宋_GB2312" w:eastAsia="仿宋_GB2312"/>
                <w:sz w:val="24"/>
              </w:rPr>
              <w:t>24小时值班巡逻，重点做好防火（特别是祭祀高峰期及干燥季节的火灾隐患排查、应急处理）、防盗（防止设施、财物被盗或破坏）及监控值守。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秩序维护：在平日及清明、冬至等祭祀高峰时段，引导车辆</w:t>
            </w:r>
            <w:r>
              <w:rPr>
                <w:rFonts w:ascii="仿宋_GB2312" w:hAnsi="仿宋_GB2312" w:cs="仿宋_GB2312" w:eastAsia="仿宋_GB2312"/>
                <w:sz w:val="24"/>
              </w:rPr>
              <w:t>有序</w:t>
            </w:r>
            <w:r>
              <w:rPr>
                <w:rFonts w:ascii="仿宋_GB2312" w:hAnsi="仿宋_GB2312" w:cs="仿宋_GB2312" w:eastAsia="仿宋_GB2312"/>
                <w:sz w:val="24"/>
              </w:rPr>
              <w:t>停放、疏导人流，</w:t>
            </w:r>
            <w:r>
              <w:rPr>
                <w:rFonts w:ascii="仿宋_GB2312" w:hAnsi="仿宋_GB2312" w:cs="仿宋_GB2312" w:eastAsia="仿宋_GB2312"/>
                <w:sz w:val="24"/>
              </w:rPr>
              <w:t>避免拥挤和发生踩踏，</w:t>
            </w:r>
            <w:r>
              <w:rPr>
                <w:rFonts w:ascii="仿宋_GB2312" w:hAnsi="仿宋_GB2312" w:cs="仿宋_GB2312" w:eastAsia="仿宋_GB2312"/>
                <w:sz w:val="24"/>
              </w:rPr>
              <w:t>维护园内祭祀秩序，及时调解纠纷，保障</w:t>
            </w:r>
            <w:r>
              <w:rPr>
                <w:rFonts w:ascii="仿宋_GB2312" w:hAnsi="仿宋_GB2312" w:cs="仿宋_GB2312" w:eastAsia="仿宋_GB2312"/>
                <w:sz w:val="24"/>
              </w:rPr>
              <w:t>祭祀</w:t>
            </w:r>
            <w:r>
              <w:rPr>
                <w:rFonts w:ascii="仿宋_GB2312" w:hAnsi="仿宋_GB2312" w:cs="仿宋_GB2312" w:eastAsia="仿宋_GB2312"/>
                <w:sz w:val="24"/>
              </w:rPr>
              <w:t>活动平稳有序。</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环境卫生保洁：负责墓园全域（含墓区、道路、公共卫生间、绿化带等）的日常清扫</w:t>
            </w:r>
            <w:r>
              <w:rPr>
                <w:rFonts w:ascii="仿宋_GB2312" w:hAnsi="仿宋_GB2312" w:cs="仿宋_GB2312" w:eastAsia="仿宋_GB2312"/>
                <w:sz w:val="24"/>
              </w:rPr>
              <w:t>保洁</w:t>
            </w:r>
            <w:r>
              <w:rPr>
                <w:rFonts w:ascii="仿宋_GB2312" w:hAnsi="仿宋_GB2312" w:cs="仿宋_GB2312" w:eastAsia="仿宋_GB2312"/>
                <w:sz w:val="24"/>
              </w:rPr>
              <w:t>、垃圾清</w:t>
            </w:r>
            <w:r>
              <w:rPr>
                <w:rFonts w:ascii="仿宋_GB2312" w:hAnsi="仿宋_GB2312" w:cs="仿宋_GB2312" w:eastAsia="仿宋_GB2312"/>
                <w:sz w:val="24"/>
              </w:rPr>
              <w:t>理外运处置</w:t>
            </w:r>
            <w:r>
              <w:rPr>
                <w:rFonts w:ascii="仿宋_GB2312" w:hAnsi="仿宋_GB2312" w:cs="仿宋_GB2312" w:eastAsia="仿宋_GB2312"/>
                <w:sz w:val="24"/>
              </w:rPr>
              <w:t>、杂草清除及环境消毒，保持墓园整洁肃穆。</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设施</w:t>
            </w:r>
            <w:r>
              <w:rPr>
                <w:rFonts w:ascii="仿宋_GB2312" w:hAnsi="仿宋_GB2312" w:cs="仿宋_GB2312" w:eastAsia="仿宋_GB2312"/>
                <w:sz w:val="24"/>
              </w:rPr>
              <w:t>设备</w:t>
            </w:r>
            <w:r>
              <w:rPr>
                <w:rFonts w:ascii="仿宋_GB2312" w:hAnsi="仿宋_GB2312" w:cs="仿宋_GB2312" w:eastAsia="仿宋_GB2312"/>
                <w:sz w:val="24"/>
              </w:rPr>
              <w:t>维护：对墓穴、碑体、道路、排水、照明、围墙、标识牌等基础设施进行日常检查、简单维修及报修。</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绿化养护：对墓园内约</w:t>
            </w:r>
            <w:r>
              <w:rPr>
                <w:rFonts w:ascii="仿宋_GB2312" w:hAnsi="仿宋_GB2312" w:cs="仿宋_GB2312" w:eastAsia="仿宋_GB2312"/>
                <w:sz w:val="24"/>
              </w:rPr>
              <w:t>50亩区域的绿植、草坪进行修剪、浇灌、病虫害防治等养护工作。</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客户服务：为前来安葬、祭祀的群众提供基本的指引、咨询与协助</w:t>
            </w:r>
            <w:r>
              <w:rPr>
                <w:rFonts w:ascii="仿宋_GB2312" w:hAnsi="仿宋_GB2312" w:cs="仿宋_GB2312" w:eastAsia="仿宋_GB2312"/>
                <w:sz w:val="24"/>
              </w:rPr>
              <w:t>及便民（饮水、休息）</w:t>
            </w:r>
            <w:r>
              <w:rPr>
                <w:rFonts w:ascii="仿宋_GB2312" w:hAnsi="仿宋_GB2312" w:cs="仿宋_GB2312" w:eastAsia="仿宋_GB2312"/>
                <w:sz w:val="24"/>
              </w:rPr>
              <w:t>服务。</w:t>
            </w:r>
          </w:p>
          <w:p>
            <w:pPr>
              <w:pStyle w:val="null3"/>
              <w:ind w:firstLine="480"/>
              <w:jc w:val="both"/>
            </w:pPr>
            <w:r>
              <w:rPr>
                <w:rFonts w:ascii="仿宋_GB2312" w:hAnsi="仿宋_GB2312" w:cs="仿宋_GB2312" w:eastAsia="仿宋_GB2312"/>
                <w:sz w:val="24"/>
              </w:rPr>
              <w:t>7、信息报送及应急处理：对墓园的突发性事件要及时报送，并做好应急处置。协助街办做好墓园的信访和投诉问题。</w:t>
            </w:r>
          </w:p>
          <w:p>
            <w:pPr>
              <w:pStyle w:val="null3"/>
              <w:ind w:firstLine="480"/>
              <w:jc w:val="both"/>
            </w:pPr>
            <w:r>
              <w:rPr>
                <w:rFonts w:ascii="仿宋_GB2312" w:hAnsi="仿宋_GB2312" w:cs="仿宋_GB2312" w:eastAsia="仿宋_GB2312"/>
                <w:sz w:val="24"/>
              </w:rPr>
              <w:t>8、现场管理：为入园安葬的群众划定墓穴，并做好信息录入，建立逝者档案，同时加强墓园的现场管理，防止乱搭乱建，私改墓穴等行为。</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其他工作</w:t>
            </w:r>
            <w:r>
              <w:rPr>
                <w:rFonts w:ascii="仿宋_GB2312" w:hAnsi="仿宋_GB2312" w:cs="仿宋_GB2312" w:eastAsia="仿宋_GB2312"/>
                <w:sz w:val="24"/>
              </w:rPr>
              <w:t>：</w:t>
            </w:r>
            <w:r>
              <w:rPr>
                <w:rFonts w:ascii="仿宋_GB2312" w:hAnsi="仿宋_GB2312" w:cs="仿宋_GB2312" w:eastAsia="仿宋_GB2312"/>
                <w:sz w:val="24"/>
              </w:rPr>
              <w:t>配合甲方完成临时交办的专项或机动任务。本服务范围需确保服务涵盖日常管理、季节性专项工作（如清明保障、防汛、防火）及突发情况处置，人员配置及服务方案应满足</w:t>
            </w:r>
            <w:r>
              <w:rPr>
                <w:rFonts w:ascii="仿宋_GB2312" w:hAnsi="仿宋_GB2312" w:cs="仿宋_GB2312" w:eastAsia="仿宋_GB2312"/>
                <w:sz w:val="24"/>
              </w:rPr>
              <w:t>24 小时值守需求。</w:t>
            </w:r>
          </w:p>
          <w:p>
            <w:pPr>
              <w:pStyle w:val="null3"/>
              <w:jc w:val="left"/>
            </w:pPr>
            <w:r>
              <w:rPr>
                <w:rFonts w:ascii="仿宋_GB2312" w:hAnsi="仿宋_GB2312" w:cs="仿宋_GB2312" w:eastAsia="仿宋_GB2312"/>
                <w:sz w:val="24"/>
                <w:b/>
              </w:rPr>
              <w:t>三、项目考核方法</w:t>
            </w:r>
          </w:p>
          <w:p>
            <w:pPr>
              <w:pStyle w:val="null3"/>
              <w:ind w:firstLine="480"/>
              <w:jc w:val="both"/>
            </w:pPr>
            <w:r>
              <w:rPr>
                <w:rFonts w:ascii="仿宋_GB2312" w:hAnsi="仿宋_GB2312" w:cs="仿宋_GB2312" w:eastAsia="仿宋_GB2312"/>
                <w:sz w:val="24"/>
              </w:rPr>
              <w:t>为确保服务商严格履行合同，提供优质、稳定的服务，建议采用</w:t>
            </w:r>
            <w:r>
              <w:rPr>
                <w:rFonts w:ascii="仿宋_GB2312" w:hAnsi="仿宋_GB2312" w:cs="仿宋_GB2312" w:eastAsia="仿宋_GB2312"/>
                <w:sz w:val="24"/>
              </w:rPr>
              <w:t>“月度暗访+季度考评+年度综合评估”的多维度、量化考核机制。</w:t>
            </w:r>
          </w:p>
          <w:p>
            <w:pPr>
              <w:pStyle w:val="null3"/>
              <w:ind w:firstLine="482"/>
              <w:jc w:val="both"/>
            </w:pPr>
            <w:r>
              <w:rPr>
                <w:rFonts w:ascii="仿宋_GB2312" w:hAnsi="仿宋_GB2312" w:cs="仿宋_GB2312" w:eastAsia="仿宋_GB2312"/>
                <w:sz w:val="24"/>
                <w:b/>
              </w:rPr>
              <w:t>1.考核方式与周期</w:t>
            </w:r>
          </w:p>
          <w:p>
            <w:pPr>
              <w:pStyle w:val="null3"/>
              <w:ind w:firstLine="480"/>
              <w:jc w:val="both"/>
            </w:pPr>
            <w:r>
              <w:rPr>
                <w:rFonts w:ascii="仿宋_GB2312" w:hAnsi="仿宋_GB2312" w:cs="仿宋_GB2312" w:eastAsia="仿宋_GB2312"/>
                <w:sz w:val="24"/>
              </w:rPr>
              <w:t>1.1.日常检查（不定时暗访）：采购人（街办）管理人员可不定期进行现场暗访检查，记录问题，作为考核依据。</w:t>
            </w:r>
          </w:p>
          <w:p>
            <w:pPr>
              <w:pStyle w:val="null3"/>
              <w:ind w:firstLine="480"/>
              <w:jc w:val="both"/>
            </w:pPr>
            <w:r>
              <w:rPr>
                <w:rFonts w:ascii="仿宋_GB2312" w:hAnsi="仿宋_GB2312" w:cs="仿宋_GB2312" w:eastAsia="仿宋_GB2312"/>
                <w:sz w:val="24"/>
              </w:rPr>
              <w:t>1.2.月度考核：每月进行一次，主要依据日常检查记录、投诉处理情况及服务商提交的月报。</w:t>
            </w:r>
          </w:p>
          <w:p>
            <w:pPr>
              <w:pStyle w:val="null3"/>
              <w:ind w:firstLine="480"/>
              <w:jc w:val="both"/>
            </w:pPr>
            <w:r>
              <w:rPr>
                <w:rFonts w:ascii="仿宋_GB2312" w:hAnsi="仿宋_GB2312" w:cs="仿宋_GB2312" w:eastAsia="仿宋_GB2312"/>
                <w:sz w:val="24"/>
              </w:rPr>
              <w:t>1.3.季度考评：每季度进行一次综合性考评，结合月度考核情况，进行现场核查与评分。</w:t>
            </w:r>
          </w:p>
          <w:p>
            <w:pPr>
              <w:pStyle w:val="null3"/>
              <w:ind w:firstLine="480"/>
              <w:jc w:val="both"/>
            </w:pPr>
            <w:r>
              <w:rPr>
                <w:rFonts w:ascii="仿宋_GB2312" w:hAnsi="仿宋_GB2312" w:cs="仿宋_GB2312" w:eastAsia="仿宋_GB2312"/>
                <w:sz w:val="24"/>
              </w:rPr>
              <w:t>1.4.年度评估：每个合同年度结束前，进行一次全面综合评估，作为是否续签下一年度合同的核心依据。</w:t>
            </w:r>
          </w:p>
          <w:p>
            <w:pPr>
              <w:pStyle w:val="null3"/>
              <w:ind w:firstLine="482"/>
              <w:jc w:val="both"/>
            </w:pPr>
            <w:r>
              <w:rPr>
                <w:rFonts w:ascii="仿宋_GB2312" w:hAnsi="仿宋_GB2312" w:cs="仿宋_GB2312" w:eastAsia="仿宋_GB2312"/>
                <w:sz w:val="24"/>
                <w:b/>
              </w:rPr>
              <w:t>2. 考核评分表</w:t>
            </w:r>
          </w:p>
          <w:p>
            <w:pPr>
              <w:pStyle w:val="null3"/>
              <w:ind w:firstLine="480"/>
              <w:jc w:val="both"/>
            </w:pPr>
            <w:r>
              <w:rPr>
                <w:rFonts w:ascii="仿宋_GB2312" w:hAnsi="仿宋_GB2312" w:cs="仿宋_GB2312" w:eastAsia="仿宋_GB2312"/>
                <w:sz w:val="24"/>
              </w:rPr>
              <w:t>总分为</w:t>
            </w:r>
            <w:r>
              <w:rPr>
                <w:rFonts w:ascii="仿宋_GB2312" w:hAnsi="仿宋_GB2312" w:cs="仿宋_GB2312" w:eastAsia="仿宋_GB2312"/>
                <w:sz w:val="24"/>
              </w:rPr>
              <w:t>100分，90分（含）以上为优秀，80-89分为良好，70-79分为合格，70分以下为不合格。</w:t>
            </w:r>
          </w:p>
          <w:tbl>
            <w:tblPr>
              <w:tblBorders>
                <w:top w:val="none" w:color="000000" w:sz="4"/>
                <w:left w:val="none" w:color="000000" w:sz="4"/>
                <w:bottom w:val="none" w:color="000000" w:sz="4"/>
                <w:right w:val="none" w:color="000000" w:sz="4"/>
                <w:insideH w:val="none"/>
                <w:insideV w:val="none"/>
              </w:tblBorders>
            </w:tblPr>
            <w:tblGrid>
              <w:gridCol w:w="483"/>
              <w:gridCol w:w="1181"/>
              <w:gridCol w:w="397"/>
              <w:gridCol w:w="1757"/>
            </w:tblGrid>
            <w:tr>
              <w:tc>
                <w:tcPr>
                  <w:tcW w:type="dxa" w:w="483"/>
                  <w:tcBorders>
                    <w:top w:val="single" w:color="000000" w:sz="4"/>
                    <w:left w:val="single" w:color="000000" w:sz="4"/>
                    <w:bottom w:val="single" w:color="000000" w:sz="4"/>
                    <w:right w:val="single" w:color="000000" w:sz="4"/>
                  </w:tcBorders>
                  <w:shd w:fill="FFFFFF"/>
                  <w:tcMar>
                    <w:top w:type="dxa" w:w="120"/>
                    <w:left w:type="dxa" w:w="0"/>
                    <w:bottom w:type="dxa" w:w="120"/>
                    <w:right w:type="dxa" w:w="195"/>
                  </w:tcMar>
                  <w:vAlign w:val="top"/>
                </w:tcPr>
                <w:p>
                  <w:pPr>
                    <w:pStyle w:val="null3"/>
                    <w:jc w:val="center"/>
                  </w:pPr>
                  <w:r>
                    <w:rPr>
                      <w:rFonts w:ascii="仿宋_GB2312" w:hAnsi="仿宋_GB2312" w:cs="仿宋_GB2312" w:eastAsia="仿宋_GB2312"/>
                      <w:sz w:val="18"/>
                      <w:b/>
                      <w:color w:val="0F1115"/>
                    </w:rPr>
                    <w:t>考核</w:t>
                  </w:r>
                  <w:r>
                    <w:rPr>
                      <w:rFonts w:ascii="仿宋_GB2312" w:hAnsi="仿宋_GB2312" w:cs="仿宋_GB2312" w:eastAsia="仿宋_GB2312"/>
                      <w:sz w:val="18"/>
                      <w:b/>
                      <w:color w:val="0F1115"/>
                    </w:rPr>
                    <w:t xml:space="preserve">  </w:t>
                  </w:r>
                  <w:r>
                    <w:rPr>
                      <w:rFonts w:ascii="仿宋_GB2312" w:hAnsi="仿宋_GB2312" w:cs="仿宋_GB2312" w:eastAsia="仿宋_GB2312"/>
                      <w:sz w:val="18"/>
                      <w:b/>
                      <w:color w:val="0F1115"/>
                    </w:rPr>
                    <w:t>大类</w:t>
                  </w:r>
                </w:p>
              </w:tc>
              <w:tc>
                <w:tcPr>
                  <w:tcW w:type="dxa" w:w="1181"/>
                  <w:tcBorders>
                    <w:top w:val="singl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center"/>
                  </w:pPr>
                  <w:r>
                    <w:rPr>
                      <w:rFonts w:ascii="仿宋_GB2312" w:hAnsi="仿宋_GB2312" w:cs="仿宋_GB2312" w:eastAsia="仿宋_GB2312"/>
                      <w:sz w:val="18"/>
                      <w:b/>
                      <w:color w:val="0F1115"/>
                    </w:rPr>
                    <w:t>考核细项</w:t>
                  </w:r>
                </w:p>
              </w:tc>
              <w:tc>
                <w:tcPr>
                  <w:tcW w:type="dxa" w:w="397"/>
                  <w:tcBorders>
                    <w:top w:val="singl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center"/>
                  </w:pPr>
                  <w:r>
                    <w:rPr>
                      <w:rFonts w:ascii="仿宋_GB2312" w:hAnsi="仿宋_GB2312" w:cs="仿宋_GB2312" w:eastAsia="仿宋_GB2312"/>
                      <w:sz w:val="18"/>
                      <w:b/>
                      <w:color w:val="0F1115"/>
                    </w:rPr>
                    <w:t>分值</w:t>
                  </w:r>
                </w:p>
              </w:tc>
              <w:tc>
                <w:tcPr>
                  <w:tcW w:type="dxa" w:w="1757"/>
                  <w:tcBorders>
                    <w:top w:val="singl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center"/>
                  </w:pPr>
                  <w:r>
                    <w:rPr>
                      <w:rFonts w:ascii="仿宋_GB2312" w:hAnsi="仿宋_GB2312" w:cs="仿宋_GB2312" w:eastAsia="仿宋_GB2312"/>
                      <w:sz w:val="18"/>
                      <w:b/>
                      <w:color w:val="0F1115"/>
                    </w:rPr>
                    <w:t>考核标准与扣分细则</w:t>
                  </w:r>
                </w:p>
              </w:tc>
            </w:tr>
            <w:tr>
              <w:tc>
                <w:tcPr>
                  <w:tcW w:type="dxa" w:w="483"/>
                  <w:vMerge w:val="restart"/>
                  <w:tcBorders>
                    <w:top w:val="none" w:color="000000" w:sz="4"/>
                    <w:left w:val="single" w:color="000000" w:sz="4"/>
                    <w:bottom w:val="single" w:color="000000" w:sz="4"/>
                    <w:right w:val="single" w:color="000000" w:sz="4"/>
                  </w:tcBorders>
                  <w:shd w:fill="FFFFFF"/>
                  <w:tcMar>
                    <w:top w:type="dxa" w:w="120"/>
                    <w:left w:type="dxa" w:w="0"/>
                    <w:bottom w:type="dxa" w:w="120"/>
                    <w:right w:type="dxa" w:w="195"/>
                  </w:tcMar>
                  <w:vAlign w:val="top"/>
                </w:tcPr>
                <w:p>
                  <w:pPr>
                    <w:pStyle w:val="null3"/>
                    <w:jc w:val="center"/>
                  </w:pPr>
                  <w:r>
                    <w:rPr>
                      <w:rFonts w:ascii="仿宋_GB2312" w:hAnsi="仿宋_GB2312" w:cs="仿宋_GB2312" w:eastAsia="仿宋_GB2312"/>
                      <w:sz w:val="18"/>
                      <w:b/>
                      <w:color w:val="0F1115"/>
                    </w:rPr>
                    <w:t>安全与秩序</w:t>
                  </w:r>
                  <w:r>
                    <w:rPr>
                      <w:rFonts w:ascii="仿宋_GB2312" w:hAnsi="仿宋_GB2312" w:cs="仿宋_GB2312" w:eastAsia="仿宋_GB2312"/>
                      <w:sz w:val="18"/>
                      <w:b/>
                      <w:color w:val="0F1115"/>
                    </w:rPr>
                    <w:t>(25分)</w:t>
                  </w:r>
                </w:p>
              </w:tc>
              <w:tc>
                <w:tcPr>
                  <w:tcW w:type="dxa" w:w="1181"/>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1. 值班巡逻记录完整，监控值守有效。</w:t>
                  </w:r>
                </w:p>
              </w:tc>
              <w:tc>
                <w:tcPr>
                  <w:tcW w:type="dxa" w:w="397"/>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5</w:t>
                  </w:r>
                </w:p>
              </w:tc>
              <w:tc>
                <w:tcPr>
                  <w:tcW w:type="dxa" w:w="1757"/>
                  <w:tcBorders>
                    <w:top w:val="none" w:color="000000" w:sz="4"/>
                    <w:left w:val="single" w:color="000000" w:sz="4"/>
                    <w:bottom w:val="single" w:color="000000" w:sz="4"/>
                    <w:right w:val="single" w:color="000000" w:sz="4"/>
                  </w:tcBorders>
                  <w:shd w:fill="FFFFFF"/>
                  <w:tcMar>
                    <w:top w:type="dxa" w:w="120"/>
                    <w:left w:type="dxa" w:w="195"/>
                    <w:bottom w:type="dxa" w:w="120"/>
                    <w:right w:type="dxa" w:w="0"/>
                  </w:tcMar>
                  <w:vAlign w:val="top"/>
                </w:tcPr>
                <w:p>
                  <w:pPr>
                    <w:pStyle w:val="null3"/>
                    <w:jc w:val="both"/>
                  </w:pPr>
                  <w:r>
                    <w:rPr>
                      <w:rFonts w:ascii="仿宋_GB2312" w:hAnsi="仿宋_GB2312" w:cs="仿宋_GB2312" w:eastAsia="仿宋_GB2312"/>
                      <w:sz w:val="18"/>
                      <w:color w:val="0F1115"/>
                    </w:rPr>
                    <w:t>记录不全</w:t>
                  </w:r>
                  <w:r>
                    <w:rPr>
                      <w:rFonts w:ascii="仿宋_GB2312" w:hAnsi="仿宋_GB2312" w:cs="仿宋_GB2312" w:eastAsia="仿宋_GB2312"/>
                      <w:sz w:val="18"/>
                      <w:color w:val="0F1115"/>
                    </w:rPr>
                    <w:t>/虚假，每次扣1分；值班室脱岗，每次扣2分。</w:t>
                  </w:r>
                </w:p>
              </w:tc>
            </w:tr>
            <w:tr>
              <w:tc>
                <w:tcPr>
                  <w:tcW w:type="dxa" w:w="483"/>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2. 防火措施到位，无火灾隐患。</w:t>
                  </w:r>
                </w:p>
              </w:tc>
              <w:tc>
                <w:tcPr>
                  <w:tcW w:type="dxa" w:w="397"/>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10</w:t>
                  </w:r>
                </w:p>
              </w:tc>
              <w:tc>
                <w:tcPr>
                  <w:tcW w:type="dxa" w:w="1757"/>
                  <w:tcBorders>
                    <w:top w:val="none" w:color="000000" w:sz="4"/>
                    <w:left w:val="single" w:color="000000" w:sz="4"/>
                    <w:bottom w:val="single" w:color="000000" w:sz="4"/>
                    <w:right w:val="single" w:color="000000" w:sz="4"/>
                  </w:tcBorders>
                  <w:shd w:fill="FFFFFF"/>
                  <w:tcMar>
                    <w:top w:type="dxa" w:w="120"/>
                    <w:left w:type="dxa" w:w="195"/>
                    <w:bottom w:type="dxa" w:w="120"/>
                    <w:right w:type="dxa" w:w="0"/>
                  </w:tcMar>
                  <w:vAlign w:val="top"/>
                </w:tcPr>
                <w:p>
                  <w:pPr>
                    <w:pStyle w:val="null3"/>
                    <w:jc w:val="both"/>
                  </w:pPr>
                  <w:r>
                    <w:rPr>
                      <w:rFonts w:ascii="仿宋_GB2312" w:hAnsi="仿宋_GB2312" w:cs="仿宋_GB2312" w:eastAsia="仿宋_GB2312"/>
                      <w:sz w:val="18"/>
                      <w:color w:val="0F1115"/>
                    </w:rPr>
                    <w:t>发现吸烟或明火未制止，每次扣</w:t>
                  </w:r>
                  <w:r>
                    <w:rPr>
                      <w:rFonts w:ascii="仿宋_GB2312" w:hAnsi="仿宋_GB2312" w:cs="仿宋_GB2312" w:eastAsia="仿宋_GB2312"/>
                      <w:sz w:val="18"/>
                      <w:color w:val="0F1115"/>
                    </w:rPr>
                    <w:t>2分；消防器材失效或堵塞，每处扣2分；发生火情处置不力，本项得0分。</w:t>
                  </w:r>
                </w:p>
              </w:tc>
            </w:tr>
            <w:tr>
              <w:tc>
                <w:tcPr>
                  <w:tcW w:type="dxa" w:w="483"/>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3. 高峰时段秩序维护良好。</w:t>
                  </w:r>
                </w:p>
              </w:tc>
              <w:tc>
                <w:tcPr>
                  <w:tcW w:type="dxa" w:w="397"/>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10</w:t>
                  </w:r>
                </w:p>
              </w:tc>
              <w:tc>
                <w:tcPr>
                  <w:tcW w:type="dxa" w:w="1757"/>
                  <w:tcBorders>
                    <w:top w:val="none" w:color="000000" w:sz="4"/>
                    <w:left w:val="single" w:color="000000" w:sz="4"/>
                    <w:bottom w:val="single" w:color="000000" w:sz="4"/>
                    <w:right w:val="single" w:color="000000" w:sz="4"/>
                  </w:tcBorders>
                  <w:shd w:fill="FFFFFF"/>
                  <w:tcMar>
                    <w:top w:type="dxa" w:w="120"/>
                    <w:left w:type="dxa" w:w="195"/>
                    <w:bottom w:type="dxa" w:w="120"/>
                    <w:right w:type="dxa" w:w="0"/>
                  </w:tcMar>
                  <w:vAlign w:val="top"/>
                </w:tcPr>
                <w:p>
                  <w:pPr>
                    <w:pStyle w:val="null3"/>
                    <w:jc w:val="both"/>
                  </w:pPr>
                  <w:r>
                    <w:rPr>
                      <w:rFonts w:ascii="仿宋_GB2312" w:hAnsi="仿宋_GB2312" w:cs="仿宋_GB2312" w:eastAsia="仿宋_GB2312"/>
                      <w:sz w:val="18"/>
                      <w:color w:val="0F1115"/>
                    </w:rPr>
                    <w:t>出现严重交通拥堵、人员拥挤或纠纷未能及时疏导，每次扣</w:t>
                  </w:r>
                  <w:r>
                    <w:rPr>
                      <w:rFonts w:ascii="仿宋_GB2312" w:hAnsi="仿宋_GB2312" w:cs="仿宋_GB2312" w:eastAsia="仿宋_GB2312"/>
                      <w:sz w:val="18"/>
                      <w:color w:val="0F1115"/>
                    </w:rPr>
                    <w:t>3-5分。</w:t>
                  </w:r>
                </w:p>
              </w:tc>
            </w:tr>
            <w:tr>
              <w:tc>
                <w:tcPr>
                  <w:tcW w:type="dxa" w:w="483"/>
                  <w:vMerge w:val="restart"/>
                  <w:tcBorders>
                    <w:top w:val="none" w:color="000000" w:sz="4"/>
                    <w:left w:val="single" w:color="000000" w:sz="4"/>
                    <w:bottom w:val="single" w:color="000000" w:sz="4"/>
                    <w:right w:val="single" w:color="000000" w:sz="4"/>
                  </w:tcBorders>
                  <w:shd w:fill="FFFFFF"/>
                  <w:tcMar>
                    <w:top w:type="dxa" w:w="120"/>
                    <w:left w:type="dxa" w:w="0"/>
                    <w:bottom w:type="dxa" w:w="120"/>
                    <w:right w:type="dxa" w:w="195"/>
                  </w:tcMar>
                  <w:vAlign w:val="top"/>
                </w:tcPr>
                <w:p>
                  <w:pPr>
                    <w:pStyle w:val="null3"/>
                    <w:jc w:val="center"/>
                  </w:pPr>
                  <w:r>
                    <w:rPr>
                      <w:rFonts w:ascii="仿宋_GB2312" w:hAnsi="仿宋_GB2312" w:cs="仿宋_GB2312" w:eastAsia="仿宋_GB2312"/>
                      <w:sz w:val="18"/>
                      <w:b/>
                      <w:color w:val="0F1115"/>
                    </w:rPr>
                    <w:t>环境与设施</w:t>
                  </w:r>
                  <w:r>
                    <w:rPr>
                      <w:rFonts w:ascii="仿宋_GB2312" w:hAnsi="仿宋_GB2312" w:cs="仿宋_GB2312" w:eastAsia="仿宋_GB2312"/>
                      <w:sz w:val="18"/>
                      <w:b/>
                      <w:color w:val="0F1115"/>
                    </w:rPr>
                    <w:t>(30分)</w:t>
                  </w:r>
                </w:p>
              </w:tc>
              <w:tc>
                <w:tcPr>
                  <w:tcW w:type="dxa" w:w="1181"/>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4. 全域环境卫生整洁。</w:t>
                  </w:r>
                </w:p>
              </w:tc>
              <w:tc>
                <w:tcPr>
                  <w:tcW w:type="dxa" w:w="397"/>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15</w:t>
                  </w:r>
                </w:p>
              </w:tc>
              <w:tc>
                <w:tcPr>
                  <w:tcW w:type="dxa" w:w="1757"/>
                  <w:tcBorders>
                    <w:top w:val="none" w:color="000000" w:sz="4"/>
                    <w:left w:val="single" w:color="000000" w:sz="4"/>
                    <w:bottom w:val="single" w:color="000000" w:sz="4"/>
                    <w:right w:val="single" w:color="000000" w:sz="4"/>
                  </w:tcBorders>
                  <w:shd w:fill="FFFFFF"/>
                  <w:tcMar>
                    <w:top w:type="dxa" w:w="120"/>
                    <w:left w:type="dxa" w:w="195"/>
                    <w:bottom w:type="dxa" w:w="120"/>
                    <w:right w:type="dxa" w:w="0"/>
                  </w:tcMar>
                  <w:vAlign w:val="top"/>
                </w:tcPr>
                <w:p>
                  <w:pPr>
                    <w:pStyle w:val="null3"/>
                    <w:jc w:val="both"/>
                  </w:pPr>
                  <w:r>
                    <w:rPr>
                      <w:rFonts w:ascii="仿宋_GB2312" w:hAnsi="仿宋_GB2312" w:cs="仿宋_GB2312" w:eastAsia="仿宋_GB2312"/>
                      <w:sz w:val="18"/>
                      <w:color w:val="0F1115"/>
                    </w:rPr>
                    <w:t>发现垃圾堆积、杂草丛生、公厕脏污，每处扣</w:t>
                  </w:r>
                  <w:r>
                    <w:rPr>
                      <w:rFonts w:ascii="仿宋_GB2312" w:hAnsi="仿宋_GB2312" w:cs="仿宋_GB2312" w:eastAsia="仿宋_GB2312"/>
                      <w:sz w:val="18"/>
                      <w:color w:val="0F1115"/>
                    </w:rPr>
                    <w:t>2分。</w:t>
                  </w:r>
                </w:p>
              </w:tc>
            </w:tr>
            <w:tr>
              <w:tc>
                <w:tcPr>
                  <w:tcW w:type="dxa" w:w="483"/>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5. 设施设备维护及时。</w:t>
                  </w:r>
                </w:p>
              </w:tc>
              <w:tc>
                <w:tcPr>
                  <w:tcW w:type="dxa" w:w="397"/>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10</w:t>
                  </w:r>
                </w:p>
              </w:tc>
              <w:tc>
                <w:tcPr>
                  <w:tcW w:type="dxa" w:w="1757"/>
                  <w:tcBorders>
                    <w:top w:val="none" w:color="000000" w:sz="4"/>
                    <w:left w:val="single" w:color="000000" w:sz="4"/>
                    <w:bottom w:val="single" w:color="000000" w:sz="4"/>
                    <w:right w:val="single" w:color="000000" w:sz="4"/>
                  </w:tcBorders>
                  <w:shd w:fill="FFFFFF"/>
                  <w:tcMar>
                    <w:top w:type="dxa" w:w="120"/>
                    <w:left w:type="dxa" w:w="195"/>
                    <w:bottom w:type="dxa" w:w="120"/>
                    <w:right w:type="dxa" w:w="0"/>
                  </w:tcMar>
                  <w:vAlign w:val="top"/>
                </w:tcPr>
                <w:p>
                  <w:pPr>
                    <w:pStyle w:val="null3"/>
                    <w:jc w:val="both"/>
                  </w:pPr>
                  <w:r>
                    <w:rPr>
                      <w:rFonts w:ascii="仿宋_GB2312" w:hAnsi="仿宋_GB2312" w:cs="仿宋_GB2312" w:eastAsia="仿宋_GB2312"/>
                      <w:sz w:val="18"/>
                      <w:color w:val="0F1115"/>
                    </w:rPr>
                    <w:t>发现损坏（如碑体、道路、照明）未及时报修或简单处理，每处扣</w:t>
                  </w:r>
                  <w:r>
                    <w:rPr>
                      <w:rFonts w:ascii="仿宋_GB2312" w:hAnsi="仿宋_GB2312" w:cs="仿宋_GB2312" w:eastAsia="仿宋_GB2312"/>
                      <w:sz w:val="18"/>
                      <w:color w:val="0F1115"/>
                    </w:rPr>
                    <w:t>1分。</w:t>
                  </w:r>
                </w:p>
              </w:tc>
            </w:tr>
            <w:tr>
              <w:tc>
                <w:tcPr>
                  <w:tcW w:type="dxa" w:w="483"/>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6. 绿化养护达标。</w:t>
                  </w:r>
                </w:p>
              </w:tc>
              <w:tc>
                <w:tcPr>
                  <w:tcW w:type="dxa" w:w="397"/>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5</w:t>
                  </w:r>
                </w:p>
              </w:tc>
              <w:tc>
                <w:tcPr>
                  <w:tcW w:type="dxa" w:w="1757"/>
                  <w:tcBorders>
                    <w:top w:val="none" w:color="000000" w:sz="4"/>
                    <w:left w:val="single" w:color="000000" w:sz="4"/>
                    <w:bottom w:val="single" w:color="000000" w:sz="4"/>
                    <w:right w:val="single" w:color="000000" w:sz="4"/>
                  </w:tcBorders>
                  <w:shd w:fill="FFFFFF"/>
                  <w:tcMar>
                    <w:top w:type="dxa" w:w="120"/>
                    <w:left w:type="dxa" w:w="195"/>
                    <w:bottom w:type="dxa" w:w="120"/>
                    <w:right w:type="dxa" w:w="0"/>
                  </w:tcMar>
                  <w:vAlign w:val="top"/>
                </w:tcPr>
                <w:p>
                  <w:pPr>
                    <w:pStyle w:val="null3"/>
                    <w:jc w:val="both"/>
                  </w:pPr>
                  <w:r>
                    <w:rPr>
                      <w:rFonts w:ascii="仿宋_GB2312" w:hAnsi="仿宋_GB2312" w:cs="仿宋_GB2312" w:eastAsia="仿宋_GB2312"/>
                      <w:sz w:val="18"/>
                      <w:color w:val="0F1115"/>
                    </w:rPr>
                    <w:t>绿化区域出现明显枯死、斑秃或虫害，每处扣</w:t>
                  </w:r>
                  <w:r>
                    <w:rPr>
                      <w:rFonts w:ascii="仿宋_GB2312" w:hAnsi="仿宋_GB2312" w:cs="仿宋_GB2312" w:eastAsia="仿宋_GB2312"/>
                      <w:sz w:val="18"/>
                      <w:color w:val="0F1115"/>
                    </w:rPr>
                    <w:t>1分。</w:t>
                  </w:r>
                </w:p>
              </w:tc>
            </w:tr>
            <w:tr>
              <w:tc>
                <w:tcPr>
                  <w:tcW w:type="dxa" w:w="483"/>
                  <w:vMerge w:val="restart"/>
                  <w:tcBorders>
                    <w:top w:val="none" w:color="000000" w:sz="4"/>
                    <w:left w:val="single" w:color="000000" w:sz="4"/>
                    <w:bottom w:val="single" w:color="000000" w:sz="4"/>
                    <w:right w:val="single" w:color="000000" w:sz="4"/>
                  </w:tcBorders>
                  <w:shd w:fill="FFFFFF"/>
                  <w:tcMar>
                    <w:top w:type="dxa" w:w="120"/>
                    <w:left w:type="dxa" w:w="0"/>
                    <w:bottom w:type="dxa" w:w="120"/>
                    <w:right w:type="dxa" w:w="195"/>
                  </w:tcMar>
                  <w:vAlign w:val="top"/>
                </w:tcPr>
                <w:p>
                  <w:pPr>
                    <w:pStyle w:val="null3"/>
                    <w:jc w:val="center"/>
                  </w:pPr>
                  <w:r>
                    <w:rPr>
                      <w:rFonts w:ascii="仿宋_GB2312" w:hAnsi="仿宋_GB2312" w:cs="仿宋_GB2312" w:eastAsia="仿宋_GB2312"/>
                      <w:sz w:val="18"/>
                      <w:b/>
                      <w:color w:val="0F1115"/>
                    </w:rPr>
                    <w:t>服务与执行</w:t>
                  </w:r>
                  <w:r>
                    <w:rPr>
                      <w:rFonts w:ascii="仿宋_GB2312" w:hAnsi="仿宋_GB2312" w:cs="仿宋_GB2312" w:eastAsia="仿宋_GB2312"/>
                      <w:sz w:val="18"/>
                      <w:b/>
                      <w:color w:val="0F1115"/>
                    </w:rPr>
                    <w:t>(30分)</w:t>
                  </w:r>
                </w:p>
              </w:tc>
              <w:tc>
                <w:tcPr>
                  <w:tcW w:type="dxa" w:w="1181"/>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7. 客户服务态度与质量。</w:t>
                  </w:r>
                </w:p>
              </w:tc>
              <w:tc>
                <w:tcPr>
                  <w:tcW w:type="dxa" w:w="397"/>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10</w:t>
                  </w:r>
                </w:p>
              </w:tc>
              <w:tc>
                <w:tcPr>
                  <w:tcW w:type="dxa" w:w="1757"/>
                  <w:tcBorders>
                    <w:top w:val="none" w:color="000000" w:sz="4"/>
                    <w:left w:val="single" w:color="000000" w:sz="4"/>
                    <w:bottom w:val="single" w:color="000000" w:sz="4"/>
                    <w:right w:val="single" w:color="000000" w:sz="4"/>
                  </w:tcBorders>
                  <w:shd w:fill="FFFFFF"/>
                  <w:tcMar>
                    <w:top w:type="dxa" w:w="120"/>
                    <w:left w:type="dxa" w:w="195"/>
                    <w:bottom w:type="dxa" w:w="120"/>
                    <w:right w:type="dxa" w:w="0"/>
                  </w:tcMar>
                  <w:vAlign w:val="top"/>
                </w:tcPr>
                <w:p>
                  <w:pPr>
                    <w:pStyle w:val="null3"/>
                    <w:jc w:val="both"/>
                  </w:pPr>
                  <w:r>
                    <w:rPr>
                      <w:rFonts w:ascii="仿宋_GB2312" w:hAnsi="仿宋_GB2312" w:cs="仿宋_GB2312" w:eastAsia="仿宋_GB2312"/>
                      <w:sz w:val="18"/>
                      <w:color w:val="0F1115"/>
                    </w:rPr>
                    <w:t>遭群众有效投诉，经查属实，每次扣</w:t>
                  </w:r>
                  <w:r>
                    <w:rPr>
                      <w:rFonts w:ascii="仿宋_GB2312" w:hAnsi="仿宋_GB2312" w:cs="仿宋_GB2312" w:eastAsia="仿宋_GB2312"/>
                      <w:sz w:val="18"/>
                      <w:color w:val="0F1115"/>
                    </w:rPr>
                    <w:t>2分。</w:t>
                  </w:r>
                </w:p>
              </w:tc>
            </w:tr>
            <w:tr>
              <w:tc>
                <w:tcPr>
                  <w:tcW w:type="dxa" w:w="483"/>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8. 安葬信息录入与档案管理准确。</w:t>
                  </w:r>
                </w:p>
              </w:tc>
              <w:tc>
                <w:tcPr>
                  <w:tcW w:type="dxa" w:w="397"/>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10</w:t>
                  </w:r>
                </w:p>
              </w:tc>
              <w:tc>
                <w:tcPr>
                  <w:tcW w:type="dxa" w:w="1757"/>
                  <w:tcBorders>
                    <w:top w:val="none" w:color="000000" w:sz="4"/>
                    <w:left w:val="single" w:color="000000" w:sz="4"/>
                    <w:bottom w:val="single" w:color="000000" w:sz="4"/>
                    <w:right w:val="single" w:color="000000" w:sz="4"/>
                  </w:tcBorders>
                  <w:shd w:fill="FFFFFF"/>
                  <w:tcMar>
                    <w:top w:type="dxa" w:w="120"/>
                    <w:left w:type="dxa" w:w="195"/>
                    <w:bottom w:type="dxa" w:w="120"/>
                    <w:right w:type="dxa" w:w="0"/>
                  </w:tcMar>
                  <w:vAlign w:val="top"/>
                </w:tcPr>
                <w:p>
                  <w:pPr>
                    <w:pStyle w:val="null3"/>
                    <w:jc w:val="both"/>
                  </w:pPr>
                  <w:r>
                    <w:rPr>
                      <w:rFonts w:ascii="仿宋_GB2312" w:hAnsi="仿宋_GB2312" w:cs="仿宋_GB2312" w:eastAsia="仿宋_GB2312"/>
                      <w:sz w:val="18"/>
                      <w:color w:val="0F1115"/>
                    </w:rPr>
                    <w:t>信息录入错误或延误、档案缺失，每次扣</w:t>
                  </w:r>
                  <w:r>
                    <w:rPr>
                      <w:rFonts w:ascii="仿宋_GB2312" w:hAnsi="仿宋_GB2312" w:cs="仿宋_GB2312" w:eastAsia="仿宋_GB2312"/>
                      <w:sz w:val="18"/>
                      <w:color w:val="0F1115"/>
                    </w:rPr>
                    <w:t>2分；出现私改乱建未制止上报，本项得0分。</w:t>
                  </w:r>
                </w:p>
              </w:tc>
            </w:tr>
            <w:tr>
              <w:tc>
                <w:tcPr>
                  <w:tcW w:type="dxa" w:w="483"/>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9. 信息报送与应急响应及时。</w:t>
                  </w:r>
                </w:p>
              </w:tc>
              <w:tc>
                <w:tcPr>
                  <w:tcW w:type="dxa" w:w="397"/>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10</w:t>
                  </w:r>
                </w:p>
              </w:tc>
              <w:tc>
                <w:tcPr>
                  <w:tcW w:type="dxa" w:w="1757"/>
                  <w:tcBorders>
                    <w:top w:val="none" w:color="000000" w:sz="4"/>
                    <w:left w:val="single" w:color="000000" w:sz="4"/>
                    <w:bottom w:val="single" w:color="000000" w:sz="4"/>
                    <w:right w:val="single" w:color="000000" w:sz="4"/>
                  </w:tcBorders>
                  <w:shd w:fill="FFFFFF"/>
                  <w:tcMar>
                    <w:top w:type="dxa" w:w="120"/>
                    <w:left w:type="dxa" w:w="195"/>
                    <w:bottom w:type="dxa" w:w="120"/>
                    <w:right w:type="dxa" w:w="0"/>
                  </w:tcMar>
                  <w:vAlign w:val="top"/>
                </w:tcPr>
                <w:p>
                  <w:pPr>
                    <w:pStyle w:val="null3"/>
                    <w:jc w:val="both"/>
                  </w:pPr>
                  <w:r>
                    <w:rPr>
                      <w:rFonts w:ascii="仿宋_GB2312" w:hAnsi="仿宋_GB2312" w:cs="仿宋_GB2312" w:eastAsia="仿宋_GB2312"/>
                      <w:sz w:val="18"/>
                      <w:color w:val="0F1115"/>
                    </w:rPr>
                    <w:t>突发事件或重要信息报送延误，每次扣</w:t>
                  </w:r>
                  <w:r>
                    <w:rPr>
                      <w:rFonts w:ascii="仿宋_GB2312" w:hAnsi="仿宋_GB2312" w:cs="仿宋_GB2312" w:eastAsia="仿宋_GB2312"/>
                      <w:sz w:val="18"/>
                      <w:color w:val="0F1115"/>
                    </w:rPr>
                    <w:t>3分；应急响应迟缓，每次扣5分。</w:t>
                  </w:r>
                </w:p>
              </w:tc>
            </w:tr>
            <w:tr>
              <w:tc>
                <w:tcPr>
                  <w:tcW w:type="dxa" w:w="483"/>
                  <w:vMerge w:val="restart"/>
                  <w:tcBorders>
                    <w:top w:val="none" w:color="000000" w:sz="4"/>
                    <w:left w:val="single" w:color="000000" w:sz="4"/>
                    <w:bottom w:val="single" w:color="000000" w:sz="4"/>
                    <w:right w:val="single" w:color="000000" w:sz="4"/>
                  </w:tcBorders>
                  <w:shd w:fill="FFFFFF"/>
                  <w:tcMar>
                    <w:top w:type="dxa" w:w="120"/>
                    <w:left w:type="dxa" w:w="0"/>
                    <w:bottom w:type="dxa" w:w="120"/>
                    <w:right w:type="dxa" w:w="195"/>
                  </w:tcMar>
                  <w:vAlign w:val="top"/>
                </w:tcPr>
                <w:p>
                  <w:pPr>
                    <w:pStyle w:val="null3"/>
                    <w:jc w:val="center"/>
                  </w:pPr>
                  <w:r>
                    <w:rPr>
                      <w:rFonts w:ascii="仿宋_GB2312" w:hAnsi="仿宋_GB2312" w:cs="仿宋_GB2312" w:eastAsia="仿宋_GB2312"/>
                      <w:sz w:val="18"/>
                      <w:b/>
                      <w:color w:val="0F1115"/>
                    </w:rPr>
                    <w:t>管理与配合</w:t>
                  </w:r>
                  <w:r>
                    <w:rPr>
                      <w:rFonts w:ascii="仿宋_GB2312" w:hAnsi="仿宋_GB2312" w:cs="仿宋_GB2312" w:eastAsia="仿宋_GB2312"/>
                      <w:sz w:val="18"/>
                      <w:b/>
                      <w:color w:val="0F1115"/>
                    </w:rPr>
                    <w:t>(15分)</w:t>
                  </w:r>
                </w:p>
              </w:tc>
              <w:tc>
                <w:tcPr>
                  <w:tcW w:type="dxa" w:w="1181"/>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10. 人员配置符合要求，在岗履职。</w:t>
                  </w:r>
                </w:p>
              </w:tc>
              <w:tc>
                <w:tcPr>
                  <w:tcW w:type="dxa" w:w="397"/>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5</w:t>
                  </w:r>
                </w:p>
              </w:tc>
              <w:tc>
                <w:tcPr>
                  <w:tcW w:type="dxa" w:w="1757"/>
                  <w:tcBorders>
                    <w:top w:val="none" w:color="000000" w:sz="4"/>
                    <w:left w:val="single" w:color="000000" w:sz="4"/>
                    <w:bottom w:val="single" w:color="000000" w:sz="4"/>
                    <w:right w:val="single" w:color="000000" w:sz="4"/>
                  </w:tcBorders>
                  <w:shd w:fill="FFFFFF"/>
                  <w:tcMar>
                    <w:top w:type="dxa" w:w="120"/>
                    <w:left w:type="dxa" w:w="195"/>
                    <w:bottom w:type="dxa" w:w="120"/>
                    <w:right w:type="dxa" w:w="0"/>
                  </w:tcMar>
                  <w:vAlign w:val="top"/>
                </w:tcPr>
                <w:p>
                  <w:pPr>
                    <w:pStyle w:val="null3"/>
                    <w:jc w:val="both"/>
                  </w:pPr>
                  <w:r>
                    <w:rPr>
                      <w:rFonts w:ascii="仿宋_GB2312" w:hAnsi="仿宋_GB2312" w:cs="仿宋_GB2312" w:eastAsia="仿宋_GB2312"/>
                      <w:sz w:val="18"/>
                      <w:color w:val="0F1115"/>
                    </w:rPr>
                    <w:t>抽查发现人员不足或擅自脱岗，每次扣</w:t>
                  </w:r>
                  <w:r>
                    <w:rPr>
                      <w:rFonts w:ascii="仿宋_GB2312" w:hAnsi="仿宋_GB2312" w:cs="仿宋_GB2312" w:eastAsia="仿宋_GB2312"/>
                      <w:sz w:val="18"/>
                      <w:color w:val="0F1115"/>
                    </w:rPr>
                    <w:t>2分。</w:t>
                  </w:r>
                </w:p>
              </w:tc>
            </w:tr>
            <w:tr>
              <w:tc>
                <w:tcPr>
                  <w:tcW w:type="dxa" w:w="483"/>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11. 台账资料齐全、规范。</w:t>
                  </w:r>
                </w:p>
              </w:tc>
              <w:tc>
                <w:tcPr>
                  <w:tcW w:type="dxa" w:w="397"/>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5</w:t>
                  </w:r>
                </w:p>
              </w:tc>
              <w:tc>
                <w:tcPr>
                  <w:tcW w:type="dxa" w:w="1757"/>
                  <w:tcBorders>
                    <w:top w:val="none" w:color="000000" w:sz="4"/>
                    <w:left w:val="single" w:color="000000" w:sz="4"/>
                    <w:bottom w:val="single" w:color="000000" w:sz="4"/>
                    <w:right w:val="single" w:color="000000" w:sz="4"/>
                  </w:tcBorders>
                  <w:shd w:fill="FFFFFF"/>
                  <w:tcMar>
                    <w:top w:type="dxa" w:w="120"/>
                    <w:left w:type="dxa" w:w="195"/>
                    <w:bottom w:type="dxa" w:w="120"/>
                    <w:right w:type="dxa" w:w="0"/>
                  </w:tcMar>
                  <w:vAlign w:val="top"/>
                </w:tcPr>
                <w:p>
                  <w:pPr>
                    <w:pStyle w:val="null3"/>
                    <w:jc w:val="both"/>
                  </w:pPr>
                  <w:r>
                    <w:rPr>
                      <w:rFonts w:ascii="仿宋_GB2312" w:hAnsi="仿宋_GB2312" w:cs="仿宋_GB2312" w:eastAsia="仿宋_GB2312"/>
                      <w:sz w:val="18"/>
                      <w:color w:val="0F1115"/>
                    </w:rPr>
                    <w:t>月报、巡查、维修等台账缺失或混乱，每次扣</w:t>
                  </w:r>
                  <w:r>
                    <w:rPr>
                      <w:rFonts w:ascii="仿宋_GB2312" w:hAnsi="仿宋_GB2312" w:cs="仿宋_GB2312" w:eastAsia="仿宋_GB2312"/>
                      <w:sz w:val="18"/>
                      <w:color w:val="0F1115"/>
                    </w:rPr>
                    <w:t>1分。</w:t>
                  </w:r>
                </w:p>
              </w:tc>
            </w:tr>
            <w:tr>
              <w:tc>
                <w:tcPr>
                  <w:tcW w:type="dxa" w:w="483"/>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12. 配合临时专项任务。</w:t>
                  </w:r>
                </w:p>
              </w:tc>
              <w:tc>
                <w:tcPr>
                  <w:tcW w:type="dxa" w:w="397"/>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5</w:t>
                  </w:r>
                </w:p>
              </w:tc>
              <w:tc>
                <w:tcPr>
                  <w:tcW w:type="dxa" w:w="1757"/>
                  <w:tcBorders>
                    <w:top w:val="none" w:color="000000" w:sz="4"/>
                    <w:left w:val="single" w:color="000000" w:sz="4"/>
                    <w:bottom w:val="single" w:color="000000" w:sz="4"/>
                    <w:right w:val="single" w:color="000000" w:sz="4"/>
                  </w:tcBorders>
                  <w:shd w:fill="FFFFFF"/>
                  <w:tcMar>
                    <w:top w:type="dxa" w:w="120"/>
                    <w:left w:type="dxa" w:w="195"/>
                    <w:bottom w:type="dxa" w:w="120"/>
                    <w:right w:type="dxa" w:w="0"/>
                  </w:tcMar>
                  <w:vAlign w:val="top"/>
                </w:tcPr>
                <w:p>
                  <w:pPr>
                    <w:pStyle w:val="null3"/>
                    <w:jc w:val="both"/>
                  </w:pPr>
                  <w:r>
                    <w:rPr>
                      <w:rFonts w:ascii="仿宋_GB2312" w:hAnsi="仿宋_GB2312" w:cs="仿宋_GB2312" w:eastAsia="仿宋_GB2312"/>
                      <w:sz w:val="18"/>
                      <w:color w:val="0F1115"/>
                    </w:rPr>
                    <w:t>对甲方安排的临时合理任务推诿或执行不力，每次扣</w:t>
                  </w:r>
                  <w:r>
                    <w:rPr>
                      <w:rFonts w:ascii="仿宋_GB2312" w:hAnsi="仿宋_GB2312" w:cs="仿宋_GB2312" w:eastAsia="仿宋_GB2312"/>
                      <w:sz w:val="18"/>
                      <w:color w:val="0F1115"/>
                    </w:rPr>
                    <w:t>2分。</w:t>
                  </w:r>
                </w:p>
              </w:tc>
            </w:tr>
            <w:tr>
              <w:tc>
                <w:tcPr>
                  <w:tcW w:type="dxa" w:w="483"/>
                  <w:tcBorders>
                    <w:top w:val="none" w:color="000000" w:sz="4"/>
                    <w:left w:val="single" w:color="000000" w:sz="4"/>
                    <w:bottom w:val="single" w:color="000000" w:sz="4"/>
                    <w:right w:val="single" w:color="000000" w:sz="4"/>
                  </w:tcBorders>
                  <w:shd w:fill="FFFFFF"/>
                  <w:tcMar>
                    <w:top w:type="dxa" w:w="120"/>
                    <w:left w:type="dxa" w:w="0"/>
                    <w:bottom w:type="dxa" w:w="120"/>
                    <w:right w:type="dxa" w:w="195"/>
                  </w:tcMar>
                  <w:vAlign w:val="top"/>
                </w:tcPr>
                <w:p>
                  <w:pPr>
                    <w:pStyle w:val="null3"/>
                    <w:jc w:val="center"/>
                  </w:pPr>
                  <w:r>
                    <w:rPr>
                      <w:rFonts w:ascii="仿宋_GB2312" w:hAnsi="仿宋_GB2312" w:cs="仿宋_GB2312" w:eastAsia="仿宋_GB2312"/>
                      <w:sz w:val="18"/>
                      <w:b/>
                      <w:color w:val="0F1115"/>
                    </w:rPr>
                    <w:t>加分项</w:t>
                  </w:r>
                </w:p>
              </w:tc>
              <w:tc>
                <w:tcPr>
                  <w:tcW w:type="dxa" w:w="1181"/>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获得群众表扬（书面</w:t>
                  </w:r>
                  <w:r>
                    <w:rPr>
                      <w:rFonts w:ascii="仿宋_GB2312" w:hAnsi="仿宋_GB2312" w:cs="仿宋_GB2312" w:eastAsia="仿宋_GB2312"/>
                      <w:sz w:val="18"/>
                      <w:color w:val="0F1115"/>
                    </w:rPr>
                    <w:t>/锦旗），或提出有效管理改进建议并被采纳。</w:t>
                  </w:r>
                </w:p>
              </w:tc>
              <w:tc>
                <w:tcPr>
                  <w:tcW w:type="dxa" w:w="397"/>
                  <w:tcBorders>
                    <w:top w:val="none" w:color="000000" w:sz="4"/>
                    <w:left w:val="single" w:color="000000" w:sz="4"/>
                    <w:bottom w:val="single" w:color="000000" w:sz="4"/>
                    <w:right w:val="single" w:color="000000" w:sz="4"/>
                  </w:tcBorders>
                  <w:shd w:fill="FFFFFF"/>
                  <w:tcMar>
                    <w:top w:type="dxa" w:w="120"/>
                    <w:left w:type="dxa" w:w="195"/>
                    <w:bottom w:type="dxa" w:w="120"/>
                    <w:right w:type="dxa" w:w="195"/>
                  </w:tcMar>
                  <w:vAlign w:val="top"/>
                </w:tcPr>
                <w:p>
                  <w:pPr>
                    <w:pStyle w:val="null3"/>
                    <w:jc w:val="both"/>
                  </w:pPr>
                  <w:r>
                    <w:rPr>
                      <w:rFonts w:ascii="仿宋_GB2312" w:hAnsi="仿宋_GB2312" w:cs="仿宋_GB2312" w:eastAsia="仿宋_GB2312"/>
                      <w:sz w:val="18"/>
                      <w:color w:val="0F1115"/>
                    </w:rPr>
                    <w:t>1-5</w:t>
                  </w:r>
                </w:p>
              </w:tc>
              <w:tc>
                <w:tcPr>
                  <w:tcW w:type="dxa" w:w="1757"/>
                  <w:tcBorders>
                    <w:top w:val="none" w:color="000000" w:sz="4"/>
                    <w:left w:val="single" w:color="000000" w:sz="4"/>
                    <w:bottom w:val="single" w:color="000000" w:sz="4"/>
                    <w:right w:val="single" w:color="000000" w:sz="4"/>
                  </w:tcBorders>
                  <w:shd w:fill="FFFFFF"/>
                  <w:tcMar>
                    <w:top w:type="dxa" w:w="120"/>
                    <w:left w:type="dxa" w:w="195"/>
                    <w:bottom w:type="dxa" w:w="120"/>
                    <w:right w:type="dxa" w:w="0"/>
                  </w:tcMar>
                  <w:vAlign w:val="top"/>
                </w:tcPr>
                <w:p>
                  <w:pPr>
                    <w:pStyle w:val="null3"/>
                    <w:jc w:val="both"/>
                  </w:pPr>
                  <w:r>
                    <w:rPr>
                      <w:rFonts w:ascii="仿宋_GB2312" w:hAnsi="仿宋_GB2312" w:cs="仿宋_GB2312" w:eastAsia="仿宋_GB2312"/>
                      <w:sz w:val="18"/>
                      <w:color w:val="0F1115"/>
                    </w:rPr>
                    <w:t>视情况加分。</w:t>
                  </w:r>
                </w:p>
              </w:tc>
            </w:tr>
          </w:tbl>
          <w:p>
            <w:pPr>
              <w:pStyle w:val="null3"/>
            </w:pPr>
            <w:r>
              <w:rPr>
                <w:rFonts w:ascii="仿宋_GB2312" w:hAnsi="仿宋_GB2312" w:cs="仿宋_GB2312" w:eastAsia="仿宋_GB2312"/>
                <w:sz w:val="24"/>
                <w:b/>
              </w:rPr>
              <w:t>四、项目验收要求</w:t>
            </w:r>
          </w:p>
          <w:p>
            <w:pPr>
              <w:pStyle w:val="null3"/>
              <w:ind w:firstLine="480"/>
              <w:jc w:val="both"/>
            </w:pPr>
            <w:r>
              <w:rPr>
                <w:rFonts w:ascii="仿宋_GB2312" w:hAnsi="仿宋_GB2312" w:cs="仿宋_GB2312" w:eastAsia="仿宋_GB2312"/>
                <w:sz w:val="24"/>
                <w:shd w:fill="FFFFFF" w:val="clear"/>
              </w:rPr>
              <w:t>验收分为日常验收、年度验收和最终验收。</w:t>
            </w:r>
          </w:p>
          <w:p>
            <w:pPr>
              <w:pStyle w:val="null3"/>
              <w:jc w:val="both"/>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日常（月度</w:t>
            </w:r>
            <w:r>
              <w:rPr>
                <w:rFonts w:ascii="仿宋_GB2312" w:hAnsi="仿宋_GB2312" w:cs="仿宋_GB2312" w:eastAsia="仿宋_GB2312"/>
                <w:sz w:val="24"/>
                <w:shd w:fill="FFFFFF" w:val="clear"/>
              </w:rPr>
              <w:t>/季度）验收</w:t>
            </w:r>
          </w:p>
          <w:p>
            <w:pPr>
              <w:pStyle w:val="null3"/>
              <w:ind w:firstLine="480"/>
              <w:jc w:val="both"/>
            </w:pPr>
            <w:r>
              <w:rPr>
                <w:rFonts w:ascii="仿宋_GB2312" w:hAnsi="仿宋_GB2312" w:cs="仿宋_GB2312" w:eastAsia="仿宋_GB2312"/>
                <w:sz w:val="24"/>
                <w:shd w:fill="FFFFFF" w:val="clear"/>
              </w:rPr>
              <w:t>1.1</w:t>
            </w:r>
            <w:r>
              <w:rPr>
                <w:rFonts w:ascii="仿宋_GB2312" w:hAnsi="仿宋_GB2312" w:cs="仿宋_GB2312" w:eastAsia="仿宋_GB2312"/>
                <w:sz w:val="24"/>
                <w:shd w:fill="FFFFFF" w:val="clear"/>
              </w:rPr>
              <w:t>主要依据《考核评分表》的得分情况。</w:t>
            </w:r>
          </w:p>
          <w:p>
            <w:pPr>
              <w:pStyle w:val="null3"/>
              <w:ind w:firstLine="480"/>
              <w:jc w:val="both"/>
            </w:pPr>
            <w:r>
              <w:rPr>
                <w:rFonts w:ascii="仿宋_GB2312" w:hAnsi="仿宋_GB2312" w:cs="仿宋_GB2312" w:eastAsia="仿宋_GB2312"/>
                <w:sz w:val="24"/>
                <w:shd w:fill="FFFFFF" w:val="clear"/>
              </w:rPr>
              <w:t>1.2.</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采购人根据考核结果出具《月度</w:t>
            </w:r>
            <w:r>
              <w:rPr>
                <w:rFonts w:ascii="仿宋_GB2312" w:hAnsi="仿宋_GB2312" w:cs="仿宋_GB2312" w:eastAsia="仿宋_GB2312"/>
                <w:sz w:val="24"/>
                <w:shd w:fill="FFFFFF" w:val="clear"/>
              </w:rPr>
              <w:t>/季度服务确认单》，双方签字确认。此确认单作为阶段性验收合格与申请付款的凭证。</w:t>
            </w:r>
          </w:p>
          <w:p>
            <w:pPr>
              <w:pStyle w:val="null3"/>
              <w:jc w:val="both"/>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年度验收</w:t>
            </w:r>
          </w:p>
          <w:p>
            <w:pPr>
              <w:pStyle w:val="null3"/>
              <w:jc w:val="both"/>
            </w:pPr>
            <w:r>
              <w:rPr>
                <w:rFonts w:ascii="仿宋_GB2312" w:hAnsi="仿宋_GB2312" w:cs="仿宋_GB2312" w:eastAsia="仿宋_GB2312"/>
                <w:sz w:val="24"/>
                <w:shd w:fill="FFFFFF" w:val="clear"/>
              </w:rPr>
              <w:t>2.1</w:t>
            </w:r>
            <w:r>
              <w:rPr>
                <w:rFonts w:ascii="仿宋_GB2312" w:hAnsi="仿宋_GB2312" w:cs="仿宋_GB2312" w:eastAsia="仿宋_GB2312"/>
                <w:sz w:val="24"/>
                <w:shd w:fill="FFFFFF" w:val="clear"/>
              </w:rPr>
              <w:t>时间：每个合同年度期满前</w:t>
            </w:r>
            <w:r>
              <w:rPr>
                <w:rFonts w:ascii="仿宋_GB2312" w:hAnsi="仿宋_GB2312" w:cs="仿宋_GB2312" w:eastAsia="仿宋_GB2312"/>
                <w:sz w:val="24"/>
                <w:shd w:fill="FFFFFF" w:val="clear"/>
              </w:rPr>
              <w:t>30日内。</w:t>
            </w:r>
          </w:p>
          <w:p>
            <w:pPr>
              <w:pStyle w:val="null3"/>
              <w:jc w:val="both"/>
            </w:pPr>
            <w:r>
              <w:rPr>
                <w:rFonts w:ascii="仿宋_GB2312" w:hAnsi="仿宋_GB2312" w:cs="仿宋_GB2312" w:eastAsia="仿宋_GB2312"/>
                <w:sz w:val="24"/>
                <w:shd w:fill="FFFFFF" w:val="clear"/>
              </w:rPr>
              <w:t>2.2</w:t>
            </w:r>
            <w:r>
              <w:rPr>
                <w:rFonts w:ascii="仿宋_GB2312" w:hAnsi="仿宋_GB2312" w:cs="仿宋_GB2312" w:eastAsia="仿宋_GB2312"/>
                <w:sz w:val="24"/>
                <w:shd w:fill="FFFFFF" w:val="clear"/>
              </w:rPr>
              <w:t>内容：对全年服务情况进行全面评估。服务商需提交《年度服务总结报告》，包括目标完成情况、各项台账汇编、重大事件处理报告、改进计划等。</w:t>
            </w:r>
          </w:p>
          <w:p>
            <w:pPr>
              <w:pStyle w:val="null3"/>
              <w:ind w:firstLine="480"/>
              <w:jc w:val="both"/>
            </w:pPr>
            <w:r>
              <w:rPr>
                <w:rFonts w:ascii="仿宋_GB2312" w:hAnsi="仿宋_GB2312" w:cs="仿宋_GB2312" w:eastAsia="仿宋_GB2312"/>
                <w:sz w:val="24"/>
                <w:shd w:fill="FFFFFF" w:val="clear"/>
              </w:rPr>
              <w:t>2.3</w:t>
            </w:r>
            <w:r>
              <w:rPr>
                <w:rFonts w:ascii="仿宋_GB2312" w:hAnsi="仿宋_GB2312" w:cs="仿宋_GB2312" w:eastAsia="仿宋_GB2312"/>
                <w:sz w:val="24"/>
                <w:shd w:fill="FFFFFF" w:val="clear"/>
              </w:rPr>
              <w:t>方式：采购人组织现场核查与资料评审，结合全年各次考核分数，形成《年度服务评估报告》。评估合格是支付尾款和续签下一年合同的前提。</w:t>
            </w:r>
          </w:p>
          <w:p>
            <w:pPr>
              <w:pStyle w:val="null3"/>
              <w:ind w:firstLine="480"/>
              <w:jc w:val="both"/>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最终验收（项目结束验收）</w:t>
            </w:r>
          </w:p>
          <w:p>
            <w:pPr>
              <w:pStyle w:val="null3"/>
              <w:jc w:val="both"/>
            </w:pPr>
            <w:r>
              <w:rPr>
                <w:rFonts w:ascii="仿宋_GB2312" w:hAnsi="仿宋_GB2312" w:cs="仿宋_GB2312" w:eastAsia="仿宋_GB2312"/>
                <w:sz w:val="24"/>
                <w:shd w:fill="FFFFFF" w:val="clear"/>
              </w:rPr>
              <w:t>3.1</w:t>
            </w:r>
            <w:r>
              <w:rPr>
                <w:rFonts w:ascii="仿宋_GB2312" w:hAnsi="仿宋_GB2312" w:cs="仿宋_GB2312" w:eastAsia="仿宋_GB2312"/>
                <w:sz w:val="24"/>
                <w:shd w:fill="FFFFFF" w:val="clear"/>
              </w:rPr>
              <w:t>时间：两年服务总期限届满前。</w:t>
            </w:r>
          </w:p>
          <w:p>
            <w:pPr>
              <w:pStyle w:val="null3"/>
              <w:ind w:firstLine="480"/>
            </w:pPr>
            <w:r>
              <w:rPr>
                <w:rFonts w:ascii="仿宋_GB2312" w:hAnsi="仿宋_GB2312" w:cs="仿宋_GB2312" w:eastAsia="仿宋_GB2312"/>
                <w:sz w:val="24"/>
                <w:shd w:fill="FFFFFF" w:val="clear"/>
              </w:rPr>
              <w:t>3.2</w:t>
            </w:r>
            <w:r>
              <w:rPr>
                <w:rFonts w:ascii="仿宋_GB2312" w:hAnsi="仿宋_GB2312" w:cs="仿宋_GB2312" w:eastAsia="仿宋_GB2312"/>
                <w:sz w:val="24"/>
                <w:shd w:fill="FFFFFF" w:val="clear"/>
              </w:rPr>
              <w:t>内容：在年度验收基础上，增加对服务交接工作的验收。确保所有档案、资料、设施设备完好移交，无遗留问题。双方签署《项目最终验收合格证书》。</w:t>
            </w:r>
          </w:p>
          <w:p>
            <w:pPr>
              <w:pStyle w:val="null3"/>
              <w:ind w:firstLine="480"/>
            </w:pPr>
            <w:r>
              <w:rPr>
                <w:rFonts w:ascii="仿宋_GB2312" w:hAnsi="仿宋_GB2312" w:cs="仿宋_GB2312" w:eastAsia="仿宋_GB2312"/>
                <w:sz w:val="24"/>
                <w:shd w:fill="FFFFFF" w:val="clear"/>
              </w:rPr>
              <w:t>五、项目付款要求</w:t>
            </w:r>
          </w:p>
          <w:p>
            <w:pPr>
              <w:pStyle w:val="null3"/>
              <w:jc w:val="both"/>
            </w:pPr>
            <w:r>
              <w:rPr>
                <w:rFonts w:ascii="仿宋_GB2312" w:hAnsi="仿宋_GB2312" w:cs="仿宋_GB2312" w:eastAsia="仿宋_GB2312"/>
                <w:sz w:val="24"/>
                <w:shd w:fill="FFFFFF" w:val="clear"/>
              </w:rPr>
              <w:t>采用</w:t>
            </w:r>
            <w:r>
              <w:rPr>
                <w:rFonts w:ascii="仿宋_GB2312" w:hAnsi="仿宋_GB2312" w:cs="仿宋_GB2312" w:eastAsia="仿宋_GB2312"/>
                <w:sz w:val="24"/>
                <w:shd w:fill="FFFFFF" w:val="clear"/>
              </w:rPr>
              <w:t>“分期支付、考核挂钩”的付款模式。</w:t>
            </w:r>
          </w:p>
          <w:p>
            <w:pPr>
              <w:pStyle w:val="null3"/>
              <w:ind w:firstLine="480"/>
              <w:jc w:val="both"/>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付款周期：按季度支付。</w:t>
            </w:r>
          </w:p>
          <w:p>
            <w:pPr>
              <w:pStyle w:val="null3"/>
              <w:ind w:firstLine="480"/>
              <w:jc w:val="both"/>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付款比例与流程：</w:t>
            </w:r>
          </w:p>
          <w:p>
            <w:pPr>
              <w:pStyle w:val="null3"/>
              <w:ind w:firstLine="480"/>
              <w:jc w:val="both"/>
            </w:pPr>
            <w:r>
              <w:rPr>
                <w:rFonts w:ascii="仿宋_GB2312" w:hAnsi="仿宋_GB2312" w:cs="仿宋_GB2312" w:eastAsia="仿宋_GB2312"/>
                <w:sz w:val="24"/>
                <w:shd w:fill="FFFFFF" w:val="clear"/>
              </w:rPr>
              <w:t>2.1</w:t>
            </w:r>
            <w:r>
              <w:rPr>
                <w:rFonts w:ascii="仿宋_GB2312" w:hAnsi="仿宋_GB2312" w:cs="仿宋_GB2312" w:eastAsia="仿宋_GB2312"/>
                <w:sz w:val="24"/>
                <w:shd w:fill="FFFFFF" w:val="clear"/>
              </w:rPr>
              <w:t>每季度服务费</w:t>
            </w:r>
            <w:r>
              <w:rPr>
                <w:rFonts w:ascii="仿宋_GB2312" w:hAnsi="仿宋_GB2312" w:cs="仿宋_GB2312" w:eastAsia="仿宋_GB2312"/>
                <w:sz w:val="24"/>
                <w:shd w:fill="FFFFFF" w:val="clear"/>
              </w:rPr>
              <w:t>=合同总额÷</w:t>
            </w:r>
            <w:r>
              <w:rPr>
                <w:rFonts w:ascii="仿宋_GB2312" w:hAnsi="仿宋_GB2312" w:cs="仿宋_GB2312" w:eastAsia="仿宋_GB2312"/>
                <w:sz w:val="24"/>
                <w:shd w:fill="FFFFFF" w:val="clear"/>
              </w:rPr>
              <w:t>8</w:t>
            </w:r>
            <w:r>
              <w:rPr>
                <w:rFonts w:ascii="仿宋_GB2312" w:hAnsi="仿宋_GB2312" w:cs="仿宋_GB2312" w:eastAsia="仿宋_GB2312"/>
                <w:sz w:val="24"/>
                <w:shd w:fill="FFFFFF" w:val="clear"/>
              </w:rPr>
              <w:t>。</w:t>
            </w:r>
          </w:p>
          <w:p>
            <w:pPr>
              <w:pStyle w:val="null3"/>
              <w:ind w:firstLine="480"/>
              <w:jc w:val="both"/>
            </w:pPr>
            <w:r>
              <w:rPr>
                <w:rFonts w:ascii="仿宋_GB2312" w:hAnsi="仿宋_GB2312" w:cs="仿宋_GB2312" w:eastAsia="仿宋_GB2312"/>
                <w:sz w:val="24"/>
                <w:shd w:fill="FFFFFF" w:val="clear"/>
              </w:rPr>
              <w:t>2.2</w:t>
            </w:r>
            <w:r>
              <w:rPr>
                <w:rFonts w:ascii="仿宋_GB2312" w:hAnsi="仿宋_GB2312" w:cs="仿宋_GB2312" w:eastAsia="仿宋_GB2312"/>
                <w:sz w:val="24"/>
                <w:shd w:fill="FFFFFF" w:val="clear"/>
              </w:rPr>
              <w:t>每季度结束后，服务商根据《季度服务确认单》（即季度考核结果）和有效发票，申请支付。</w:t>
            </w:r>
          </w:p>
          <w:p>
            <w:pPr>
              <w:pStyle w:val="null3"/>
              <w:ind w:firstLine="480"/>
              <w:jc w:val="both"/>
            </w:pPr>
            <w:r>
              <w:rPr>
                <w:rFonts w:ascii="仿宋_GB2312" w:hAnsi="仿宋_GB2312" w:cs="仿宋_GB2312" w:eastAsia="仿宋_GB2312"/>
                <w:sz w:val="24"/>
                <w:shd w:fill="FFFFFF" w:val="clear"/>
              </w:rPr>
              <w:t>2.3</w:t>
            </w:r>
            <w:r>
              <w:rPr>
                <w:rFonts w:ascii="仿宋_GB2312" w:hAnsi="仿宋_GB2312" w:cs="仿宋_GB2312" w:eastAsia="仿宋_GB2312"/>
                <w:sz w:val="24"/>
                <w:shd w:fill="FFFFFF" w:val="clear"/>
              </w:rPr>
              <w:t>支付比例与考核分挂钩：</w:t>
            </w:r>
          </w:p>
          <w:p>
            <w:pPr>
              <w:pStyle w:val="null3"/>
              <w:ind w:firstLine="480"/>
              <w:jc w:val="both"/>
            </w:pPr>
            <w:r>
              <w:rPr>
                <w:rFonts w:ascii="仿宋_GB2312" w:hAnsi="仿宋_GB2312" w:cs="仿宋_GB2312" w:eastAsia="仿宋_GB2312"/>
                <w:sz w:val="24"/>
                <w:shd w:fill="FFFFFF" w:val="clear"/>
              </w:rPr>
              <w:t>2.3.1</w:t>
            </w:r>
            <w:r>
              <w:rPr>
                <w:rFonts w:ascii="仿宋_GB2312" w:hAnsi="仿宋_GB2312" w:cs="仿宋_GB2312" w:eastAsia="仿宋_GB2312"/>
                <w:sz w:val="24"/>
                <w:shd w:fill="FFFFFF" w:val="clear"/>
              </w:rPr>
              <w:t>考核分</w:t>
            </w:r>
            <w:r>
              <w:rPr>
                <w:rFonts w:ascii="仿宋_GB2312" w:hAnsi="仿宋_GB2312" w:cs="仿宋_GB2312" w:eastAsia="仿宋_GB2312"/>
                <w:sz w:val="24"/>
                <w:shd w:fill="FFFFFF" w:val="clear"/>
              </w:rPr>
              <w:t>≥90分，支付本季度应付额的100%；</w:t>
            </w:r>
          </w:p>
          <w:p>
            <w:pPr>
              <w:pStyle w:val="null3"/>
              <w:ind w:firstLine="480"/>
              <w:jc w:val="both"/>
            </w:pPr>
            <w:r>
              <w:rPr>
                <w:rFonts w:ascii="仿宋_GB2312" w:hAnsi="仿宋_GB2312" w:cs="仿宋_GB2312" w:eastAsia="仿宋_GB2312"/>
                <w:sz w:val="24"/>
                <w:shd w:fill="FFFFFF" w:val="clear"/>
              </w:rPr>
              <w:t>2.3.2　</w:t>
            </w:r>
            <w:r>
              <w:rPr>
                <w:rFonts w:ascii="仿宋_GB2312" w:hAnsi="仿宋_GB2312" w:cs="仿宋_GB2312" w:eastAsia="仿宋_GB2312"/>
                <w:sz w:val="24"/>
                <w:shd w:fill="FFFFFF" w:val="clear"/>
              </w:rPr>
              <w:t>80分≤考核分&lt;90分，支付本季度应付额的95%</w:t>
            </w:r>
          </w:p>
          <w:p>
            <w:pPr>
              <w:pStyle w:val="null3"/>
              <w:ind w:firstLine="480"/>
              <w:jc w:val="both"/>
            </w:pPr>
            <w:r>
              <w:rPr>
                <w:rFonts w:ascii="仿宋_GB2312" w:hAnsi="仿宋_GB2312" w:cs="仿宋_GB2312" w:eastAsia="仿宋_GB2312"/>
                <w:sz w:val="24"/>
                <w:shd w:fill="FFFFFF" w:val="clear"/>
              </w:rPr>
              <w:t>2.3.3　</w:t>
            </w:r>
            <w:r>
              <w:rPr>
                <w:rFonts w:ascii="仿宋_GB2312" w:hAnsi="仿宋_GB2312" w:cs="仿宋_GB2312" w:eastAsia="仿宋_GB2312"/>
                <w:sz w:val="24"/>
                <w:shd w:fill="FFFFFF" w:val="clear"/>
              </w:rPr>
              <w:t>70分≤考核分&lt;80分，支付本季度应付额的90%</w:t>
            </w:r>
          </w:p>
          <w:p>
            <w:pPr>
              <w:pStyle w:val="null3"/>
              <w:ind w:firstLine="480"/>
              <w:jc w:val="both"/>
            </w:pPr>
            <w:r>
              <w:rPr>
                <w:rFonts w:ascii="仿宋_GB2312" w:hAnsi="仿宋_GB2312" w:cs="仿宋_GB2312" w:eastAsia="仿宋_GB2312"/>
                <w:sz w:val="24"/>
                <w:shd w:fill="FFFFFF" w:val="clear"/>
              </w:rPr>
              <w:t>2.3.4</w:t>
            </w:r>
            <w:r>
              <w:rPr>
                <w:rFonts w:ascii="仿宋_GB2312" w:hAnsi="仿宋_GB2312" w:cs="仿宋_GB2312" w:eastAsia="仿宋_GB2312"/>
                <w:sz w:val="24"/>
                <w:shd w:fill="FFFFFF" w:val="clear"/>
              </w:rPr>
              <w:t>考核分</w:t>
            </w:r>
            <w:r>
              <w:rPr>
                <w:rFonts w:ascii="仿宋_GB2312" w:hAnsi="仿宋_GB2312" w:cs="仿宋_GB2312" w:eastAsia="仿宋_GB2312"/>
                <w:sz w:val="24"/>
                <w:shd w:fill="FFFFFF" w:val="clear"/>
              </w:rPr>
              <w:t>&lt;70分（不合格），暂不予支付，待整改完毕并经采购人复验合格后，支付85%。整改期超过15天仍不合格的</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剩余款项扣除</w:t>
            </w:r>
            <w:r>
              <w:rPr>
                <w:rFonts w:ascii="仿宋_GB2312" w:hAnsi="仿宋_GB2312" w:cs="仿宋_GB2312" w:eastAsia="仿宋_GB2312"/>
                <w:sz w:val="24"/>
                <w:shd w:fill="FFFFFF" w:val="clear"/>
              </w:rPr>
              <w:t>。</w:t>
            </w:r>
          </w:p>
          <w:p>
            <w:pPr>
              <w:pStyle w:val="null3"/>
              <w:ind w:firstLine="480"/>
              <w:jc w:val="both"/>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特别约定：</w:t>
            </w:r>
          </w:p>
          <w:p>
            <w:pPr>
              <w:pStyle w:val="null3"/>
              <w:ind w:firstLine="480"/>
              <w:jc w:val="both"/>
            </w:pPr>
            <w:r>
              <w:rPr>
                <w:rFonts w:ascii="仿宋_GB2312" w:hAnsi="仿宋_GB2312" w:cs="仿宋_GB2312" w:eastAsia="仿宋_GB2312"/>
                <w:sz w:val="24"/>
                <w:shd w:fill="FFFFFF" w:val="clear"/>
              </w:rPr>
              <w:t>3.1</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所有付款前，服务商须提供合法有效的发票</w:t>
            </w:r>
            <w:r>
              <w:rPr>
                <w:rFonts w:ascii="仿宋_GB2312" w:hAnsi="仿宋_GB2312" w:cs="仿宋_GB2312" w:eastAsia="仿宋_GB2312"/>
                <w:sz w:val="24"/>
                <w:shd w:fill="FFFFFF" w:val="clear"/>
              </w:rPr>
              <w:t>。</w:t>
            </w:r>
          </w:p>
          <w:p>
            <w:pPr>
              <w:pStyle w:val="null3"/>
              <w:ind w:firstLine="480"/>
            </w:pPr>
            <w:r>
              <w:rPr>
                <w:rFonts w:ascii="仿宋_GB2312" w:hAnsi="仿宋_GB2312" w:cs="仿宋_GB2312" w:eastAsia="仿宋_GB2312"/>
                <w:sz w:val="24"/>
                <w:shd w:fill="FFFFFF" w:val="clear"/>
              </w:rPr>
              <w:t>3.2</w:t>
            </w:r>
            <w:r>
              <w:rPr>
                <w:rFonts w:ascii="仿宋_GB2312" w:hAnsi="仿宋_GB2312" w:cs="仿宋_GB2312" w:eastAsia="仿宋_GB2312"/>
                <w:sz w:val="24"/>
                <w:shd w:fill="FFFFFF" w:val="clear"/>
              </w:rPr>
              <w:t>因服务商原因导致合同中止或解除的，未付费用不再支付，且服务商应承担相应违约责任。</w:t>
            </w:r>
            <w:r>
              <w:rPr>
                <w:rFonts w:ascii="仿宋_GB2312" w:hAnsi="仿宋_GB2312" w:cs="仿宋_GB2312" w:eastAsia="仿宋_GB2312"/>
                <w:sz w:val="24"/>
                <w:shd w:fill="FFFFFF" w:val="clear"/>
              </w:rPr>
              <w:t>因政策原因导致合同中止或解除的，已产生的费用按天结算。</w:t>
            </w:r>
          </w:p>
          <w:p>
            <w:pPr>
              <w:pStyle w:val="null3"/>
            </w:pPr>
            <w:r>
              <w:rPr>
                <w:rFonts w:ascii="仿宋_GB2312" w:hAnsi="仿宋_GB2312" w:cs="仿宋_GB2312" w:eastAsia="仿宋_GB2312"/>
                <w:sz w:val="24"/>
                <w:b/>
              </w:rPr>
              <w:t>六、委托期限与采购预算上限价</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1、仙居苑墓园日常管理委托期限为2年。</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2、采购预算上限价为39.00万元（19.50万元/年）。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1、采购预算上限价为39.00万元（19.50万元/年）。 注：供应商所填报价不得超过采购预算上限价，否则按废标处理。 2、磋商最终报价，在采购需求无实质性变更下，不得高于首次磋商报价。最终分项报价，按最终报价相对首次报价的同比例进行下浮，计算结果四舍五入后保留两位小数。</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按照《财政部关于进一步加强政府采购需求和履约验收管理的指导意见》(财库(2016)205号)的要求进行验收。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进度款，付款条件说明：自合同签订之日起每季度支付一次，每期支付金额为合同总额÷8－考核扣款。 注：采购人向成交供应商付款前，成交供应商应向采购人开具符合采购人要求的发票，若因成交供应商未开具或逾期开具合法有效的发票，采购人有权顺延付款期限且不承担逾期付款责任。，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1.按《中华人民共和国民法典》中的相关条款和本合同的约定执行。未按合同或磋商文件要求提供服务质量不能满足采购人技术要求，采购人有权终止合同，甚至对供应商违约行为进行追究。 2.合同执行中发生争议的，当事人双方应协商解决，协商达不成一致时，可向采购人所在地人民法院提请诉讼。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 3、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政府采购支持绿色建材促进建筑品质提升试点工作的通知》（财库〔2020〕31号）；11）、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2、财务状况报告（任选其一） （1）提供2024年或2025年度经审计的财务会计报告（包括审计报告、资产负债表、利润表、现金流量表、所有者权益变动表及附注，成立时间至提交投标文件截止时间不足一年的可提供成立后任意时段的资产负债表）。 注：根据“财办〔2022〕32号、财会〔2023〕15号”的规定，审计报告须在注册会计师行业统一监管平台进行自动赋码验证，未赋码的视为审计报告无效。 （2）提交响应文件截止时间六个月内其基本账户开户银行出具的资信证明（附基本存款账户信息）。 （3）信用担保机构出具的投标担保函。 3、社会保障资金缴纳证明：提交响应文件截止时间前六个月内至少一个月的社会保障资金缴存单据或社保机构开具的社会保险参保缴费情况证明，单据或证明上应有社保机构或代收机构的公章或业务专用章。（依法不需要缴纳社会保障资金的供应商，应提供相应证明文件，证明其依法不需要缴纳社会保障资金） 4、税收缴纳证明：提交响应文件截止时间前六个月内至少一个月的纳税证明或完税证明（增值税、企业所得税至少提供一种），纳税证明或完税证明上应有代收机构或税务机关的公章或业务专用章。（依法免税的供应商，应提供相应证明文件，证明其依法免税） 5、提供具有履行合同所必需的设备和专业技术能力的承诺。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财务状况报告（任选其一） （1）提供2024年或2025年度经审计的财务会计报告（包括审计报告、资产负债表、利润表、现金流量表、所有者权益变动表及附注，成立时间至提交投标文件截止时间不足一年的可提供成立后任意时段的资产负债表）。 注：根据“财办〔2022〕32号、财会〔2023〕15号”的规定，审计报告须在注册会计师行业统一监管平台进行自动赋码验证，未赋码的视为审计报告无效。 （2）提交响应文件截止时间六个月内其基本账户开户银行出具的资信证明（附基本存款账户信息）。 （3）信用担保机构出具的投标担保函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供应商承诺书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和授权代表本单位证明（开标前六个月任意一月的个人养老保险缴纳证明）；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被“信用中国”（www.creditchina.gov.cn）列入重大税收违法案件当事人名单；不得被“中国执行信息公开网”（zxgk.court.gov.c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单位负责人为同一人或者存在直接控股、管理关系的不同供应商，不得参加同一合同包下的政府采购活动；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附表：分项报价表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商务要求偏离表 响应文件封面 资格证明文件 附表：分项报价表 采购需求偏离表 中小企业声明函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 xml:space="preserve"> 有效期达到磋商文件的要求。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报价不得高于采购预算或最高限价，且只能有一个有效报价，不得提交选择性报价</w:t>
            </w:r>
          </w:p>
        </w:tc>
        <w:tc>
          <w:tcPr>
            <w:tcW w:type="dxa" w:w="1661"/>
          </w:tcPr>
          <w:p>
            <w:pPr>
              <w:pStyle w:val="null3"/>
            </w:pPr>
            <w:r>
              <w:rPr>
                <w:rFonts w:ascii="仿宋_GB2312" w:hAnsi="仿宋_GB2312" w:cs="仿宋_GB2312" w:eastAsia="仿宋_GB2312"/>
              </w:rPr>
              <w:t>响应文件封面 附表：分项报价表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应符合磋商文件规定的其他实质性要求的</w:t>
            </w:r>
          </w:p>
        </w:tc>
        <w:tc>
          <w:tcPr>
            <w:tcW w:type="dxa" w:w="1661"/>
          </w:tcPr>
          <w:p>
            <w:pPr>
              <w:pStyle w:val="null3"/>
            </w:pPr>
            <w:r>
              <w:rPr>
                <w:rFonts w:ascii="仿宋_GB2312" w:hAnsi="仿宋_GB2312" w:cs="仿宋_GB2312" w:eastAsia="仿宋_GB2312"/>
              </w:rPr>
              <w:t>商务要求偏离表 采购需求偏离表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针对本项目提供的总体服务内容，包括但不限于：（1）服务目标及服务计 划；（2）项目理解与需求分析；（3）整体组织架构与工作流程；以上(1)-(3)项内容齐全且无缺陷的得9分，每有一项内容缺项的扣3分;每存在一项缺陷的扣0.5分，扣完为止。无此项描方案述的不得分。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安全防护与秩序维护措施</w:t>
            </w:r>
          </w:p>
        </w:tc>
        <w:tc>
          <w:tcPr>
            <w:tcW w:type="dxa" w:w="2492"/>
          </w:tcPr>
          <w:p>
            <w:pPr>
              <w:pStyle w:val="null3"/>
            </w:pPr>
            <w:r>
              <w:rPr>
                <w:rFonts w:ascii="仿宋_GB2312" w:hAnsi="仿宋_GB2312" w:cs="仿宋_GB2312" w:eastAsia="仿宋_GB2312"/>
              </w:rPr>
              <w:t>针对本项目提供的安全防护与秩序维护内容，包括但不限于：(1)墓园安全防护与秩序维护方案(2)特殊时期的防火及秩序措施以上(1)-（2）项内容齐全且无缺陷的得4分，每有一项内容缺项的扣2分;每存在一项缺陷的扣0.5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设施设备维护与绿化养护方案</w:t>
            </w:r>
          </w:p>
        </w:tc>
        <w:tc>
          <w:tcPr>
            <w:tcW w:type="dxa" w:w="2492"/>
          </w:tcPr>
          <w:p>
            <w:pPr>
              <w:pStyle w:val="null3"/>
            </w:pPr>
            <w:r>
              <w:rPr>
                <w:rFonts w:ascii="仿宋_GB2312" w:hAnsi="仿宋_GB2312" w:cs="仿宋_GB2312" w:eastAsia="仿宋_GB2312"/>
              </w:rPr>
              <w:t>针对本项目提供的设施设备维护与绿化养护内容，包括但不限于：(1)日常巡查与隐患排查(2)简单设备维护与日常养护作业(3)复杂问题报修与跟踪; 以上(1)-(3)项内容齐全且无缺陷的得 12分，每有一项内容缺项的扣4分;每存在一项缺陷的扣0.5分，扣完为止。无此项描述的不得分。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环境卫生保洁</w:t>
            </w:r>
          </w:p>
        </w:tc>
        <w:tc>
          <w:tcPr>
            <w:tcW w:type="dxa" w:w="2492"/>
          </w:tcPr>
          <w:p>
            <w:pPr>
              <w:pStyle w:val="null3"/>
            </w:pPr>
            <w:r>
              <w:rPr>
                <w:rFonts w:ascii="仿宋_GB2312" w:hAnsi="仿宋_GB2312" w:cs="仿宋_GB2312" w:eastAsia="仿宋_GB2312"/>
              </w:rPr>
              <w:t>针对本项目提供的环境卫生保洁内容，包括但不限于：(1)垃圾收集与清运管理(2)区域分级清扫保洁（3）常态化保洁与动态巡查；以上(1)-(3)项内容齐全且无缺陷的得 6分，每有一项内容缺项的扣2分;每存在一项缺陷的扣0.5分，扣完为止。无此项描述的不得分。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客户服务、信息报送及应急处理与现场管理</w:t>
            </w:r>
          </w:p>
        </w:tc>
        <w:tc>
          <w:tcPr>
            <w:tcW w:type="dxa" w:w="2492"/>
          </w:tcPr>
          <w:p>
            <w:pPr>
              <w:pStyle w:val="null3"/>
            </w:pPr>
            <w:r>
              <w:rPr>
                <w:rFonts w:ascii="仿宋_GB2312" w:hAnsi="仿宋_GB2312" w:cs="仿宋_GB2312" w:eastAsia="仿宋_GB2312"/>
              </w:rPr>
              <w:t>针对本项目提供的客户服务、信息报送及应急处理与现场管理内容，包括但不限于：(1)客户服务实施方案(2)信息报送及应急处理措施（3）现场管理方案；以上(1)-(3)项内容齐全且无缺陷的得9分，每有一项内容缺项的扣3分;每存在一项缺陷的扣0.5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应急响应承诺</w:t>
            </w:r>
          </w:p>
        </w:tc>
        <w:tc>
          <w:tcPr>
            <w:tcW w:type="dxa" w:w="2492"/>
          </w:tcPr>
          <w:p>
            <w:pPr>
              <w:pStyle w:val="null3"/>
            </w:pPr>
            <w:r>
              <w:rPr>
                <w:rFonts w:ascii="仿宋_GB2312" w:hAnsi="仿宋_GB2312" w:cs="仿宋_GB2312" w:eastAsia="仿宋_GB2312"/>
              </w:rPr>
              <w:t>承诺园区内任何突发事件，应急人员在接到通知后15分钟内到达现场进行处置得8分，30分钟内到达现场进行处置得4分，60分钟内到达现场进行处置得2分，未提供或其他承诺不得分。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考核与付款接受承诺</w:t>
            </w:r>
          </w:p>
        </w:tc>
        <w:tc>
          <w:tcPr>
            <w:tcW w:type="dxa" w:w="2492"/>
          </w:tcPr>
          <w:p>
            <w:pPr>
              <w:pStyle w:val="null3"/>
            </w:pPr>
            <w:r>
              <w:rPr>
                <w:rFonts w:ascii="仿宋_GB2312" w:hAnsi="仿宋_GB2312" w:cs="仿宋_GB2312" w:eastAsia="仿宋_GB2312"/>
              </w:rPr>
              <w:t>承诺完全响应并接受招标文件所规定的“月度暗访+季度考评+年度综合评估”考核机制及“支付比例与考核分挂钩”的付款模式。承诺得6分。未提供不得分。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除项目负责人外，其他团队成员具备以下有效证书的，每提供1类证书得2分，同1人多证不重复计分，本项最高得12分： 1.保安员证； 2.电工操作证或维修类资格证； 3.绿化工证或园艺类证； 注：须提供证书复印件，未提供不得分。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拟派项目负责人具有类似公墓（或墓园、陵园）1年项目负责人管理经验，得4分。每额外增加一年管理经验加2分，最多加4分。本项满分8分。未提供不得分。 注：须提供被服务单位加盖其单位公章的管理经验证明材料，未提供不得分。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至今（以合同签订时间为准）承担过类似项目业绩，每提供1个有效业绩得3分，本项最高得6分。（注：需提供合同首页、内容页和双方盖章页。以合同为准，内容不清晰，或者资料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附表：分项报价表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经初审合格的磋商响应文件，其磋商报价为有效磋商报价,满足磋商文件实质性要求且最终报价最低的供应商价格为磋商基准价，其价格分为满分20分。 磋商报价得分=（磋商基准价/最终磋商报价）×20。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详见附件：附表：分项报价表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