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1EE259">
      <w:pPr>
        <w:jc w:val="center"/>
        <w:rPr>
          <w:rFonts w:hint="eastAsia" w:ascii="仿宋" w:hAnsi="仿宋" w:eastAsia="仿宋" w:cs="仿宋"/>
          <w:b/>
          <w:snapToGrid w:val="0"/>
          <w:sz w:val="48"/>
          <w:szCs w:val="48"/>
          <w:highlight w:val="none"/>
          <w:u w:val="single"/>
        </w:rPr>
      </w:pPr>
    </w:p>
    <w:p w14:paraId="71F0A2CD">
      <w:pPr>
        <w:jc w:val="center"/>
        <w:rPr>
          <w:rFonts w:hint="eastAsia" w:ascii="仿宋" w:hAnsi="仿宋" w:eastAsia="仿宋" w:cs="仿宋"/>
          <w:b/>
          <w:snapToGrid w:val="0"/>
          <w:sz w:val="48"/>
          <w:szCs w:val="48"/>
          <w:highlight w:val="none"/>
          <w:u w:val="single"/>
        </w:rPr>
      </w:pPr>
    </w:p>
    <w:p w14:paraId="5CFC7FDC">
      <w:pPr>
        <w:jc w:val="center"/>
        <w:rPr>
          <w:rFonts w:hint="eastAsia" w:ascii="仿宋" w:hAnsi="仿宋" w:eastAsia="仿宋" w:cs="仿宋"/>
          <w:b/>
          <w:snapToGrid w:val="0"/>
          <w:sz w:val="48"/>
          <w:szCs w:val="48"/>
          <w:highlight w:val="none"/>
          <w:u w:val="single"/>
        </w:rPr>
      </w:pPr>
    </w:p>
    <w:p w14:paraId="68E4F304">
      <w:pPr>
        <w:jc w:val="center"/>
        <w:rPr>
          <w:rFonts w:hint="eastAsia" w:ascii="仿宋" w:hAnsi="仿宋" w:eastAsia="仿宋" w:cs="仿宋"/>
          <w:b/>
          <w:sz w:val="56"/>
          <w:szCs w:val="56"/>
          <w:highlight w:val="none"/>
          <w:lang w:eastAsia="zh-CN"/>
        </w:rPr>
      </w:pPr>
      <w:r>
        <w:rPr>
          <w:rFonts w:hint="eastAsia" w:ascii="仿宋" w:hAnsi="仿宋" w:eastAsia="仿宋" w:cs="仿宋"/>
          <w:b/>
          <w:sz w:val="56"/>
          <w:szCs w:val="56"/>
          <w:highlight w:val="none"/>
          <w:lang w:eastAsia="zh-CN"/>
        </w:rPr>
        <w:t>渭北新城仙居苑墓园日常管理</w:t>
      </w:r>
    </w:p>
    <w:p w14:paraId="66F6EC63">
      <w:pPr>
        <w:jc w:val="center"/>
        <w:rPr>
          <w:rFonts w:hint="eastAsia" w:ascii="仿宋" w:hAnsi="仿宋" w:eastAsia="仿宋" w:cs="仿宋"/>
          <w:b/>
          <w:sz w:val="56"/>
          <w:szCs w:val="56"/>
          <w:highlight w:val="none"/>
          <w:lang w:eastAsia="zh-CN"/>
        </w:rPr>
      </w:pPr>
      <w:r>
        <w:rPr>
          <w:rFonts w:hint="eastAsia" w:ascii="仿宋" w:hAnsi="仿宋" w:eastAsia="仿宋" w:cs="仿宋"/>
          <w:b/>
          <w:sz w:val="56"/>
          <w:szCs w:val="56"/>
          <w:highlight w:val="none"/>
          <w:lang w:eastAsia="zh-CN"/>
        </w:rPr>
        <w:t>委托第三方机构实施项目</w:t>
      </w:r>
    </w:p>
    <w:p w14:paraId="09F56D08">
      <w:pPr>
        <w:jc w:val="center"/>
        <w:rPr>
          <w:rFonts w:hint="eastAsia" w:ascii="仿宋" w:hAnsi="仿宋" w:eastAsia="仿宋" w:cs="仿宋"/>
          <w:b/>
          <w:sz w:val="56"/>
          <w:szCs w:val="56"/>
          <w:highlight w:val="none"/>
        </w:rPr>
      </w:pPr>
      <w:r>
        <w:rPr>
          <w:rFonts w:hint="eastAsia" w:ascii="仿宋" w:hAnsi="仿宋" w:eastAsia="仿宋" w:cs="仿宋"/>
          <w:b/>
          <w:sz w:val="56"/>
          <w:szCs w:val="56"/>
          <w:highlight w:val="none"/>
        </w:rPr>
        <w:t>服 务 合 同</w:t>
      </w:r>
    </w:p>
    <w:p w14:paraId="7E8F8F9A">
      <w:pPr>
        <w:jc w:val="center"/>
        <w:rPr>
          <w:rFonts w:hint="eastAsia" w:ascii="仿宋" w:hAnsi="仿宋" w:eastAsia="仿宋" w:cs="仿宋"/>
          <w:sz w:val="30"/>
          <w:szCs w:val="30"/>
          <w:highlight w:val="none"/>
        </w:rPr>
      </w:pPr>
      <w:r>
        <w:rPr>
          <w:rFonts w:hint="eastAsia" w:ascii="仿宋" w:hAnsi="仿宋" w:eastAsia="仿宋" w:cs="仿宋"/>
          <w:sz w:val="30"/>
          <w:szCs w:val="30"/>
          <w:highlight w:val="none"/>
        </w:rPr>
        <w:t>（项目编号：H</w:t>
      </w:r>
      <w:r>
        <w:rPr>
          <w:rFonts w:hint="eastAsia" w:ascii="仿宋" w:hAnsi="仿宋" w:eastAsia="仿宋" w:cs="仿宋"/>
          <w:sz w:val="30"/>
          <w:szCs w:val="30"/>
          <w:highlight w:val="none"/>
          <w:lang w:eastAsia="zh-CN"/>
        </w:rPr>
        <w:t>RC-ZBDL-2026-00789</w:t>
      </w:r>
      <w:r>
        <w:rPr>
          <w:rFonts w:hint="eastAsia" w:ascii="仿宋" w:hAnsi="仿宋" w:eastAsia="仿宋" w:cs="仿宋"/>
          <w:sz w:val="30"/>
          <w:szCs w:val="30"/>
          <w:highlight w:val="none"/>
        </w:rPr>
        <w:t xml:space="preserve"> </w:t>
      </w:r>
      <w:r>
        <w:rPr>
          <w:rFonts w:hint="eastAsia" w:ascii="仿宋" w:hAnsi="仿宋" w:eastAsia="仿宋" w:cs="仿宋"/>
          <w:sz w:val="28"/>
          <w:szCs w:val="28"/>
          <w:highlight w:val="none"/>
        </w:rPr>
        <w:t>）</w:t>
      </w:r>
    </w:p>
    <w:p w14:paraId="0077B00F">
      <w:pPr>
        <w:jc w:val="center"/>
        <w:rPr>
          <w:rFonts w:hint="eastAsia" w:ascii="仿宋" w:hAnsi="仿宋" w:eastAsia="仿宋" w:cs="仿宋"/>
          <w:sz w:val="30"/>
          <w:szCs w:val="30"/>
          <w:highlight w:val="none"/>
        </w:rPr>
      </w:pPr>
    </w:p>
    <w:p w14:paraId="5A342765">
      <w:pPr>
        <w:jc w:val="center"/>
        <w:rPr>
          <w:rFonts w:hint="eastAsia" w:ascii="仿宋" w:hAnsi="仿宋" w:eastAsia="仿宋" w:cs="仿宋"/>
          <w:sz w:val="30"/>
          <w:szCs w:val="30"/>
          <w:highlight w:val="none"/>
        </w:rPr>
      </w:pPr>
    </w:p>
    <w:p w14:paraId="73F5E658">
      <w:pPr>
        <w:jc w:val="center"/>
        <w:rPr>
          <w:rFonts w:hint="eastAsia" w:ascii="仿宋" w:hAnsi="仿宋" w:eastAsia="仿宋" w:cs="仿宋"/>
          <w:sz w:val="30"/>
          <w:szCs w:val="30"/>
          <w:highlight w:val="none"/>
        </w:rPr>
      </w:pPr>
    </w:p>
    <w:p w14:paraId="298A1205">
      <w:pPr>
        <w:jc w:val="center"/>
        <w:rPr>
          <w:rFonts w:hint="eastAsia" w:ascii="仿宋" w:hAnsi="仿宋" w:eastAsia="仿宋" w:cs="仿宋"/>
          <w:sz w:val="30"/>
          <w:szCs w:val="30"/>
          <w:highlight w:val="none"/>
        </w:rPr>
      </w:pPr>
    </w:p>
    <w:p w14:paraId="57C7D674">
      <w:pPr>
        <w:jc w:val="center"/>
        <w:rPr>
          <w:rFonts w:hint="eastAsia" w:ascii="仿宋" w:hAnsi="仿宋" w:eastAsia="仿宋" w:cs="仿宋"/>
          <w:sz w:val="30"/>
          <w:szCs w:val="30"/>
          <w:highlight w:val="none"/>
        </w:rPr>
      </w:pPr>
    </w:p>
    <w:p w14:paraId="72315103">
      <w:pPr>
        <w:ind w:firstLine="2080" w:firstLineChars="650"/>
        <w:rPr>
          <w:rFonts w:hint="eastAsia" w:ascii="仿宋" w:hAnsi="仿宋" w:eastAsia="仿宋" w:cs="仿宋"/>
          <w:sz w:val="32"/>
          <w:szCs w:val="32"/>
          <w:highlight w:val="none"/>
        </w:rPr>
      </w:pPr>
      <w:r>
        <w:rPr>
          <w:rFonts w:hint="eastAsia" w:ascii="仿宋" w:hAnsi="仿宋" w:eastAsia="仿宋" w:cs="仿宋"/>
          <w:sz w:val="32"/>
          <w:szCs w:val="32"/>
          <w:highlight w:val="none"/>
        </w:rPr>
        <w:t xml:space="preserve">甲  方： </w:t>
      </w:r>
    </w:p>
    <w:p w14:paraId="3BE3F78E">
      <w:pPr>
        <w:tabs>
          <w:tab w:val="left" w:pos="480"/>
        </w:tabs>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 xml:space="preserve">         乙  方：</w:t>
      </w:r>
    </w:p>
    <w:p w14:paraId="145AA2AA">
      <w:pPr>
        <w:spacing w:before="230" w:beforeLines="50"/>
        <w:ind w:firstLine="482" w:firstLineChars="200"/>
        <w:jc w:val="both"/>
        <w:rPr>
          <w:rFonts w:hint="eastAsia" w:ascii="仿宋" w:hAnsi="仿宋" w:eastAsia="仿宋" w:cs="仿宋"/>
          <w:b/>
          <w:sz w:val="24"/>
          <w:szCs w:val="24"/>
          <w:highlight w:val="none"/>
        </w:rPr>
      </w:pPr>
    </w:p>
    <w:p w14:paraId="55C10D98">
      <w:pPr>
        <w:rPr>
          <w:rFonts w:hint="eastAsia" w:ascii="仿宋" w:hAnsi="仿宋" w:eastAsia="仿宋" w:cs="仿宋"/>
          <w:b/>
          <w:sz w:val="24"/>
          <w:szCs w:val="24"/>
          <w:highlight w:val="none"/>
        </w:rPr>
      </w:pPr>
      <w:r>
        <w:rPr>
          <w:rFonts w:hint="eastAsia" w:ascii="仿宋" w:hAnsi="仿宋" w:eastAsia="仿宋" w:cs="仿宋"/>
          <w:b/>
          <w:sz w:val="24"/>
          <w:szCs w:val="24"/>
          <w:highlight w:val="none"/>
        </w:rPr>
        <w:br w:type="page"/>
      </w:r>
    </w:p>
    <w:p w14:paraId="51AFAD37">
      <w:pPr>
        <w:spacing w:before="230" w:beforeLines="50" w:line="240" w:lineRule="auto"/>
        <w:ind w:firstLine="482" w:firstLineChars="200"/>
        <w:jc w:val="both"/>
        <w:rPr>
          <w:rFonts w:hint="eastAsia" w:ascii="仿宋" w:hAnsi="仿宋" w:eastAsia="仿宋" w:cs="仿宋"/>
          <w:b/>
          <w:sz w:val="24"/>
          <w:szCs w:val="24"/>
          <w:highlight w:val="none"/>
        </w:rPr>
      </w:pPr>
    </w:p>
    <w:p w14:paraId="16DA02A7">
      <w:pPr>
        <w:spacing w:before="230" w:beforeLines="50" w:line="480" w:lineRule="auto"/>
        <w:ind w:firstLine="482" w:firstLineChars="200"/>
        <w:jc w:val="both"/>
        <w:rPr>
          <w:rFonts w:hint="default" w:ascii="仿宋" w:hAnsi="仿宋" w:eastAsia="仿宋" w:cs="仿宋"/>
          <w:b/>
          <w:sz w:val="24"/>
          <w:szCs w:val="24"/>
          <w:highlight w:val="none"/>
          <w:lang w:val="en-US" w:eastAsia="zh-CN"/>
        </w:rPr>
      </w:pPr>
      <w:r>
        <w:rPr>
          <w:rFonts w:hint="eastAsia" w:ascii="仿宋" w:hAnsi="仿宋" w:eastAsia="仿宋" w:cs="仿宋"/>
          <w:b/>
          <w:sz w:val="24"/>
          <w:szCs w:val="24"/>
          <w:highlight w:val="none"/>
        </w:rPr>
        <w:t>甲方（采购人）：</w:t>
      </w:r>
      <w:r>
        <w:rPr>
          <w:rFonts w:hint="eastAsia" w:ascii="仿宋" w:hAnsi="仿宋" w:eastAsia="仿宋" w:cs="仿宋"/>
          <w:color w:val="000000"/>
          <w:kern w:val="24"/>
          <w:sz w:val="24"/>
          <w:szCs w:val="24"/>
          <w:highlight w:val="none"/>
          <w:u w:val="single"/>
          <w:lang w:val="en-US" w:eastAsia="zh-CN"/>
        </w:rPr>
        <w:t xml:space="preserve">                    </w:t>
      </w:r>
    </w:p>
    <w:p w14:paraId="44A487A0">
      <w:pPr>
        <w:spacing w:line="480" w:lineRule="auto"/>
        <w:ind w:firstLine="482" w:firstLineChars="200"/>
        <w:jc w:val="both"/>
        <w:rPr>
          <w:rFonts w:hint="eastAsia" w:ascii="仿宋" w:hAnsi="仿宋" w:eastAsia="仿宋" w:cs="仿宋"/>
          <w:b/>
          <w:sz w:val="24"/>
          <w:szCs w:val="24"/>
          <w:highlight w:val="none"/>
        </w:rPr>
      </w:pPr>
      <w:r>
        <w:rPr>
          <w:rFonts w:hint="eastAsia" w:ascii="仿宋" w:hAnsi="仿宋" w:eastAsia="仿宋" w:cs="仿宋"/>
          <w:b/>
          <w:sz w:val="24"/>
          <w:szCs w:val="24"/>
          <w:highlight w:val="none"/>
        </w:rPr>
        <w:t>乙方（</w:t>
      </w:r>
      <w:r>
        <w:rPr>
          <w:rFonts w:hint="eastAsia" w:ascii="仿宋" w:hAnsi="仿宋" w:eastAsia="仿宋" w:cs="仿宋"/>
          <w:b/>
          <w:sz w:val="24"/>
          <w:szCs w:val="24"/>
          <w:highlight w:val="none"/>
          <w:lang w:val="en-US" w:eastAsia="zh-CN"/>
        </w:rPr>
        <w:t>成交</w:t>
      </w:r>
      <w:r>
        <w:rPr>
          <w:rFonts w:hint="eastAsia" w:ascii="仿宋" w:hAnsi="仿宋" w:eastAsia="仿宋" w:cs="仿宋"/>
          <w:b/>
          <w:sz w:val="24"/>
          <w:szCs w:val="24"/>
          <w:highlight w:val="none"/>
        </w:rPr>
        <w:t>供应商）：</w:t>
      </w:r>
      <w:r>
        <w:rPr>
          <w:rFonts w:hint="eastAsia" w:ascii="仿宋" w:hAnsi="仿宋" w:eastAsia="仿宋" w:cs="仿宋"/>
          <w:color w:val="000000"/>
          <w:kern w:val="24"/>
          <w:sz w:val="24"/>
          <w:szCs w:val="24"/>
          <w:highlight w:val="none"/>
          <w:u w:val="single"/>
          <w:lang w:val="en-US" w:eastAsia="zh-CN"/>
        </w:rPr>
        <w:t xml:space="preserve">                </w:t>
      </w:r>
    </w:p>
    <w:p w14:paraId="5358B69F">
      <w:pPr>
        <w:spacing w:line="360" w:lineRule="auto"/>
        <w:ind w:firstLine="480" w:firstLineChars="200"/>
        <w:rPr>
          <w:rFonts w:hint="eastAsia" w:ascii="仿宋" w:hAnsi="仿宋" w:eastAsia="仿宋" w:cs="仿宋"/>
          <w:b/>
          <w:sz w:val="24"/>
          <w:szCs w:val="24"/>
          <w:highlight w:val="none"/>
          <w:lang w:val="en-US" w:eastAsia="zh-CN"/>
        </w:rPr>
      </w:pPr>
      <w:r>
        <w:rPr>
          <w:rFonts w:hint="eastAsia" w:ascii="仿宋" w:hAnsi="仿宋" w:eastAsia="仿宋" w:cs="仿宋"/>
          <w:sz w:val="24"/>
          <w:szCs w:val="24"/>
          <w:highlight w:val="none"/>
        </w:rPr>
        <w:t>甲方所需服务，按照采购程序，确定乙方为</w:t>
      </w:r>
      <w:r>
        <w:rPr>
          <w:rFonts w:hint="eastAsia" w:ascii="仿宋" w:hAnsi="仿宋" w:eastAsia="仿宋" w:cs="仿宋"/>
          <w:sz w:val="24"/>
          <w:szCs w:val="24"/>
          <w:highlight w:val="none"/>
          <w:lang w:val="en-US" w:eastAsia="zh-CN"/>
        </w:rPr>
        <w:t>成交</w:t>
      </w:r>
      <w:r>
        <w:rPr>
          <w:rFonts w:hint="eastAsia" w:ascii="仿宋" w:hAnsi="仿宋" w:eastAsia="仿宋" w:cs="仿宋"/>
          <w:sz w:val="24"/>
          <w:szCs w:val="24"/>
          <w:highlight w:val="none"/>
        </w:rPr>
        <w:t>供应商。依据《中华人民共和国政府采购法》及实施条例、政府采购货物和服务招标投标管理办法、《中华人民共和国民法典》、</w:t>
      </w:r>
      <w:r>
        <w:rPr>
          <w:rFonts w:hint="eastAsia" w:ascii="仿宋" w:hAnsi="仿宋" w:eastAsia="仿宋" w:cs="仿宋"/>
          <w:sz w:val="24"/>
          <w:szCs w:val="24"/>
          <w:highlight w:val="none"/>
          <w:lang w:val="en-US" w:eastAsia="zh-CN"/>
        </w:rPr>
        <w:t>磋商文件、</w:t>
      </w:r>
      <w:r>
        <w:rPr>
          <w:rFonts w:hint="eastAsia" w:ascii="仿宋" w:hAnsi="仿宋" w:eastAsia="仿宋" w:cs="仿宋"/>
          <w:sz w:val="24"/>
          <w:szCs w:val="24"/>
          <w:highlight w:val="none"/>
        </w:rPr>
        <w:t>乙方</w:t>
      </w:r>
      <w:r>
        <w:rPr>
          <w:rFonts w:hint="eastAsia" w:ascii="仿宋" w:hAnsi="仿宋" w:eastAsia="仿宋" w:cs="仿宋"/>
          <w:sz w:val="24"/>
          <w:szCs w:val="24"/>
          <w:highlight w:val="none"/>
          <w:lang w:val="en-US" w:eastAsia="zh-CN"/>
        </w:rPr>
        <w:t>响应</w:t>
      </w:r>
      <w:r>
        <w:rPr>
          <w:rFonts w:hint="eastAsia" w:ascii="仿宋" w:hAnsi="仿宋" w:eastAsia="仿宋" w:cs="仿宋"/>
          <w:sz w:val="24"/>
          <w:szCs w:val="24"/>
          <w:highlight w:val="none"/>
        </w:rPr>
        <w:t>文件正本、</w:t>
      </w:r>
      <w:r>
        <w:rPr>
          <w:rFonts w:hint="eastAsia" w:ascii="仿宋" w:hAnsi="仿宋" w:eastAsia="仿宋" w:cs="仿宋"/>
          <w:sz w:val="24"/>
          <w:szCs w:val="24"/>
          <w:highlight w:val="none"/>
          <w:lang w:val="en-US" w:eastAsia="zh-CN"/>
        </w:rPr>
        <w:t>成交通知书，经甲、乙双方协商，达成如下条款</w:t>
      </w:r>
    </w:p>
    <w:p w14:paraId="0D62C456">
      <w:pPr>
        <w:spacing w:before="230" w:beforeLines="50" w:after="230" w:afterLines="50" w:line="360" w:lineRule="auto"/>
        <w:jc w:val="both"/>
        <w:rPr>
          <w:rFonts w:hint="eastAsia" w:ascii="仿宋" w:hAnsi="仿宋" w:eastAsia="仿宋" w:cs="仿宋"/>
          <w:b/>
          <w:sz w:val="24"/>
          <w:szCs w:val="24"/>
          <w:highlight w:val="none"/>
        </w:rPr>
      </w:pPr>
      <w:r>
        <w:rPr>
          <w:rFonts w:hint="eastAsia" w:ascii="仿宋" w:hAnsi="仿宋" w:eastAsia="仿宋" w:cs="仿宋"/>
          <w:b/>
          <w:sz w:val="24"/>
          <w:szCs w:val="24"/>
          <w:highlight w:val="none"/>
        </w:rPr>
        <w:t>一、服务条件</w:t>
      </w:r>
    </w:p>
    <w:p w14:paraId="2112D12A">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（一）服务地点：</w:t>
      </w:r>
      <w:r>
        <w:rPr>
          <w:rFonts w:hint="eastAsia" w:ascii="仿宋" w:hAnsi="仿宋" w:eastAsia="仿宋" w:cs="仿宋"/>
          <w:color w:val="000000"/>
          <w:kern w:val="24"/>
          <w:sz w:val="24"/>
          <w:szCs w:val="24"/>
          <w:highlight w:val="none"/>
          <w:lang w:eastAsia="zh-CN"/>
        </w:rPr>
        <w:t>渭北新城仙居苑墓园</w:t>
      </w:r>
      <w:r>
        <w:rPr>
          <w:rFonts w:hint="eastAsia" w:ascii="仿宋" w:hAnsi="仿宋" w:eastAsia="仿宋" w:cs="仿宋"/>
          <w:color w:val="000000"/>
          <w:kern w:val="24"/>
          <w:sz w:val="24"/>
          <w:szCs w:val="24"/>
          <w:highlight w:val="none"/>
        </w:rPr>
        <w:t>。</w:t>
      </w:r>
    </w:p>
    <w:p w14:paraId="69EEFB64">
      <w:pPr>
        <w:spacing w:line="360" w:lineRule="auto"/>
        <w:ind w:firstLine="480" w:firstLineChars="200"/>
        <w:jc w:val="both"/>
        <w:rPr>
          <w:rFonts w:hint="default" w:ascii="仿宋" w:hAnsi="仿宋" w:eastAsia="仿宋" w:cs="仿宋"/>
          <w:sz w:val="24"/>
          <w:szCs w:val="24"/>
          <w:highlight w:val="none"/>
          <w:u w:val="single"/>
          <w:lang w:val="en-US" w:eastAsia="zh-CN"/>
        </w:rPr>
      </w:pPr>
      <w:r>
        <w:rPr>
          <w:rFonts w:hint="eastAsia" w:ascii="仿宋" w:hAnsi="仿宋" w:eastAsia="仿宋" w:cs="仿宋"/>
          <w:color w:val="000000"/>
          <w:kern w:val="24"/>
          <w:sz w:val="24"/>
          <w:szCs w:val="24"/>
          <w:highlight w:val="none"/>
        </w:rPr>
        <w:t>（二）服务期：</w:t>
      </w:r>
      <w:r>
        <w:rPr>
          <w:rFonts w:hint="eastAsia" w:ascii="仿宋" w:hAnsi="仿宋" w:eastAsia="仿宋" w:cs="仿宋"/>
          <w:sz w:val="24"/>
          <w:szCs w:val="24"/>
          <w:highlight w:val="none"/>
          <w:lang w:val="en-US" w:eastAsia="zh-CN"/>
        </w:rPr>
        <w:t>仙居苑墓园日常管理委托期限为2年。</w:t>
      </w:r>
    </w:p>
    <w:p w14:paraId="102F21F1">
      <w:pPr>
        <w:spacing w:before="230" w:beforeLines="50" w:after="230" w:afterLines="50" w:line="360" w:lineRule="auto"/>
        <w:jc w:val="both"/>
        <w:rPr>
          <w:rFonts w:hint="eastAsia" w:ascii="仿宋" w:hAnsi="仿宋" w:eastAsia="仿宋" w:cs="仿宋"/>
          <w:b/>
          <w:sz w:val="24"/>
          <w:szCs w:val="24"/>
          <w:highlight w:val="none"/>
        </w:rPr>
      </w:pPr>
      <w:r>
        <w:rPr>
          <w:rFonts w:hint="eastAsia" w:ascii="仿宋" w:hAnsi="仿宋" w:eastAsia="仿宋" w:cs="仿宋"/>
          <w:b/>
          <w:sz w:val="24"/>
          <w:szCs w:val="24"/>
          <w:highlight w:val="none"/>
        </w:rPr>
        <w:t>二、合同价款</w:t>
      </w:r>
    </w:p>
    <w:p w14:paraId="7B35E2A1">
      <w:pPr>
        <w:pStyle w:val="7"/>
        <w:spacing w:line="360" w:lineRule="auto"/>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（一）本合同项下总价款为人民币</w:t>
      </w:r>
      <w:r>
        <w:rPr>
          <w:rFonts w:hint="eastAsia" w:ascii="仿宋" w:hAnsi="仿宋" w:eastAsia="仿宋" w:cs="仿宋"/>
          <w:color w:val="000000"/>
          <w:kern w:val="24"/>
          <w:sz w:val="24"/>
          <w:szCs w:val="24"/>
          <w:highlight w:val="none"/>
          <w:u w:val="single"/>
          <w:lang w:val="en-US" w:eastAsia="zh-CN"/>
        </w:rPr>
        <w:t xml:space="preserve">                </w:t>
      </w:r>
      <w:r>
        <w:rPr>
          <w:rFonts w:hint="eastAsia" w:ascii="仿宋" w:hAnsi="仿宋" w:eastAsia="仿宋" w:cs="仿宋"/>
          <w:sz w:val="24"/>
          <w:szCs w:val="24"/>
          <w:highlight w:val="none"/>
        </w:rPr>
        <w:t>元（小写，精确到小数点后两位），即</w:t>
      </w:r>
      <w:r>
        <w:rPr>
          <w:rFonts w:hint="eastAsia" w:ascii="仿宋" w:hAnsi="仿宋" w:eastAsia="仿宋" w:cs="仿宋"/>
          <w:color w:val="000000"/>
          <w:kern w:val="24"/>
          <w:sz w:val="24"/>
          <w:szCs w:val="24"/>
          <w:highlight w:val="none"/>
          <w:u w:val="single"/>
          <w:lang w:val="en-US" w:eastAsia="zh-CN"/>
        </w:rPr>
        <w:t xml:space="preserve">                </w:t>
      </w:r>
      <w:r>
        <w:rPr>
          <w:rFonts w:hint="eastAsia" w:ascii="仿宋" w:hAnsi="仿宋" w:eastAsia="仿宋" w:cs="仿宋"/>
          <w:sz w:val="24"/>
          <w:szCs w:val="24"/>
          <w:highlight w:val="none"/>
        </w:rPr>
        <w:t>（大写）。合同履行期间，合同总价固定不变，不受市场价格变化因素的影响。</w:t>
      </w:r>
    </w:p>
    <w:p w14:paraId="5D4430A6">
      <w:pPr>
        <w:pStyle w:val="7"/>
        <w:spacing w:line="360" w:lineRule="auto"/>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（二）总报价包含管理、服务人员的劳务支出、社会保险、劳保、福利、人身意外保险费；临时性加班的加班费用；制服、食宿；保洁耗材物资费、工具损耗费；管理费用；法定税费；合理利润等一切费用。</w:t>
      </w:r>
    </w:p>
    <w:p w14:paraId="1C0B3B61">
      <w:pPr>
        <w:spacing w:before="230" w:beforeLines="50" w:after="230" w:afterLines="50" w:line="360" w:lineRule="auto"/>
        <w:jc w:val="both"/>
        <w:rPr>
          <w:rFonts w:hint="eastAsia" w:ascii="仿宋" w:hAnsi="仿宋" w:eastAsia="仿宋" w:cs="仿宋"/>
          <w:b/>
          <w:sz w:val="24"/>
          <w:szCs w:val="24"/>
          <w:highlight w:val="none"/>
        </w:rPr>
      </w:pPr>
      <w:r>
        <w:rPr>
          <w:rFonts w:hint="eastAsia" w:ascii="仿宋" w:hAnsi="仿宋" w:eastAsia="仿宋" w:cs="仿宋"/>
          <w:b/>
          <w:sz w:val="24"/>
          <w:szCs w:val="24"/>
          <w:highlight w:val="none"/>
        </w:rPr>
        <w:t>三、款项结算</w:t>
      </w:r>
    </w:p>
    <w:p w14:paraId="75F1C15E">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（一）服务费每三个月为一期结算一次，每期最后一个月结束前10个工作日内支付本期服务费。</w:t>
      </w:r>
    </w:p>
    <w:p w14:paraId="569417C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（二）每期服务费用=合同总价÷</w:t>
      </w: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－考核扣款</w:t>
      </w:r>
    </w:p>
    <w:p w14:paraId="0A61050A">
      <w:pPr>
        <w:pStyle w:val="8"/>
        <w:spacing w:line="360" w:lineRule="auto"/>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（三）支付方式：银行转账。</w:t>
      </w:r>
    </w:p>
    <w:p w14:paraId="470AF8A5">
      <w:pPr>
        <w:pStyle w:val="8"/>
        <w:spacing w:line="360" w:lineRule="auto"/>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（四）结算方式：乙方持</w:t>
      </w:r>
      <w:r>
        <w:rPr>
          <w:rFonts w:hint="eastAsia" w:ascii="仿宋" w:hAnsi="仿宋" w:eastAsia="仿宋" w:cs="仿宋"/>
          <w:sz w:val="24"/>
          <w:szCs w:val="24"/>
          <w:highlight w:val="none"/>
          <w:lang w:val="en-US" w:eastAsia="zh-CN"/>
        </w:rPr>
        <w:t>成交</w:t>
      </w:r>
      <w:r>
        <w:rPr>
          <w:rFonts w:hint="eastAsia" w:ascii="仿宋" w:hAnsi="仿宋" w:eastAsia="仿宋" w:cs="仿宋"/>
          <w:sz w:val="24"/>
          <w:szCs w:val="24"/>
          <w:highlight w:val="none"/>
        </w:rPr>
        <w:t>通知书、合同、正规发票与甲方结算。</w:t>
      </w:r>
    </w:p>
    <w:p w14:paraId="450A1EAC">
      <w:pPr>
        <w:spacing w:before="230" w:beforeLines="50"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四、双方的权利与义务</w:t>
      </w:r>
    </w:p>
    <w:p w14:paraId="30477A56">
      <w:pPr>
        <w:pStyle w:val="7"/>
        <w:spacing w:line="360" w:lineRule="auto"/>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（一）甲方的权利和义务</w:t>
      </w:r>
    </w:p>
    <w:p w14:paraId="412D0484">
      <w:pPr>
        <w:pStyle w:val="7"/>
        <w:spacing w:line="360" w:lineRule="auto"/>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1、甲方有权对乙方人员的工作情况及纪律作风监督检查，明确员工职责范围，对工作中不负责任、违反管理规定的人员，有权提出辞退要求，情况属实，乙方应无条件予以执行。如因乙方原因对服务人员进行调换，应当经甲方同意。</w:t>
      </w:r>
    </w:p>
    <w:p w14:paraId="77131C88">
      <w:pPr>
        <w:pStyle w:val="7"/>
        <w:spacing w:line="360" w:lineRule="auto"/>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2、甲方不得指派服务人员从事与物业服务无关的事情。</w:t>
      </w:r>
    </w:p>
    <w:p w14:paraId="333A92C8">
      <w:pPr>
        <w:pStyle w:val="7"/>
        <w:spacing w:line="360" w:lineRule="auto"/>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3、甲方应按时付给乙方服务费用。</w:t>
      </w:r>
    </w:p>
    <w:p w14:paraId="691DC26B">
      <w:pPr>
        <w:pStyle w:val="7"/>
        <w:spacing w:line="360" w:lineRule="auto"/>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（二）乙方的权利和义务</w:t>
      </w:r>
    </w:p>
    <w:p w14:paraId="3825C79B">
      <w:pPr>
        <w:pStyle w:val="7"/>
        <w:spacing w:line="360" w:lineRule="auto"/>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1乙方应提供详细的服务标准和服务承诺，服务标准应当符合国家、行业和地方相关物业服务标准</w:t>
      </w:r>
    </w:p>
    <w:p w14:paraId="35B872D1">
      <w:pPr>
        <w:pStyle w:val="7"/>
        <w:spacing w:line="360" w:lineRule="auto"/>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2派出合格的服务人员，依据岗位职责结合甲方交予的任务执行服务工作；遵守甲方制定的各项规章制度，为甲方提供保障服务。</w:t>
      </w:r>
    </w:p>
    <w:p w14:paraId="0F49CFFB">
      <w:pPr>
        <w:pStyle w:val="7"/>
        <w:spacing w:line="360" w:lineRule="auto"/>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3、服务期限内，乙方不得干扰或阻碍甲方对该办公区域和公共区域的正常使用。</w:t>
      </w:r>
    </w:p>
    <w:p w14:paraId="00197DA4">
      <w:pPr>
        <w:pStyle w:val="7"/>
        <w:spacing w:line="360" w:lineRule="auto"/>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4、乙方人员在上岗期间要着装整洁、仪表端庄，坚守岗位、遵守纪律、认真负责。</w:t>
      </w:r>
    </w:p>
    <w:p w14:paraId="6CF5BB84">
      <w:pPr>
        <w:pStyle w:val="7"/>
        <w:spacing w:line="360" w:lineRule="auto"/>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5、乙方定期征求甲方的意见，以便及时沟通并做好服务工作。</w:t>
      </w:r>
    </w:p>
    <w:p w14:paraId="2A27A6F9">
      <w:pPr>
        <w:pStyle w:val="7"/>
        <w:spacing w:line="360" w:lineRule="auto"/>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6、乙方须接受甲方的各类检查考核，甲方有权根据有关规定对质量考核标准及奖惩办法作相应的修改。</w:t>
      </w:r>
    </w:p>
    <w:p w14:paraId="4E3D74D9">
      <w:pPr>
        <w:pStyle w:val="7"/>
        <w:spacing w:line="360" w:lineRule="auto"/>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7、乙方在提供服务时因管理不当或未尽义务，导致、自身甲方或第三方人身损害或财产损失的，应承担全部责任和费用。</w:t>
      </w:r>
    </w:p>
    <w:p w14:paraId="02498BC3">
      <w:pPr>
        <w:pStyle w:val="7"/>
        <w:spacing w:line="360" w:lineRule="auto"/>
        <w:ind w:firstLine="198" w:firstLineChars="82"/>
        <w:rPr>
          <w:rFonts w:hint="eastAsia" w:ascii="仿宋" w:hAnsi="仿宋" w:eastAsia="仿宋" w:cs="仿宋"/>
          <w:bCs/>
          <w:sz w:val="24"/>
          <w:szCs w:val="24"/>
          <w:highlight w:val="none"/>
        </w:rPr>
      </w:pPr>
      <w:r>
        <w:rPr>
          <w:rFonts w:hint="eastAsia" w:ascii="仿宋" w:hAnsi="仿宋" w:eastAsia="仿宋" w:cs="仿宋"/>
          <w:b/>
          <w:sz w:val="24"/>
          <w:szCs w:val="24"/>
          <w:highlight w:val="none"/>
        </w:rPr>
        <w:t>五、验收</w:t>
      </w:r>
    </w:p>
    <w:p w14:paraId="5A8365C5">
      <w:pPr>
        <w:spacing w:line="360" w:lineRule="auto"/>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（一）服务期满后，甲方根据合同要求，进行验收，确认服务标准和服务质量。验收合格后，填写政府采购项目验收单作为对项目的最终认可。</w:t>
      </w:r>
    </w:p>
    <w:p w14:paraId="7DE41DAB">
      <w:pPr>
        <w:spacing w:line="360" w:lineRule="auto"/>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（二）验收依据：</w:t>
      </w:r>
    </w:p>
    <w:p w14:paraId="33531791">
      <w:pPr>
        <w:spacing w:line="360" w:lineRule="auto"/>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磋商文件</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磋商响应文件</w:t>
      </w:r>
      <w:r>
        <w:rPr>
          <w:rFonts w:hint="eastAsia" w:ascii="仿宋" w:hAnsi="仿宋" w:eastAsia="仿宋" w:cs="仿宋"/>
          <w:sz w:val="24"/>
          <w:szCs w:val="24"/>
          <w:highlight w:val="none"/>
        </w:rPr>
        <w:t>、澄清表（函）；</w:t>
      </w:r>
    </w:p>
    <w:p w14:paraId="15BBE5A1">
      <w:pPr>
        <w:spacing w:line="360" w:lineRule="auto"/>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2、本合同及附件文本；</w:t>
      </w:r>
    </w:p>
    <w:p w14:paraId="6464FDB2">
      <w:pPr>
        <w:spacing w:line="360" w:lineRule="auto"/>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3、国家相应的标准、规范。</w:t>
      </w:r>
    </w:p>
    <w:p w14:paraId="116575F3">
      <w:pPr>
        <w:spacing w:line="360" w:lineRule="auto"/>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（三）乙方应向甲方提交项目实施过程中的所有资料，以便甲方日后管理和维护。</w:t>
      </w:r>
    </w:p>
    <w:p w14:paraId="7C6AAE69">
      <w:pPr>
        <w:spacing w:before="230" w:beforeLines="50" w:after="230" w:afterLines="50" w:line="360" w:lineRule="auto"/>
        <w:jc w:val="both"/>
        <w:rPr>
          <w:rFonts w:hint="eastAsia" w:ascii="仿宋" w:hAnsi="仿宋" w:eastAsia="仿宋" w:cs="仿宋"/>
          <w:b/>
          <w:sz w:val="24"/>
          <w:szCs w:val="24"/>
          <w:highlight w:val="none"/>
        </w:rPr>
      </w:pPr>
      <w:r>
        <w:rPr>
          <w:rFonts w:hint="eastAsia" w:ascii="仿宋" w:hAnsi="仿宋" w:eastAsia="仿宋" w:cs="仿宋"/>
          <w:b/>
          <w:sz w:val="24"/>
          <w:szCs w:val="24"/>
          <w:highlight w:val="none"/>
        </w:rPr>
        <w:t>六、违约责任</w:t>
      </w:r>
    </w:p>
    <w:p w14:paraId="227A1142">
      <w:pPr>
        <w:widowControl w:val="0"/>
        <w:snapToGrid w:val="0"/>
        <w:spacing w:line="360" w:lineRule="auto"/>
        <w:ind w:firstLine="480" w:firstLineChars="200"/>
        <w:rPr>
          <w:rFonts w:hint="eastAsia" w:ascii="仿宋" w:hAnsi="仿宋" w:eastAsia="仿宋" w:cs="仿宋"/>
          <w:color w:val="000000"/>
          <w:kern w:val="24"/>
          <w:sz w:val="24"/>
          <w:szCs w:val="24"/>
          <w:highlight w:val="none"/>
        </w:rPr>
      </w:pPr>
      <w:r>
        <w:rPr>
          <w:rFonts w:hint="eastAsia" w:ascii="仿宋" w:hAnsi="仿宋" w:eastAsia="仿宋" w:cs="仿宋"/>
          <w:sz w:val="24"/>
          <w:szCs w:val="24"/>
          <w:highlight w:val="none"/>
        </w:rPr>
        <w:t>（一）</w:t>
      </w:r>
      <w:r>
        <w:rPr>
          <w:rFonts w:hint="eastAsia" w:ascii="仿宋" w:hAnsi="仿宋" w:eastAsia="仿宋" w:cs="仿宋"/>
          <w:color w:val="000000"/>
          <w:kern w:val="24"/>
          <w:sz w:val="24"/>
          <w:szCs w:val="24"/>
          <w:highlight w:val="none"/>
        </w:rPr>
        <w:t>合同期内，乙方违反劳动法或其他相关法律法规造成恶劣影响，或未按时足额发放员工资影响恶劣的，甲方有权终止合同，经济损失和法律责任由乙方承担。</w:t>
      </w:r>
    </w:p>
    <w:p w14:paraId="30AB43BF">
      <w:pPr>
        <w:spacing w:line="360" w:lineRule="auto"/>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（二）合同期内，因乙方管理不善且负主要责任，造成重大损失和影响，甲方有权终止合同，经济损失和法律责任由乙方承担。</w:t>
      </w:r>
    </w:p>
    <w:p w14:paraId="02772AA2">
      <w:pPr>
        <w:spacing w:line="360" w:lineRule="auto"/>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三）未按合同要求提供服务或服务质量不能满足合同要求，甲方应当将乙方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14:paraId="7B3B22A1">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（四）其他事宜，由双方按《民法典》中的平等原则协商后补充。</w:t>
      </w:r>
    </w:p>
    <w:p w14:paraId="26AC779F">
      <w:pPr>
        <w:spacing w:before="230" w:beforeLines="50" w:after="230" w:afterLines="50" w:line="360" w:lineRule="auto"/>
        <w:jc w:val="both"/>
        <w:rPr>
          <w:rFonts w:hint="eastAsia" w:ascii="仿宋" w:hAnsi="仿宋" w:eastAsia="仿宋" w:cs="仿宋"/>
          <w:b/>
          <w:sz w:val="24"/>
          <w:szCs w:val="24"/>
          <w:highlight w:val="none"/>
        </w:rPr>
      </w:pPr>
      <w:r>
        <w:rPr>
          <w:rFonts w:hint="eastAsia" w:ascii="仿宋" w:hAnsi="仿宋" w:eastAsia="仿宋" w:cs="仿宋"/>
          <w:b/>
          <w:sz w:val="24"/>
          <w:szCs w:val="24"/>
          <w:highlight w:val="none"/>
        </w:rPr>
        <w:t>七、争议解决</w:t>
      </w:r>
    </w:p>
    <w:p w14:paraId="4175CF6D">
      <w:pPr>
        <w:pStyle w:val="8"/>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（一）本合同适用法律为中华人民共和国法律。</w:t>
      </w:r>
    </w:p>
    <w:p w14:paraId="5FA35912">
      <w:pPr>
        <w:pStyle w:val="8"/>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（二）凡与本合同有关的一切争议，双方应通过友好协商解决。如经协商后仍不能达成协议时，任何一方都有权向有管辖权的人民法院起诉。</w:t>
      </w:r>
    </w:p>
    <w:p w14:paraId="189CE487">
      <w:pPr>
        <w:spacing w:before="230" w:beforeLines="50" w:after="230" w:afterLines="50" w:line="360" w:lineRule="auto"/>
        <w:jc w:val="both"/>
        <w:rPr>
          <w:rFonts w:hint="eastAsia" w:ascii="仿宋" w:hAnsi="仿宋" w:eastAsia="仿宋" w:cs="仿宋"/>
          <w:b/>
          <w:sz w:val="24"/>
          <w:szCs w:val="24"/>
          <w:highlight w:val="none"/>
        </w:rPr>
      </w:pPr>
      <w:r>
        <w:rPr>
          <w:rFonts w:hint="eastAsia" w:ascii="仿宋" w:hAnsi="仿宋" w:eastAsia="仿宋" w:cs="仿宋"/>
          <w:b/>
          <w:sz w:val="24"/>
          <w:szCs w:val="24"/>
          <w:highlight w:val="none"/>
        </w:rPr>
        <w:t>八、合同生效及其他</w:t>
      </w:r>
    </w:p>
    <w:p w14:paraId="55F7D27A">
      <w:pPr>
        <w:pStyle w:val="8"/>
        <w:spacing w:line="360" w:lineRule="auto"/>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（一）本合同自签订之日起生效。</w:t>
      </w:r>
    </w:p>
    <w:p w14:paraId="1F527E72">
      <w:pPr>
        <w:pStyle w:val="8"/>
        <w:spacing w:line="360" w:lineRule="auto"/>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（二）合同一式捌份，甲方伍份、乙方叁份。</w:t>
      </w:r>
    </w:p>
    <w:p w14:paraId="648AD051">
      <w:pPr>
        <w:pStyle w:val="9"/>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（三）未尽事宜由双方在签订合同时具体明确或签订补充合同。</w:t>
      </w:r>
    </w:p>
    <w:p w14:paraId="37378A0F">
      <w:pPr>
        <w:pStyle w:val="9"/>
        <w:spacing w:line="240" w:lineRule="auto"/>
        <w:ind w:firstLine="480" w:firstLineChars="200"/>
        <w:rPr>
          <w:rFonts w:hint="eastAsia" w:ascii="仿宋" w:hAnsi="仿宋" w:eastAsia="仿宋" w:cs="仿宋"/>
          <w:sz w:val="24"/>
          <w:szCs w:val="24"/>
          <w:highlight w:val="none"/>
        </w:rPr>
      </w:pPr>
    </w:p>
    <w:tbl>
      <w:tblPr>
        <w:tblStyle w:val="3"/>
        <w:tblW w:w="4993"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 w:type="dxa"/>
          <w:bottom w:w="0" w:type="dxa"/>
          <w:right w:w="10" w:type="dxa"/>
        </w:tblCellMar>
      </w:tblPr>
      <w:tblGrid>
        <w:gridCol w:w="4370"/>
        <w:gridCol w:w="4370"/>
      </w:tblGrid>
      <w:tr w14:paraId="3302A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 w:type="dxa"/>
            <w:bottom w:w="0" w:type="dxa"/>
            <w:right w:w="10" w:type="dxa"/>
          </w:tblCellMar>
        </w:tblPrEx>
        <w:trPr>
          <w:trHeight w:val="567" w:hRule="atLeast"/>
        </w:trPr>
        <w:tc>
          <w:tcPr>
            <w:tcW w:w="2500"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6CD31CBF">
            <w:pPr>
              <w:pStyle w:val="10"/>
              <w:pageBreakBefore w:val="0"/>
              <w:widowControl w:val="0"/>
              <w:kinsoku/>
              <w:wordWrap/>
              <w:overflowPunct/>
              <w:topLinePunct w:val="0"/>
              <w:bidi w:val="0"/>
              <w:spacing w:line="360" w:lineRule="auto"/>
              <w:ind w:lef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甲方</w:t>
            </w:r>
          </w:p>
        </w:tc>
        <w:tc>
          <w:tcPr>
            <w:tcW w:w="2500"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2B920B62">
            <w:pPr>
              <w:pStyle w:val="10"/>
              <w:pageBreakBefore w:val="0"/>
              <w:widowControl w:val="0"/>
              <w:kinsoku/>
              <w:wordWrap/>
              <w:overflowPunct/>
              <w:topLinePunct w:val="0"/>
              <w:bidi w:val="0"/>
              <w:spacing w:line="360" w:lineRule="auto"/>
              <w:ind w:left="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乙方</w:t>
            </w:r>
          </w:p>
        </w:tc>
      </w:tr>
      <w:tr w14:paraId="1602AA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 w:type="dxa"/>
            <w:bottom w:w="0" w:type="dxa"/>
            <w:right w:w="10" w:type="dxa"/>
          </w:tblCellMar>
        </w:tblPrEx>
        <w:trPr>
          <w:trHeight w:val="567" w:hRule="atLeast"/>
        </w:trPr>
        <w:tc>
          <w:tcPr>
            <w:tcW w:w="2500" w:type="pct"/>
            <w:tcBorders>
              <w:top w:val="single" w:color="auto" w:sz="4" w:space="0"/>
              <w:left w:val="single" w:color="auto" w:sz="4" w:space="0"/>
              <w:right w:val="single" w:color="auto" w:sz="4" w:space="0"/>
            </w:tcBorders>
            <w:shd w:val="clear" w:color="auto" w:fill="auto"/>
            <w:noWrap w:val="0"/>
            <w:vAlign w:val="center"/>
          </w:tcPr>
          <w:p w14:paraId="02E8D1BC">
            <w:pPr>
              <w:pStyle w:val="10"/>
              <w:pageBreakBefore w:val="0"/>
              <w:widowControl w:val="0"/>
              <w:kinsoku/>
              <w:wordWrap/>
              <w:overflowPunct/>
              <w:topLinePunct w:val="0"/>
              <w:bidi w:val="0"/>
              <w:spacing w:line="360" w:lineRule="auto"/>
              <w:ind w:left="0" w:firstLine="0" w:firstLineChars="0"/>
              <w:jc w:val="left"/>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lang w:eastAsia="zh-CN"/>
              </w:rPr>
              <w:t>采</w:t>
            </w:r>
            <w:r>
              <w:rPr>
                <w:rFonts w:hint="eastAsia" w:ascii="仿宋" w:hAnsi="仿宋" w:eastAsia="仿宋" w:cs="仿宋"/>
                <w:color w:val="000000"/>
                <w:sz w:val="21"/>
                <w:szCs w:val="21"/>
                <w:highlight w:val="none"/>
              </w:rPr>
              <w:t>购人名称</w:t>
            </w:r>
          </w:p>
        </w:tc>
        <w:tc>
          <w:tcPr>
            <w:tcW w:w="2500" w:type="pct"/>
            <w:tcBorders>
              <w:top w:val="single" w:color="auto" w:sz="4" w:space="0"/>
              <w:left w:val="single" w:color="auto" w:sz="4" w:space="0"/>
              <w:right w:val="single" w:color="auto" w:sz="4" w:space="0"/>
            </w:tcBorders>
            <w:shd w:val="clear" w:color="auto" w:fill="auto"/>
            <w:noWrap w:val="0"/>
            <w:vAlign w:val="center"/>
          </w:tcPr>
          <w:p w14:paraId="6625098A">
            <w:pPr>
              <w:pStyle w:val="10"/>
              <w:pageBreakBefore w:val="0"/>
              <w:widowControl w:val="0"/>
              <w:kinsoku/>
              <w:wordWrap/>
              <w:overflowPunct/>
              <w:topLinePunct w:val="0"/>
              <w:bidi w:val="0"/>
              <w:spacing w:line="360" w:lineRule="auto"/>
              <w:ind w:left="0" w:firstLine="0" w:firstLineChars="0"/>
              <w:jc w:val="left"/>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供应商全称</w:t>
            </w:r>
          </w:p>
        </w:tc>
      </w:tr>
      <w:tr w14:paraId="02DC6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 w:type="dxa"/>
            <w:bottom w:w="0" w:type="dxa"/>
            <w:right w:w="10" w:type="dxa"/>
          </w:tblCellMar>
        </w:tblPrEx>
        <w:trPr>
          <w:trHeight w:val="567" w:hRule="atLeast"/>
        </w:trPr>
        <w:tc>
          <w:tcPr>
            <w:tcW w:w="2500" w:type="pct"/>
            <w:tcBorders>
              <w:left w:val="single" w:color="auto" w:sz="4" w:space="0"/>
              <w:bottom w:val="single" w:color="auto" w:sz="4" w:space="0"/>
              <w:right w:val="single" w:color="auto" w:sz="4" w:space="0"/>
            </w:tcBorders>
            <w:shd w:val="clear" w:color="auto" w:fill="auto"/>
            <w:noWrap w:val="0"/>
            <w:vAlign w:val="center"/>
          </w:tcPr>
          <w:p w14:paraId="7FC3ABC2">
            <w:pPr>
              <w:pStyle w:val="10"/>
              <w:pageBreakBefore w:val="0"/>
              <w:widowControl w:val="0"/>
              <w:kinsoku/>
              <w:wordWrap/>
              <w:overflowPunct/>
              <w:topLinePunct w:val="0"/>
              <w:bidi w:val="0"/>
              <w:spacing w:line="360" w:lineRule="auto"/>
              <w:ind w:left="0" w:firstLine="0" w:firstLineChars="0"/>
              <w:jc w:val="left"/>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（盖章）</w:t>
            </w:r>
          </w:p>
        </w:tc>
        <w:tc>
          <w:tcPr>
            <w:tcW w:w="2500" w:type="pct"/>
            <w:tcBorders>
              <w:left w:val="single" w:color="auto" w:sz="4" w:space="0"/>
              <w:bottom w:val="single" w:color="auto" w:sz="4" w:space="0"/>
              <w:right w:val="single" w:color="auto" w:sz="4" w:space="0"/>
            </w:tcBorders>
            <w:shd w:val="clear" w:color="auto" w:fill="auto"/>
            <w:noWrap w:val="0"/>
            <w:vAlign w:val="center"/>
          </w:tcPr>
          <w:p w14:paraId="2EDD4CB8">
            <w:pPr>
              <w:pStyle w:val="10"/>
              <w:pageBreakBefore w:val="0"/>
              <w:widowControl w:val="0"/>
              <w:kinsoku/>
              <w:wordWrap/>
              <w:overflowPunct/>
              <w:topLinePunct w:val="0"/>
              <w:bidi w:val="0"/>
              <w:spacing w:line="360" w:lineRule="auto"/>
              <w:ind w:left="0" w:firstLine="0" w:firstLineChars="0"/>
              <w:jc w:val="left"/>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（盖章）</w:t>
            </w:r>
          </w:p>
        </w:tc>
      </w:tr>
      <w:tr w14:paraId="06BE5F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 w:type="dxa"/>
            <w:bottom w:w="0" w:type="dxa"/>
            <w:right w:w="10" w:type="dxa"/>
          </w:tblCellMar>
        </w:tblPrEx>
        <w:trPr>
          <w:trHeight w:val="567" w:hRule="atLeast"/>
        </w:trPr>
        <w:tc>
          <w:tcPr>
            <w:tcW w:w="2500"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369C5401">
            <w:pPr>
              <w:pStyle w:val="10"/>
              <w:pageBreakBefore w:val="0"/>
              <w:widowControl w:val="0"/>
              <w:kinsoku/>
              <w:wordWrap/>
              <w:overflowPunct/>
              <w:topLinePunct w:val="0"/>
              <w:bidi w:val="0"/>
              <w:spacing w:line="360" w:lineRule="auto"/>
              <w:ind w:left="0" w:firstLine="0" w:firstLineChars="0"/>
              <w:jc w:val="left"/>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地址：</w:t>
            </w:r>
          </w:p>
        </w:tc>
        <w:tc>
          <w:tcPr>
            <w:tcW w:w="2500" w:type="pct"/>
            <w:tcBorders>
              <w:top w:val="single" w:color="auto" w:sz="4" w:space="0"/>
              <w:left w:val="single" w:color="auto" w:sz="4" w:space="0"/>
              <w:bottom w:val="single" w:color="auto" w:sz="4" w:space="0"/>
              <w:right w:val="single" w:color="auto" w:sz="4" w:space="0"/>
            </w:tcBorders>
            <w:shd w:val="clear" w:color="auto" w:fill="auto"/>
            <w:noWrap w:val="0"/>
            <w:vAlign w:val="top"/>
          </w:tcPr>
          <w:p w14:paraId="2F4D638E">
            <w:pPr>
              <w:pStyle w:val="10"/>
              <w:pageBreakBefore w:val="0"/>
              <w:widowControl w:val="0"/>
              <w:kinsoku/>
              <w:wordWrap/>
              <w:overflowPunct/>
              <w:topLinePunct w:val="0"/>
              <w:bidi w:val="0"/>
              <w:spacing w:line="360" w:lineRule="auto"/>
              <w:ind w:left="0" w:firstLine="0" w:firstLineChars="0"/>
              <w:jc w:val="left"/>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地址：</w:t>
            </w:r>
          </w:p>
        </w:tc>
      </w:tr>
      <w:tr w14:paraId="30ECFD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 w:type="dxa"/>
            <w:bottom w:w="0" w:type="dxa"/>
            <w:right w:w="10" w:type="dxa"/>
          </w:tblCellMar>
        </w:tblPrEx>
        <w:trPr>
          <w:trHeight w:val="567" w:hRule="atLeast"/>
        </w:trPr>
        <w:tc>
          <w:tcPr>
            <w:tcW w:w="2500"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50A2AAB0">
            <w:pPr>
              <w:pStyle w:val="10"/>
              <w:pageBreakBefore w:val="0"/>
              <w:widowControl w:val="0"/>
              <w:kinsoku/>
              <w:wordWrap/>
              <w:overflowPunct/>
              <w:topLinePunct w:val="0"/>
              <w:bidi w:val="0"/>
              <w:spacing w:line="360" w:lineRule="auto"/>
              <w:ind w:left="0" w:firstLine="0" w:firstLineChars="0"/>
              <w:jc w:val="left"/>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邮编：</w:t>
            </w:r>
          </w:p>
        </w:tc>
        <w:tc>
          <w:tcPr>
            <w:tcW w:w="2500"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0E56F1FA">
            <w:pPr>
              <w:pStyle w:val="10"/>
              <w:pageBreakBefore w:val="0"/>
              <w:widowControl w:val="0"/>
              <w:kinsoku/>
              <w:wordWrap/>
              <w:overflowPunct/>
              <w:topLinePunct w:val="0"/>
              <w:bidi w:val="0"/>
              <w:spacing w:line="360" w:lineRule="auto"/>
              <w:ind w:left="0" w:firstLine="0" w:firstLineChars="0"/>
              <w:jc w:val="left"/>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邮编：</w:t>
            </w:r>
          </w:p>
        </w:tc>
      </w:tr>
      <w:tr w14:paraId="07A2B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 w:type="dxa"/>
            <w:bottom w:w="0" w:type="dxa"/>
            <w:right w:w="10" w:type="dxa"/>
          </w:tblCellMar>
        </w:tblPrEx>
        <w:trPr>
          <w:trHeight w:val="567" w:hRule="atLeast"/>
        </w:trPr>
        <w:tc>
          <w:tcPr>
            <w:tcW w:w="2500"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3BBF15E3">
            <w:pPr>
              <w:pStyle w:val="10"/>
              <w:pageBreakBefore w:val="0"/>
              <w:widowControl w:val="0"/>
              <w:kinsoku/>
              <w:wordWrap/>
              <w:overflowPunct/>
              <w:topLinePunct w:val="0"/>
              <w:bidi w:val="0"/>
              <w:spacing w:line="360" w:lineRule="auto"/>
              <w:ind w:left="0" w:firstLine="0" w:firstLineChars="0"/>
              <w:jc w:val="left"/>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法定代表人</w:t>
            </w:r>
            <w:r>
              <w:rPr>
                <w:rFonts w:hint="eastAsia" w:ascii="仿宋" w:hAnsi="仿宋" w:eastAsia="仿宋" w:cs="仿宋"/>
                <w:color w:val="000000"/>
                <w:sz w:val="21"/>
                <w:szCs w:val="21"/>
                <w:highlight w:val="none"/>
                <w:lang w:val="en-US" w:eastAsia="zh-CN"/>
              </w:rPr>
              <w:t>或</w:t>
            </w:r>
            <w:r>
              <w:rPr>
                <w:rFonts w:hint="eastAsia" w:ascii="仿宋" w:hAnsi="仿宋" w:eastAsia="仿宋" w:cs="仿宋"/>
                <w:color w:val="000000"/>
                <w:sz w:val="21"/>
                <w:szCs w:val="21"/>
                <w:highlight w:val="none"/>
              </w:rPr>
              <w:t>被授权代表：（签字</w:t>
            </w:r>
            <w:r>
              <w:rPr>
                <w:rFonts w:hint="eastAsia" w:ascii="仿宋" w:hAnsi="仿宋" w:eastAsia="仿宋" w:cs="仿宋"/>
                <w:color w:val="000000"/>
                <w:sz w:val="21"/>
                <w:szCs w:val="21"/>
                <w:highlight w:val="none"/>
                <w:lang w:val="en-US" w:eastAsia="zh-CN"/>
              </w:rPr>
              <w:t>或盖章</w:t>
            </w:r>
            <w:r>
              <w:rPr>
                <w:rFonts w:hint="eastAsia" w:ascii="仿宋" w:hAnsi="仿宋" w:eastAsia="仿宋" w:cs="仿宋"/>
                <w:color w:val="000000"/>
                <w:sz w:val="21"/>
                <w:szCs w:val="21"/>
                <w:highlight w:val="none"/>
              </w:rPr>
              <w:t>）</w:t>
            </w:r>
          </w:p>
        </w:tc>
        <w:tc>
          <w:tcPr>
            <w:tcW w:w="2500"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37BF76A6">
            <w:pPr>
              <w:pStyle w:val="10"/>
              <w:pageBreakBefore w:val="0"/>
              <w:widowControl w:val="0"/>
              <w:kinsoku/>
              <w:wordWrap/>
              <w:overflowPunct/>
              <w:topLinePunct w:val="0"/>
              <w:bidi w:val="0"/>
              <w:spacing w:line="360" w:lineRule="auto"/>
              <w:ind w:left="0" w:firstLine="0" w:firstLineChars="0"/>
              <w:jc w:val="left"/>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法定代表人</w:t>
            </w:r>
            <w:r>
              <w:rPr>
                <w:rFonts w:hint="eastAsia" w:ascii="仿宋" w:hAnsi="仿宋" w:eastAsia="仿宋" w:cs="仿宋"/>
                <w:color w:val="000000"/>
                <w:sz w:val="21"/>
                <w:szCs w:val="21"/>
                <w:highlight w:val="none"/>
                <w:lang w:val="en-US" w:eastAsia="zh-CN"/>
              </w:rPr>
              <w:t>或</w:t>
            </w:r>
            <w:r>
              <w:rPr>
                <w:rFonts w:hint="eastAsia" w:ascii="仿宋" w:hAnsi="仿宋" w:eastAsia="仿宋" w:cs="仿宋"/>
                <w:color w:val="000000"/>
                <w:sz w:val="21"/>
                <w:szCs w:val="21"/>
                <w:highlight w:val="none"/>
              </w:rPr>
              <w:t>被授权代表：（签字</w:t>
            </w:r>
            <w:r>
              <w:rPr>
                <w:rFonts w:hint="eastAsia" w:ascii="仿宋" w:hAnsi="仿宋" w:eastAsia="仿宋" w:cs="仿宋"/>
                <w:color w:val="000000"/>
                <w:sz w:val="21"/>
                <w:szCs w:val="21"/>
                <w:highlight w:val="none"/>
                <w:lang w:val="en-US" w:eastAsia="zh-CN"/>
              </w:rPr>
              <w:t>或盖章</w:t>
            </w:r>
            <w:r>
              <w:rPr>
                <w:rFonts w:hint="eastAsia" w:ascii="仿宋" w:hAnsi="仿宋" w:eastAsia="仿宋" w:cs="仿宋"/>
                <w:color w:val="000000"/>
                <w:sz w:val="21"/>
                <w:szCs w:val="21"/>
                <w:highlight w:val="none"/>
              </w:rPr>
              <w:t>）</w:t>
            </w:r>
          </w:p>
        </w:tc>
      </w:tr>
      <w:tr w14:paraId="0D5F2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 w:type="dxa"/>
            <w:bottom w:w="0" w:type="dxa"/>
            <w:right w:w="10" w:type="dxa"/>
          </w:tblCellMar>
        </w:tblPrEx>
        <w:trPr>
          <w:trHeight w:val="567" w:hRule="atLeast"/>
        </w:trPr>
        <w:tc>
          <w:tcPr>
            <w:tcW w:w="2500"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7F7C0E15">
            <w:pPr>
              <w:pStyle w:val="10"/>
              <w:pageBreakBefore w:val="0"/>
              <w:widowControl w:val="0"/>
              <w:kinsoku/>
              <w:wordWrap/>
              <w:overflowPunct/>
              <w:topLinePunct w:val="0"/>
              <w:bidi w:val="0"/>
              <w:spacing w:line="360" w:lineRule="auto"/>
              <w:ind w:left="0" w:firstLine="0" w:firstLineChars="0"/>
              <w:jc w:val="left"/>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电话：</w:t>
            </w:r>
          </w:p>
        </w:tc>
        <w:tc>
          <w:tcPr>
            <w:tcW w:w="2500"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5542093B">
            <w:pPr>
              <w:pStyle w:val="10"/>
              <w:pageBreakBefore w:val="0"/>
              <w:widowControl w:val="0"/>
              <w:kinsoku/>
              <w:wordWrap/>
              <w:overflowPunct/>
              <w:topLinePunct w:val="0"/>
              <w:bidi w:val="0"/>
              <w:spacing w:line="360" w:lineRule="auto"/>
              <w:ind w:left="0" w:firstLine="0" w:firstLineChars="0"/>
              <w:jc w:val="left"/>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电话：</w:t>
            </w:r>
          </w:p>
        </w:tc>
      </w:tr>
      <w:tr w14:paraId="0B944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 w:type="dxa"/>
            <w:bottom w:w="0" w:type="dxa"/>
            <w:right w:w="10" w:type="dxa"/>
          </w:tblCellMar>
        </w:tblPrEx>
        <w:trPr>
          <w:trHeight w:val="567" w:hRule="atLeast"/>
        </w:trPr>
        <w:tc>
          <w:tcPr>
            <w:tcW w:w="2500"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741A495E">
            <w:pPr>
              <w:pStyle w:val="10"/>
              <w:pageBreakBefore w:val="0"/>
              <w:widowControl w:val="0"/>
              <w:kinsoku/>
              <w:wordWrap/>
              <w:overflowPunct/>
              <w:topLinePunct w:val="0"/>
              <w:bidi w:val="0"/>
              <w:spacing w:line="360" w:lineRule="auto"/>
              <w:ind w:left="0" w:firstLine="0" w:firstLineChars="0"/>
              <w:jc w:val="left"/>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 xml:space="preserve">日期：年 </w:t>
            </w:r>
            <w:r>
              <w:rPr>
                <w:rFonts w:hint="eastAsia" w:ascii="仿宋" w:hAnsi="仿宋" w:eastAsia="仿宋" w:cs="仿宋"/>
                <w:color w:val="000000"/>
                <w:sz w:val="21"/>
                <w:szCs w:val="21"/>
                <w:highlight w:val="none"/>
                <w:lang w:val="zh-CN" w:eastAsia="zh-CN" w:bidi="zh-CN"/>
              </w:rPr>
              <w:t>月</w:t>
            </w:r>
            <w:r>
              <w:rPr>
                <w:rFonts w:hint="eastAsia" w:ascii="仿宋" w:hAnsi="仿宋" w:eastAsia="仿宋" w:cs="仿宋"/>
                <w:color w:val="000000"/>
                <w:sz w:val="21"/>
                <w:szCs w:val="21"/>
                <w:highlight w:val="none"/>
                <w:lang w:val="en-US" w:eastAsia="zh-CN" w:bidi="zh-CN"/>
              </w:rPr>
              <w:t xml:space="preserve"> 日</w:t>
            </w:r>
          </w:p>
        </w:tc>
        <w:tc>
          <w:tcPr>
            <w:tcW w:w="2500"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0620D07F">
            <w:pPr>
              <w:pStyle w:val="10"/>
              <w:pageBreakBefore w:val="0"/>
              <w:widowControl w:val="0"/>
              <w:kinsoku/>
              <w:wordWrap/>
              <w:overflowPunct/>
              <w:topLinePunct w:val="0"/>
              <w:bidi w:val="0"/>
              <w:spacing w:line="360" w:lineRule="auto"/>
              <w:ind w:left="0" w:firstLine="0" w:firstLineChars="0"/>
              <w:jc w:val="left"/>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 xml:space="preserve">日期：年 </w:t>
            </w:r>
            <w:r>
              <w:rPr>
                <w:rFonts w:hint="eastAsia" w:ascii="仿宋" w:hAnsi="仿宋" w:eastAsia="仿宋" w:cs="仿宋"/>
                <w:color w:val="000000"/>
                <w:sz w:val="21"/>
                <w:szCs w:val="21"/>
                <w:highlight w:val="none"/>
                <w:lang w:val="zh-CN" w:eastAsia="zh-CN" w:bidi="zh-CN"/>
              </w:rPr>
              <w:t>月</w:t>
            </w:r>
            <w:r>
              <w:rPr>
                <w:rFonts w:hint="eastAsia" w:ascii="仿宋" w:hAnsi="仿宋" w:eastAsia="仿宋" w:cs="仿宋"/>
                <w:color w:val="000000"/>
                <w:sz w:val="21"/>
                <w:szCs w:val="21"/>
                <w:highlight w:val="none"/>
                <w:lang w:val="en-US" w:eastAsia="zh-CN" w:bidi="zh-CN"/>
              </w:rPr>
              <w:t xml:space="preserve"> 日</w:t>
            </w:r>
          </w:p>
        </w:tc>
      </w:tr>
    </w:tbl>
    <w:p w14:paraId="4F3825BB">
      <w:pPr>
        <w:pStyle w:val="9"/>
        <w:spacing w:line="360" w:lineRule="auto"/>
        <w:ind w:firstLine="480" w:firstLineChars="200"/>
        <w:rPr>
          <w:rFonts w:hint="eastAsia" w:ascii="仿宋" w:hAnsi="仿宋" w:eastAsia="仿宋" w:cs="仿宋"/>
          <w:sz w:val="24"/>
          <w:szCs w:val="24"/>
          <w:highlight w:val="none"/>
          <w:lang w:val="en-US" w:eastAsia="zh-Hans"/>
        </w:rPr>
      </w:pPr>
      <w:bookmarkStart w:id="0" w:name="_GoBack"/>
      <w:bookmarkEnd w:id="0"/>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D43780"/>
    <w:rsid w:val="5BD43780"/>
    <w:rsid w:val="60F40441"/>
    <w:rsid w:val="792425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customStyle="1" w:styleId="5">
    <w:name w:val="仿宋正文"/>
    <w:basedOn w:val="1"/>
    <w:uiPriority w:val="0"/>
    <w:rPr>
      <w:rFonts w:eastAsia="仿宋" w:asciiTheme="minorAscii" w:hAnsiTheme="minorAscii"/>
      <w:sz w:val="30"/>
    </w:rPr>
  </w:style>
  <w:style w:type="paragraph" w:customStyle="1" w:styleId="6">
    <w:name w:val="宋体正文"/>
    <w:basedOn w:val="1"/>
    <w:uiPriority w:val="0"/>
    <w:rPr>
      <w:rFonts w:asciiTheme="minorAscii" w:hAnsiTheme="minorAscii"/>
      <w:sz w:val="28"/>
    </w:rPr>
  </w:style>
  <w:style w:type="paragraph" w:customStyle="1" w:styleId="7">
    <w:name w:val="@正文"/>
    <w:basedOn w:val="8"/>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8">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Other|1"/>
    <w:basedOn w:val="1"/>
    <w:qFormat/>
    <w:uiPriority w:val="0"/>
    <w:pPr>
      <w:widowControl w:val="0"/>
      <w:shd w:val="clear" w:color="auto" w:fill="auto"/>
      <w:spacing w:line="432" w:lineRule="auto"/>
    </w:pPr>
    <w:rPr>
      <w:rFonts w:ascii="宋体" w:hAnsi="宋体" w:eastAsia="宋体" w:cs="宋体"/>
      <w:u w:val="none"/>
      <w:shd w:val="clear" w:color="auto" w:fill="auto"/>
      <w:lang w:val="zh-TW" w:eastAsia="zh-TW" w:bidi="zh-T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2026-07-22T06:56:00Z</dcterms:created>
  <dc:creator>SKI</dc:creator>
  <cp:lastModifiedBy>SKI</cp:lastModifiedBy>
  <dcterms:modified xsi:type="dcterms:W3CDTF">2026-07-22T06:56:36Z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2F25CECDBBF4403187985FC2124EB996_11</vt:lpwstr>
  </property>
  <property fmtid="{D5CDD505-2E9C-101B-9397-08002B2CF9AE}" pid="4" name="KSOTemplateDocerSaveRecord">
    <vt:lpwstr>eyJoZGlkIjoiOTNlODE0YjMzMDE0OTA1NTUxYzk0ODBhOTU4NGEwMWYiLCJ1c2VySWQiOiIxMjI2NDQzMzM3In0=</vt:lpwstr>
  </property>
</Properties>
</file>