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0FC35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采购需求</w:t>
      </w:r>
    </w:p>
    <w:p w14:paraId="3D147F6E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一、采购清单</w:t>
      </w:r>
    </w:p>
    <w:tbl>
      <w:tblPr>
        <w:tblStyle w:val="4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1769"/>
        <w:gridCol w:w="3354"/>
      </w:tblGrid>
      <w:tr w14:paraId="500754B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4EEA4D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设备名称</w:t>
            </w:r>
          </w:p>
        </w:tc>
        <w:tc>
          <w:tcPr>
            <w:tcW w:w="95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E88360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数量</w:t>
            </w:r>
          </w:p>
        </w:tc>
        <w:tc>
          <w:tcPr>
            <w:tcW w:w="18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4E232C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备注</w:t>
            </w:r>
          </w:p>
        </w:tc>
      </w:tr>
      <w:tr w14:paraId="6ECF6E9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921CF6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动态张力仪主机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CCEDE0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627C1D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核心产品</w:t>
            </w:r>
          </w:p>
        </w:tc>
      </w:tr>
      <w:tr w14:paraId="529C8B9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A6BC8C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温度夹套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F3060F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B917C1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ABFFF7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296FEC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软件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803AB2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5BEAC3">
            <w:pPr>
              <w:pStyle w:val="7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20EFA9F2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二、参数要求</w:t>
      </w:r>
    </w:p>
    <w:p w14:paraId="3DA0E441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（一）动态张力仪主机</w:t>
      </w:r>
    </w:p>
    <w:p w14:paraId="46622E3D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1、表面张力测量范围至少覆盖：15～100 mN/m，分辨率≤0.01 mN/m，精度≤1%</w:t>
      </w:r>
    </w:p>
    <w:p w14:paraId="0480BDC3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2、压力范围≥3000pa，精度≤0.05%，压力测量频率≥20000Hz</w:t>
      </w:r>
    </w:p>
    <w:p w14:paraId="6FF6D25D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▲3、表面年龄测量范围至少覆盖：5～200000ms</w:t>
      </w:r>
    </w:p>
    <w:p w14:paraId="40A56D4B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4、内置空压机，可以直接鼓泡，也可外接气体气源。</w:t>
      </w:r>
    </w:p>
    <w:p w14:paraId="55B88947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5、整机须采用不锈钢和钢化玻璃制成，耐酸碱样品泼溅。</w:t>
      </w:r>
    </w:p>
    <w:p w14:paraId="3E415172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▲6、外接控制面板，可用于控制样品台上升下降，清洗玻璃毛细管等</w:t>
      </w:r>
    </w:p>
    <w:p w14:paraId="3964C93E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▲7、自动液面监测，自动压力校准</w:t>
      </w:r>
    </w:p>
    <w:p w14:paraId="70D97AAF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8、测量样品的外置PT100温度探针1只，测温范围至少覆盖：-60～450℃</w:t>
      </w:r>
    </w:p>
    <w:p w14:paraId="2E69C6BB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▲9、自动样品台位移系统，软件控制样品台的升降。样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</w:rPr>
        <w:t>品台位移空间≥110mm，移动速度至少覆盖0.09-500 mm/min，精度≤20μm。</w:t>
      </w:r>
    </w:p>
    <w:p w14:paraId="6DAC3F65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（二）温度夹套</w:t>
      </w:r>
    </w:p>
    <w:p w14:paraId="1027C8B8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1.温度夹套内置温度探头，温度范围至少覆盖：0～100℃，水浴控温，精度≤0.1℃。</w:t>
      </w:r>
    </w:p>
    <w:p w14:paraId="0993EC19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（三）软件</w:t>
      </w:r>
    </w:p>
    <w:p w14:paraId="0F9BD5AF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可测量表面年龄、起泡频率和表面张力曲线的关系，并可对多个曲线进行比较。可采用Ward &amp; Tordai方法测量表面活性剂的吸附速率；采用Joos&amp; Rillaerts 方法测量表面活性剂的扩散速率。</w:t>
      </w:r>
    </w:p>
    <w:p w14:paraId="2D5E1F2A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二、其他要求</w:t>
      </w:r>
    </w:p>
    <w:p w14:paraId="08419270">
      <w:pPr>
        <w:pStyle w:val="7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提供设备现场安装、系统调试及人员操作培训。供应商需对实验人员进行不少于2次现场操作培训。</w:t>
      </w:r>
    </w:p>
    <w:p w14:paraId="3270E108">
      <w:pPr>
        <w:pStyle w:val="2"/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DC5F8D"/>
    <w:rsid w:val="02CA1746"/>
    <w:rsid w:val="127E1741"/>
    <w:rsid w:val="1770383D"/>
    <w:rsid w:val="1BDC5F8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635</Words>
  <Characters>722</Characters>
  <Lines>0</Lines>
  <Paragraphs>0</Paragraphs>
  <TotalTime>0</TotalTime>
  <ScaleCrop>false</ScaleCrop>
  <LinksUpToDate>false</LinksUpToDate>
  <CharactersWithSpaces>730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2026-08-13T09:44:00Z</dcterms:created>
  <dc:creator>陌风</dc:creator>
  <cp:lastModifiedBy>陌风</cp:lastModifiedBy>
  <dcterms:modified xsi:type="dcterms:W3CDTF">2026-08-13T09:50:31Z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86164F53D0934241A765CD19AF33F059_11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