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版本号：NBC-2026-ZFTP-H-72.1B120260710001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融合教育设备采购(二次)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NBC-2026-ZFTP-H-72.1B1</w:t>
      </w:r>
      <w:r>
        <w:br/>
      </w:r>
      <w:r>
        <w:br/>
      </w:r>
      <w:r>
        <w:br/>
      </w:r>
    </w:p>
    <w:p>
      <w:pPr>
        <w:pStyle w:val="null3"/>
        <w:jc w:val="center"/>
        <w:outlineLvl w:val="2"/>
      </w:pPr>
      <w:r>
        <w:rPr>
          <w:rFonts w:ascii="仿宋_GB2312" w:hAnsi="仿宋_GB2312" w:cs="仿宋_GB2312" w:eastAsia="仿宋_GB2312"/>
          <w:sz w:val="28"/>
          <w:b/>
        </w:rPr>
        <w:t>西安市雁塔区第十幼儿园</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西安市雁塔区第十幼儿园</w:t>
      </w:r>
      <w:r>
        <w:rPr>
          <w:rFonts w:ascii="仿宋_GB2312" w:hAnsi="仿宋_GB2312" w:cs="仿宋_GB2312" w:eastAsia="仿宋_GB2312"/>
        </w:rPr>
        <w:t>委托，拟对</w:t>
      </w:r>
      <w:r>
        <w:rPr>
          <w:rFonts w:ascii="仿宋_GB2312" w:hAnsi="仿宋_GB2312" w:cs="仿宋_GB2312" w:eastAsia="仿宋_GB2312"/>
        </w:rPr>
        <w:t>融合教育设备采购(二次)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NBC-2026-ZFTP-H-72.1B1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融合教育设备采购(二次)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为贯彻落实《"十四五"特殊教育发展提升行动计划》，推进融合教育高质量发展，满足特殊需要幼儿的康复训练和运动发展需求，提升幼儿园融合教育装备水平，拟采购融合教育设备一批。 本项目采购内容包括户外体能游戏组合和儿童智慧运动系统两大部分。户外体能游戏组合适用于不同能力水平的幼儿参与，促进大肌肉动作发展、空间感知能力和社会交往能力；儿童智慧运动系统实现幼儿体质健康数据的自动化采集、智能化分析和可视化展示，为科学制定幼儿运动方案提供数据支撑。 本项目采购的设备须符合国家相关标准和行业规范，质量可靠，性能稳定，安全环保，能够满足融合教育教学和幼儿体质监测的实际需要。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采购包1（融合教育设备采购）：属于专门面向中小企业采购。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合法的人员参加磋商全过程：法定代表人授权委托书：法定代表人参加磋商的，须提供身份证；法定代表人授权他人参加磋商的，须提供法定代表人授权委托书及被授权人身份证。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西安市雁塔区第十幼儿园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西安市光华路东段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029-88381479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陕西省西安市雁塔区西安曲江新区雁翔路旺座曲江K座1701室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陕西省西安市曲江新区南三环辅路以南曲江文创中心7幢1 单元1701号</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赵静、张贝贝、姚田拓、武鲍华、王文生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18091758455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代理服务费收费标准：定额收取5000元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西安市雁塔区第十幼儿园</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西安市雁塔区第十幼儿园</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西安市雁塔区第十幼儿园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纳百川项目管理咨询有限公司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 1、《玩具安全》系列标准（GB 6675.1~4-2014） 2、《国家学生体质健康标准》 3、《信息技术设备 安全 第1部分：通用要求》（GB 4943.1-2022） 4、《"十四五"特殊教育发展提升行动计划》 5、国家及地方其他相关标准、规范。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联系人：赵静</w:t>
      </w:r>
    </w:p>
    <w:p>
      <w:pPr>
        <w:pStyle w:val="null3"/>
      </w:pPr>
      <w:r>
        <w:rPr>
          <w:rFonts w:ascii="仿宋_GB2312" w:hAnsi="仿宋_GB2312" w:cs="仿宋_GB2312" w:eastAsia="仿宋_GB2312"/>
        </w:rPr>
        <w:t>联系电话：18091758455</w:t>
      </w:r>
    </w:p>
    <w:p>
      <w:pPr>
        <w:pStyle w:val="null3"/>
      </w:pPr>
      <w:r>
        <w:rPr>
          <w:rFonts w:ascii="仿宋_GB2312" w:hAnsi="仿宋_GB2312" w:cs="仿宋_GB2312" w:eastAsia="仿宋_GB2312"/>
        </w:rPr>
        <w:t>地址：陕西省西安市曲江新区南三环辅路以南曲江文创中心7幢1 单元1701号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为贯彻落实《"十四五"特殊教育发展提升行动计划》，推进融合教育高质量发展，满足特殊需要幼儿的康复训练和运动发展需求，提升幼儿园融合教育装备水平，拟采购融合教育设备一批。 本项目采购内容包括户外体能游戏组合和儿童智慧运动系统两大部分。户外体能游戏组合适用于不同能力水平的幼儿参与，促进大肌肉动作发展、空间感知能力和社会交往能力；儿童智慧运动系统实现幼儿体质健康数据的自动化采集、智能化分析和可视化展示，为科学制定幼儿运动方案提供数据支撑。 本项目采购的设备须符合国家相关标准和行业规范，质量可靠，性能稳定，安全环保，能够满足融合教育教学和幼儿体质监测的实际需要。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w:t>
      </w:r>
    </w:p>
    <w:p>
      <w:pPr>
        <w:pStyle w:val="null3"/>
      </w:pPr>
      <w:r>
        <w:rPr>
          <w:rFonts w:ascii="仿宋_GB2312" w:hAnsi="仿宋_GB2312" w:cs="仿宋_GB2312" w:eastAsia="仿宋_GB2312"/>
        </w:rPr>
        <w:t>采购包最高限价（元）: 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户外体能游戏组合套装、儿童健康发展管理平台各1套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标的名称：户外体能游戏组合套装、儿童健康发展管理平台各1套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ind w:firstLine="420"/>
            </w:pPr>
            <w:r>
              <w:rPr>
                <w:rFonts w:ascii="仿宋_GB2312" w:hAnsi="仿宋_GB2312" w:cs="仿宋_GB2312" w:eastAsia="仿宋_GB2312"/>
                <w:sz w:val="24"/>
              </w:rPr>
              <w:t>本项目采购融合教育设备共</w:t>
            </w:r>
            <w:r>
              <w:rPr>
                <w:rFonts w:ascii="仿宋_GB2312" w:hAnsi="仿宋_GB2312" w:cs="仿宋_GB2312" w:eastAsia="仿宋_GB2312"/>
                <w:sz w:val="24"/>
              </w:rPr>
              <w:t>2大类，具体采购清单如下：</w:t>
            </w:r>
          </w:p>
          <w:p>
            <w:pPr>
              <w:pStyle w:val="null3"/>
              <w:spacing w:after="195"/>
            </w:pPr>
            <w:r>
              <w:rPr>
                <w:rFonts w:ascii="仿宋_GB2312" w:hAnsi="仿宋_GB2312" w:cs="仿宋_GB2312" w:eastAsia="仿宋_GB2312"/>
                <w:sz w:val="24"/>
                <w:b/>
              </w:rPr>
              <w:t>（一）户外体能游戏组合</w:t>
            </w:r>
          </w:p>
          <w:p>
            <w:pPr>
              <w:pStyle w:val="null3"/>
              <w:spacing w:after="195"/>
              <w:ind w:firstLine="420"/>
            </w:pPr>
            <w:r>
              <w:rPr>
                <w:rFonts w:ascii="仿宋_GB2312" w:hAnsi="仿宋_GB2312" w:cs="仿宋_GB2312" w:eastAsia="仿宋_GB2312"/>
                <w:sz w:val="24"/>
              </w:rPr>
              <w:t>户外体能游戏组合</w:t>
            </w:r>
            <w:r>
              <w:rPr>
                <w:rFonts w:ascii="仿宋_GB2312" w:hAnsi="仿宋_GB2312" w:cs="仿宋_GB2312" w:eastAsia="仿宋_GB2312"/>
                <w:sz w:val="24"/>
              </w:rPr>
              <w:t>1套，配件总数2087件，装箱数33箱。主体材质：微晶木、ABS、PP，球体为PP材质，连接管为PVC材质。</w:t>
            </w:r>
          </w:p>
          <w:tbl>
            <w:tblPr>
              <w:tblBorders>
                <w:top w:val="none" w:color="000000" w:sz="4"/>
                <w:left w:val="none" w:color="000000" w:sz="4"/>
                <w:bottom w:val="none" w:color="000000" w:sz="4"/>
                <w:right w:val="none" w:color="000000" w:sz="4"/>
                <w:insideH w:val="none"/>
                <w:insideV w:val="none"/>
              </w:tblBorders>
            </w:tblPr>
            <w:tblGrid>
              <w:gridCol w:w="175"/>
              <w:gridCol w:w="175"/>
              <w:gridCol w:w="645"/>
              <w:gridCol w:w="1198"/>
              <w:gridCol w:w="175"/>
              <w:gridCol w:w="175"/>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b/>
                      <w:color w:val="000000"/>
                    </w:rPr>
                    <w:t>序号</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b/>
                      <w:color w:val="000000"/>
                    </w:rPr>
                    <w:t>产品名称</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b/>
                      <w:color w:val="000000"/>
                    </w:rPr>
                    <w:t>产品图片</w:t>
                  </w:r>
                </w:p>
              </w:tc>
              <w:tc>
                <w:tcPr>
                  <w:tcW w:type="dxa" w:w="1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b/>
                      <w:color w:val="000000"/>
                    </w:rPr>
                    <w:t>技术参数</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b/>
                      <w:color w:val="000000"/>
                    </w:rPr>
                    <w:t>数量</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b/>
                      <w:color w:val="000000"/>
                    </w:rPr>
                    <w:t>单位</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户外体能游戏组合</w:t>
                  </w:r>
                  <w:r>
                    <w:rPr>
                      <w:rFonts w:ascii="仿宋_GB2312" w:hAnsi="仿宋_GB2312" w:cs="仿宋_GB2312" w:eastAsia="仿宋_GB2312"/>
                      <w:sz w:val="22"/>
                      <w:color w:val="000000"/>
                    </w:rPr>
                    <w:t>（核心产品）</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配件数量：</w:t>
                  </w:r>
                  <w:r>
                    <w:rPr>
                      <w:rFonts w:ascii="仿宋_GB2312" w:hAnsi="仿宋_GB2312" w:cs="仿宋_GB2312" w:eastAsia="仿宋_GB2312"/>
                      <w:sz w:val="22"/>
                      <w:b/>
                      <w:color w:val="000000"/>
                    </w:rPr>
                    <w:t>2087</w:t>
                  </w:r>
                  <w:r>
                    <w:rPr>
                      <w:rFonts w:ascii="仿宋_GB2312" w:hAnsi="仿宋_GB2312" w:cs="仿宋_GB2312" w:eastAsia="仿宋_GB2312"/>
                      <w:sz w:val="22"/>
                      <w:color w:val="000000"/>
                    </w:rPr>
                    <w:t>件</w:t>
                  </w:r>
                  <w:r>
                    <w:br/>
                  </w:r>
                  <w:r>
                    <w:rPr>
                      <w:rFonts w:ascii="仿宋_GB2312" w:hAnsi="仿宋_GB2312" w:cs="仿宋_GB2312" w:eastAsia="仿宋_GB2312"/>
                      <w:sz w:val="22"/>
                      <w:b/>
                      <w:color w:val="000000"/>
                    </w:rPr>
                    <w:t>装箱数</w:t>
                  </w:r>
                  <w:r>
                    <w:rPr>
                      <w:rFonts w:ascii="仿宋_GB2312" w:hAnsi="仿宋_GB2312" w:cs="仿宋_GB2312" w:eastAsia="仿宋_GB2312"/>
                      <w:sz w:val="22"/>
                      <w:b/>
                      <w:color w:val="000000"/>
                    </w:rPr>
                    <w:t>:33</w:t>
                  </w:r>
                  <w:r>
                    <w:rPr>
                      <w:rFonts w:ascii="仿宋_GB2312" w:hAnsi="仿宋_GB2312" w:cs="仿宋_GB2312" w:eastAsia="仿宋_GB2312"/>
                      <w:sz w:val="22"/>
                      <w:color w:val="000000"/>
                    </w:rPr>
                    <w:t>箱</w:t>
                  </w:r>
                  <w:r>
                    <w:br/>
                  </w:r>
                  <w:r>
                    <w:rPr>
                      <w:rFonts w:ascii="仿宋_GB2312" w:hAnsi="仿宋_GB2312" w:cs="仿宋_GB2312" w:eastAsia="仿宋_GB2312"/>
                      <w:sz w:val="22"/>
                      <w:b/>
                      <w:color w:val="000000"/>
                    </w:rPr>
                    <w:t>主体材质：微晶木、</w:t>
                  </w:r>
                  <w:r>
                    <w:rPr>
                      <w:rFonts w:ascii="仿宋_GB2312" w:hAnsi="仿宋_GB2312" w:cs="仿宋_GB2312" w:eastAsia="仿宋_GB2312"/>
                      <w:sz w:val="22"/>
                      <w:b/>
                      <w:color w:val="000000"/>
                    </w:rPr>
                    <w:t>ABS、PP，</w:t>
                  </w:r>
                  <w:r>
                    <w:rPr>
                      <w:rFonts w:ascii="仿宋_GB2312" w:hAnsi="仿宋_GB2312" w:cs="仿宋_GB2312" w:eastAsia="仿宋_GB2312"/>
                      <w:sz w:val="22"/>
                      <w:color w:val="000000"/>
                    </w:rPr>
                    <w:t>球体为</w:t>
                  </w:r>
                  <w:r>
                    <w:rPr>
                      <w:rFonts w:ascii="仿宋_GB2312" w:hAnsi="仿宋_GB2312" w:cs="仿宋_GB2312" w:eastAsia="仿宋_GB2312"/>
                      <w:sz w:val="22"/>
                      <w:color w:val="000000"/>
                    </w:rPr>
                    <w:t>PP材质，连接管为PVC材质</w:t>
                  </w:r>
                  <w:r>
                    <w:br/>
                  </w:r>
                  <w:r>
                    <w:rPr>
                      <w:rFonts w:ascii="仿宋_GB2312" w:hAnsi="仿宋_GB2312" w:cs="仿宋_GB2312" w:eastAsia="仿宋_GB2312"/>
                      <w:sz w:val="22"/>
                      <w:b/>
                      <w:color w:val="000000"/>
                    </w:rPr>
                    <w:t>主要配件包含：圆环</w:t>
                  </w:r>
                  <w:r>
                    <w:rPr>
                      <w:rFonts w:ascii="仿宋_GB2312" w:hAnsi="仿宋_GB2312" w:cs="仿宋_GB2312" w:eastAsia="仿宋_GB2312"/>
                      <w:sz w:val="22"/>
                      <w:b/>
                      <w:color w:val="000000"/>
                    </w:rPr>
                    <w:t>≥D90*19mm、三孔长条≥90*270*19mm、四孔长条≥90*360*19mm、五孔长条≥90*450*19mm、七孔长条≥90*630*19mm、九孔长条≥90*810*19mm、小圆弧片≥270*270*10mm、半圆弧片≥270*450*10mm、长圆弧片≥450*450*10mm、十字片≥217*217*10mm、大十字片≥270*270*10mm、方形片≥180*180*10mm、六孔片≥270*180*10mm、三角片≥217*153*10mm、大三角片≥270*180*10mm、二孔片≥217*90*10mm、小齿片≥D112*10mm、大齿片≥D186*10mm、3x4长片≥270*360*10mm、3x5长片≥270*450*10mm、2x4长片≥180*360*10mm、2x5长片≥180*450*10mm、短螺丝≥ø65*75mm、长螺丝≥ø65*115mm、螺母≥ø65*20mm、小方块≥90*90*90mm、自主游戏车后轮（中号）≥ø230*80mm、中号滑轮　咖啡（新）≥ø210*80mm、中号端盖　咖啡（新）≥ø95*20mm、D38组合管180 咖啡（C版）≥，ø38*180mm、D38组合管299 咖啡（C版）≥ø38*299mm、D38组合管468 咖啡（C版）≥ø38*468mm、D38组合管707 咖啡（C版）≥ø38*707mm、绳索≥1.2m弹力绳。D304大滑轮　天蓝≥φ304mm*H120mm、D304大连接器包胶球≥φ304mm*H120mm、88TH型球体≥φ88mm、TH型锯口接头 黄（B版）≥ φ37mm*L100mm、D50组合管136≥φ50mm*L136mm 黄D50组合管268 黄≥φ50mm*L268mm、D50组合管454　黄色≥φ50mm*L454mm、D50组合管717　黄色≥φ50mm*L717mm、D38组合管97 绿（B版）≥φ38mm*L97mm、D38组合管97 橙（B版）≥ φ38mm*L97mm、D38组合管232 红（B 版）≥φ38mm*L232mm、D38组合管232 蓝（B版）≥φ38mm*L232mm、D38组合管432 绿（B版）≥φ38mm*L432mm、D38组合管432 橙（B版）≥φ38mm*L432mm、D38组合管712 红（B版）≥φ38mm*L712mm、D38组合管712 蓝（B版）≥ φ38mm*L712mm、红色布≥L1020mm*W430mm、蓝色布≥L1020mm*W430mm。</w:t>
                  </w:r>
                  <w:r>
                    <w:br/>
                  </w:r>
                  <w:r>
                    <w:rPr>
                      <w:rFonts w:ascii="仿宋_GB2312" w:hAnsi="仿宋_GB2312" w:cs="仿宋_GB2312" w:eastAsia="仿宋_GB2312"/>
                      <w:sz w:val="22"/>
                      <w:b/>
                      <w:color w:val="000000"/>
                    </w:rPr>
                    <w:t>教辅教案包含：体育活动汇编（一）</w:t>
                  </w:r>
                  <w:r>
                    <w:rPr>
                      <w:rFonts w:ascii="仿宋_GB2312" w:hAnsi="仿宋_GB2312" w:cs="仿宋_GB2312" w:eastAsia="仿宋_GB2312"/>
                      <w:sz w:val="22"/>
                      <w:b/>
                      <w:color w:val="000000"/>
                    </w:rPr>
                    <w:t>3本、体育活动汇编（三）3本、体能说明书1张，教师指导手册3本，幼儿操作图册3本。</w:t>
                  </w:r>
                  <w:r>
                    <w:br/>
                  </w:r>
                  <w:r>
                    <w:rPr>
                      <w:rFonts w:ascii="仿宋_GB2312" w:hAnsi="仿宋_GB2312" w:cs="仿宋_GB2312" w:eastAsia="仿宋_GB2312"/>
                      <w:sz w:val="22"/>
                      <w:b/>
                      <w:color w:val="000000"/>
                    </w:rPr>
                    <w:t>应用场景：</w:t>
                  </w:r>
                  <w:r>
                    <w:rPr>
                      <w:rFonts w:ascii="仿宋_GB2312" w:hAnsi="仿宋_GB2312" w:cs="仿宋_GB2312" w:eastAsia="仿宋_GB2312"/>
                      <w:sz w:val="22"/>
                      <w:color w:val="000000"/>
                    </w:rPr>
                    <w:t>户外运动区、自主游戏区，户外建构区</w:t>
                  </w:r>
                  <w:r>
                    <w:br/>
                  </w:r>
                  <w:r>
                    <w:rPr>
                      <w:rFonts w:ascii="仿宋_GB2312" w:hAnsi="仿宋_GB2312" w:cs="仿宋_GB2312" w:eastAsia="仿宋_GB2312"/>
                      <w:sz w:val="22"/>
                      <w:b/>
                      <w:color w:val="000000"/>
                    </w:rPr>
                    <w:t>产品特点：</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b/>
                      <w:color w:val="000000"/>
                    </w:rPr>
                    <w:t>安全美观，品质保障：</w:t>
                  </w:r>
                  <w:r>
                    <w:rPr>
                      <w:rFonts w:ascii="仿宋_GB2312" w:hAnsi="仿宋_GB2312" w:cs="仿宋_GB2312" w:eastAsia="仿宋_GB2312"/>
                      <w:sz w:val="22"/>
                      <w:color w:val="000000"/>
                    </w:rPr>
                    <w:t>球体形状为圆形，不仅部件简洁、美观、安全、耐用，还收取方便，耐寒暑、日晒雨淋。</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b/>
                      <w:color w:val="000000"/>
                    </w:rPr>
                    <w:t>符合幼儿发展需求：</w:t>
                  </w:r>
                  <w:r>
                    <w:rPr>
                      <w:rFonts w:ascii="仿宋_GB2312" w:hAnsi="仿宋_GB2312" w:cs="仿宋_GB2312" w:eastAsia="仿宋_GB2312"/>
                      <w:sz w:val="22"/>
                      <w:color w:val="000000"/>
                    </w:rPr>
                    <w:t>构建方法简单，只需</w:t>
                  </w:r>
                  <w:r>
                    <w:rPr>
                      <w:rFonts w:ascii="仿宋_GB2312" w:hAnsi="仿宋_GB2312" w:cs="仿宋_GB2312" w:eastAsia="仿宋_GB2312"/>
                      <w:sz w:val="22"/>
                      <w:color w:val="000000"/>
                    </w:rPr>
                    <w:t>“插”、“拔”、“拧”三个动作。教师可单独构建，也可与幼儿共同构建；有固定功能的器械可活动前构建，有变化功能的器械可活动过程中构建。</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b/>
                      <w:color w:val="000000"/>
                    </w:rPr>
                    <w:t>低结构材料，锻炼基本动作，培养想象力和创造力：</w:t>
                  </w:r>
                  <w:r>
                    <w:rPr>
                      <w:rFonts w:ascii="仿宋_GB2312" w:hAnsi="仿宋_GB2312" w:cs="仿宋_GB2312" w:eastAsia="仿宋_GB2312"/>
                      <w:sz w:val="22"/>
                      <w:color w:val="000000"/>
                    </w:rPr>
                    <w:t>规格统一、低结构易组合，一物多玩、一物多用、一物多练，变化多样的运动器械激发儿童运动兴趣</w:t>
                  </w:r>
                  <w:r>
                    <w:rPr>
                      <w:rFonts w:ascii="仿宋_GB2312" w:hAnsi="仿宋_GB2312" w:cs="仿宋_GB2312" w:eastAsia="仿宋_GB2312"/>
                      <w:sz w:val="22"/>
                      <w:color w:val="000000"/>
                    </w:rPr>
                    <w:t>,运用形象化、生活化、趣味化的方法调动儿童主动性；让孩子真正体验到大小肌肉运动情趣；发展基本动作、增强体能体质，形成良好的品质。运用中、大套件游戏材料，就可以构建出千变万化的固定、变化、流动的运动器械，让孩子脑智能、心智能、体智能得到全面发展，培养孩子未来的竞争力。</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游戏材料配件造型丰富、操作简单、功能强大，具有三维交互性，便携式，可移动性，锻炼幼儿手部动作与图形等认知能力，培养幼儿的空间想象力和创造性思维；配备内容丰富、操作便易的幼儿操作图册，让幼儿在欣赏造型实景的同时了解作品的搭建方法，教师指导手册引导教师深入挖掘材料、拓展游戏思路、创新游戏方法和手段，持续提升教师能力，轻松掌握游戏实施方法；</w:t>
                  </w:r>
                  <w:r>
                    <w:br/>
                  </w:r>
                  <w:r>
                    <w:rPr>
                      <w:rFonts w:ascii="仿宋_GB2312" w:hAnsi="仿宋_GB2312" w:cs="仿宋_GB2312" w:eastAsia="仿宋_GB2312"/>
                      <w:sz w:val="22"/>
                      <w:color w:val="000000"/>
                    </w:rPr>
                    <w:t>采用微晶木材质，环保无毒安全、硬度范围广、有优良的着色性、触感柔软、耐候性、抗疲劳性、耐温性、防腐、防潮、防虫等，绿色环保，使用周期长。</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所投产品须同时满足以下检测要求，并提供相应的第三方检测报告（均须带</w:t>
                  </w:r>
                  <w:r>
                    <w:rPr>
                      <w:rFonts w:ascii="仿宋_GB2312" w:hAnsi="仿宋_GB2312" w:cs="仿宋_GB2312" w:eastAsia="仿宋_GB2312"/>
                      <w:sz w:val="22"/>
                      <w:color w:val="000000"/>
                    </w:rPr>
                    <w:t>CMA 或 CNAS 标识）：</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1）符合 GB 6675.1-2014、GB 6675.2-2014、GB 6675.3-2014、GB 6675.4-2014 标准要求，检测项目包含机械与物理性能、易燃性能及特定元素的迁移（可溶性锑、砷、钡、镉、铬、铅、汞、硒），结论合格（或符合要求）。检测报告须体现送检样品名称与投标产品名称存在对应关系，能够证明送检样品即为所投产品。</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2）所投产品中微晶木塑料件须符合 GB/T 31402-2023 标准要求，对大肠杆菌、金黄色葡萄球菌的抗菌率≥99%。检测报告须体现送检材质名称，并能证明该材质与所投产品所用材质一致。</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3）所投产品中微晶木塑料件须符合 ISO 16869:2008 或 GB/T 24128-2018 标准要求，检测菌种包含黑曲霉、球毛壳霉、宛氏拟青霉、绳状青霉、长枝木霉，且防霉等级不低于1级（即霉菌生长情况为“没有生长”或“初期生长”）。检测报告须体现送检材质名称，并能证明该材质与所投产品所用材质一致。</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4）所投产品中微晶木塑料件须符合 GB/T 17657-2022 标准要求，甲醛释放量为未检出。检测报告须体现送检材质名称，并能证明该材质与所投产品所用材质一致。</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以上检测报告复印件须加盖供应商公章。</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套</w:t>
                  </w:r>
                </w:p>
              </w:tc>
            </w:tr>
          </w:tbl>
          <w:p>
            <w:pPr>
              <w:pStyle w:val="null3"/>
              <w:spacing w:after="195"/>
            </w:pPr>
            <w:r>
              <w:rPr>
                <w:rFonts w:ascii="仿宋_GB2312" w:hAnsi="仿宋_GB2312" w:cs="仿宋_GB2312" w:eastAsia="仿宋_GB2312"/>
                <w:sz w:val="24"/>
                <w:b/>
              </w:rPr>
              <w:t>1、操作材料类（52种）</w:t>
            </w:r>
          </w:p>
          <w:tbl>
            <w:tblPr>
              <w:tblBorders>
                <w:top w:val="none" w:color="000000" w:sz="4"/>
                <w:left w:val="none" w:color="000000" w:sz="4"/>
                <w:bottom w:val="none" w:color="000000" w:sz="4"/>
                <w:right w:val="none" w:color="000000" w:sz="4"/>
                <w:insideH w:val="none"/>
                <w:insideV w:val="none"/>
              </w:tblBorders>
            </w:tblPr>
            <w:tblGrid>
              <w:gridCol w:w="160"/>
              <w:gridCol w:w="623"/>
              <w:gridCol w:w="351"/>
              <w:gridCol w:w="422"/>
              <w:gridCol w:w="347"/>
              <w:gridCol w:w="286"/>
              <w:gridCol w:w="351"/>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D304大滑轮　蓝</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GJA01010</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PP</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8</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D304大连接器 黄</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GJA01012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PP</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64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88TH型球体</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PJB01015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PP</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84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TH型锯口接头 黄（B版）</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PJB03081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PP</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144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D50组合管136 黄</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GJB02031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PVC</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D50组合管268 黄</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GJB02032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PVC</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7</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D50组合管454 蓝</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GJB02033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PVC</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D50组合管717 红</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GJB02036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PVC</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9</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D38组合管97 绿（B版）</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PJC05108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ABS</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D38组合管97 橙（B版）</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PJC05109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ABS</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11</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D38组合管232 红（B版）</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PJC05110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ABS</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12</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D38组合管232 蓝（B版）</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PJC05111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ABS</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13</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D38组合管432 绿（B版）</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PJC05112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ABS</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14</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D38组合管432 橙（B版）</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PJC05113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ABS</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15</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D38组合管712 红（B版）</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PJC05114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ABS</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D38组合管712 蓝（B版）</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PJC05115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ABS</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17</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红色布</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PJE01004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涤纶</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8</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张</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蓝色布</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PJE01005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涤纶</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8</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张</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19</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圆环</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PJJ10001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三孔长条</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PJJ10002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21</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四孔长条</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PJJ10003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22</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五孔长条</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PJJ10004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23</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七孔长条</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PJJ10005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24</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九孔长条</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PJJ10006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小圆弧片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PJJ10007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半圆弧片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PJJ10008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27</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长圆弧片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PJJ10009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十字片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8</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29</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X字片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PJJ10011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方形片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31</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六孔片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PJJ10013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32</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三角片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PJJ10014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33</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大三角片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PJJ10015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34</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二孔片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PJJ10016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小齿片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PJJ10017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大齿片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PJJ10018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8</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37</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3x4长片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PJJ10019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3x5长片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39</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2x4长片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PJJ10021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2x5长片</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PJJ10022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微晶木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41</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短螺丝</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PJB04153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尼龙</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240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42</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长螺丝</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PJB04154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尼龙</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160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43</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螺母</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PJB04155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尼龙</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400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44</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小方块</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PJB04156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尼龙</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90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车轮</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PJA01070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PP+橡胶</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滑轮</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PJB01105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8</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47</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端盖</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PJB04149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ABS</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100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38组合管180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PJC05116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49</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38组合管299</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PJC05099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50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38组合管468</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PJC05117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51</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38组合管707</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PJC05118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52</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绳索</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PJE03004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棉</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8</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根</w:t>
                  </w:r>
                </w:p>
              </w:tc>
            </w:tr>
          </w:tbl>
          <w:p>
            <w:pPr>
              <w:pStyle w:val="null3"/>
              <w:spacing w:after="195"/>
            </w:pPr>
            <w:r>
              <w:rPr>
                <w:rFonts w:ascii="仿宋_GB2312" w:hAnsi="仿宋_GB2312" w:cs="仿宋_GB2312" w:eastAsia="仿宋_GB2312"/>
                <w:sz w:val="24"/>
                <w:b/>
              </w:rPr>
              <w:t>2、安装材料类（2种）</w:t>
            </w:r>
          </w:p>
          <w:tbl>
            <w:tblPr>
              <w:tblBorders>
                <w:top w:val="none" w:color="000000" w:sz="4"/>
                <w:left w:val="none" w:color="000000" w:sz="4"/>
                <w:bottom w:val="none" w:color="000000" w:sz="4"/>
                <w:right w:val="none" w:color="000000" w:sz="4"/>
                <w:insideH w:val="none"/>
                <w:insideV w:val="none"/>
              </w:tblBorders>
            </w:tblPr>
            <w:tblGrid>
              <w:gridCol w:w="160"/>
              <w:gridCol w:w="602"/>
              <w:gridCol w:w="353"/>
              <w:gridCol w:w="438"/>
              <w:gridCol w:w="353"/>
              <w:gridCol w:w="284"/>
              <w:gridCol w:w="353"/>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大球体扳手</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GJG01006</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尼龙</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橡胶锤</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GJG01002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橡胶</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个</w:t>
                  </w:r>
                </w:p>
              </w:tc>
            </w:tr>
          </w:tbl>
          <w:p>
            <w:pPr>
              <w:pStyle w:val="null3"/>
              <w:spacing w:after="195"/>
            </w:pPr>
            <w:r>
              <w:rPr>
                <w:rFonts w:ascii="仿宋_GB2312" w:hAnsi="仿宋_GB2312" w:cs="仿宋_GB2312" w:eastAsia="仿宋_GB2312"/>
                <w:sz w:val="24"/>
                <w:b/>
              </w:rPr>
              <w:t>3、教辅教案类（5种）</w:t>
            </w:r>
          </w:p>
          <w:tbl>
            <w:tblPr>
              <w:tblBorders>
                <w:top w:val="none" w:color="000000" w:sz="4"/>
                <w:left w:val="none" w:color="000000" w:sz="4"/>
                <w:bottom w:val="none" w:color="000000" w:sz="4"/>
                <w:right w:val="none" w:color="000000" w:sz="4"/>
                <w:insideH w:val="none"/>
                <w:insideV w:val="none"/>
              </w:tblBorders>
            </w:tblPr>
            <w:tblGrid>
              <w:gridCol w:w="160"/>
              <w:gridCol w:w="599"/>
              <w:gridCol w:w="352"/>
              <w:gridCol w:w="438"/>
              <w:gridCol w:w="352"/>
              <w:gridCol w:w="285"/>
              <w:gridCol w:w="352"/>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体育活动汇编（一）有刊号</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YSA02090</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纸质</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本</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体育活动汇编（三）</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YSA02168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纸质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0"/>
                      <w:color w:val="000000"/>
                    </w:rPr>
                    <w:t>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0"/>
                      <w:color w:val="000000"/>
                    </w:rPr>
                    <w:t>本</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教师指导手册</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YSA03102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本</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幼儿操作图册</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YSA03103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本</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5</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体能游戏综合包说明</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YSB01004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纸质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张</w:t>
                  </w:r>
                </w:p>
              </w:tc>
            </w:tr>
          </w:tbl>
          <w:p>
            <w:pPr>
              <w:pStyle w:val="null3"/>
              <w:spacing w:after="195"/>
            </w:pPr>
            <w:r>
              <w:rPr>
                <w:rFonts w:ascii="仿宋_GB2312" w:hAnsi="仿宋_GB2312" w:cs="仿宋_GB2312" w:eastAsia="仿宋_GB2312"/>
                <w:sz w:val="24"/>
                <w:b/>
              </w:rPr>
              <w:t>4、产品服务类（1种）</w:t>
            </w:r>
          </w:p>
          <w:tbl>
            <w:tblPr>
              <w:tblBorders>
                <w:top w:val="none" w:color="000000" w:sz="4"/>
                <w:left w:val="none" w:color="000000" w:sz="4"/>
                <w:bottom w:val="none" w:color="000000" w:sz="4"/>
                <w:right w:val="none" w:color="000000" w:sz="4"/>
                <w:insideH w:val="none"/>
                <w:insideV w:val="none"/>
              </w:tblBorders>
            </w:tblPr>
            <w:tblGrid>
              <w:gridCol w:w="159"/>
              <w:gridCol w:w="601"/>
              <w:gridCol w:w="352"/>
              <w:gridCol w:w="438"/>
              <w:gridCol w:w="352"/>
              <w:gridCol w:w="285"/>
              <w:gridCol w:w="352"/>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入园培训</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1</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2"/>
                      <w:color w:val="000000"/>
                    </w:rPr>
                    <w:t>天</w:t>
                  </w:r>
                </w:p>
              </w:tc>
            </w:tr>
          </w:tbl>
          <w:p>
            <w:pPr>
              <w:pStyle w:val="null3"/>
              <w:spacing w:after="195"/>
            </w:pPr>
            <w:r>
              <w:rPr>
                <w:rFonts w:ascii="仿宋_GB2312" w:hAnsi="仿宋_GB2312" w:cs="仿宋_GB2312" w:eastAsia="仿宋_GB2312"/>
                <w:sz w:val="24"/>
                <w:b/>
              </w:rPr>
              <w:t>（二）儿童智慧运动系统</w:t>
            </w:r>
          </w:p>
          <w:p>
            <w:pPr>
              <w:pStyle w:val="null3"/>
              <w:spacing w:after="195"/>
              <w:ind w:firstLine="420"/>
            </w:pPr>
            <w:r>
              <w:rPr>
                <w:rFonts w:ascii="仿宋_GB2312" w:hAnsi="仿宋_GB2312" w:cs="仿宋_GB2312" w:eastAsia="仿宋_GB2312"/>
                <w:sz w:val="24"/>
              </w:rPr>
              <w:t>儿童智慧运动系统</w:t>
            </w:r>
            <w:r>
              <w:rPr>
                <w:rFonts w:ascii="仿宋_GB2312" w:hAnsi="仿宋_GB2312" w:cs="仿宋_GB2312" w:eastAsia="仿宋_GB2312"/>
                <w:sz w:val="24"/>
              </w:rPr>
              <w:t>1套，包含体测组合、运动手环、数据采集基站、充电箱和数据驾驶舱等设备，实现幼儿体质健康数据的自动化采集、智能化分析和可视化展示。</w:t>
            </w:r>
          </w:p>
          <w:tbl>
            <w:tblPr>
              <w:tblBorders>
                <w:top w:val="none" w:color="000000" w:sz="4"/>
                <w:left w:val="none" w:color="000000" w:sz="4"/>
                <w:bottom w:val="none" w:color="000000" w:sz="4"/>
                <w:right w:val="none" w:color="000000" w:sz="4"/>
                <w:insideH w:val="none"/>
                <w:insideV w:val="none"/>
              </w:tblBorders>
            </w:tblPr>
            <w:tblGrid>
              <w:gridCol w:w="246"/>
              <w:gridCol w:w="1685"/>
              <w:gridCol w:w="215"/>
              <w:gridCol w:w="215"/>
              <w:gridCol w:w="179"/>
            </w:tblGrid>
            <w:tr>
              <w:tc>
                <w:tcPr>
                  <w:tcW w:type="dxa" w:w="2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b/>
                      <w:color w:val="000000"/>
                    </w:rPr>
                    <w:t>产品名称</w:t>
                  </w:r>
                </w:p>
              </w:tc>
              <w:tc>
                <w:tcPr>
                  <w:tcW w:type="dxa" w:w="16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b/>
                      <w:color w:val="000000"/>
                    </w:rPr>
                    <w:t>技术参数</w:t>
                  </w:r>
                </w:p>
              </w:tc>
              <w:tc>
                <w:tcPr>
                  <w:tcW w:type="dxa" w:w="2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b/>
                      <w:color w:val="000000"/>
                    </w:rPr>
                    <w:t>数量</w:t>
                  </w:r>
                </w:p>
              </w:tc>
              <w:tc>
                <w:tcPr>
                  <w:tcW w:type="dxa" w:w="2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b/>
                      <w:color w:val="000000"/>
                    </w:rPr>
                    <w:t>单位</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b/>
                      <w:color w:val="000000"/>
                    </w:rPr>
                    <w:t>图片</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color w:val="000000"/>
                    </w:rPr>
                    <w:t>体测组合</w:t>
                  </w:r>
                  <w:r>
                    <w:rPr>
                      <w:rFonts w:ascii="仿宋_GB2312" w:hAnsi="仿宋_GB2312" w:cs="仿宋_GB2312" w:eastAsia="仿宋_GB2312"/>
                      <w:sz w:val="24"/>
                      <w:color w:val="000000"/>
                    </w:rPr>
                    <w:t>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color w:val="000000"/>
                    </w:rPr>
                    <w:t>平台：包含</w:t>
                  </w:r>
                  <w:r>
                    <w:rPr>
                      <w:rFonts w:ascii="仿宋_GB2312" w:hAnsi="仿宋_GB2312" w:cs="仿宋_GB2312" w:eastAsia="仿宋_GB2312"/>
                      <w:sz w:val="24"/>
                      <w:color w:val="000000"/>
                    </w:rPr>
                    <w:t>1年使用</w:t>
                  </w:r>
                  <w:r>
                    <w:br/>
                  </w:r>
                  <w:r>
                    <w:rPr>
                      <w:rFonts w:ascii="仿宋_GB2312" w:hAnsi="仿宋_GB2312" w:cs="仿宋_GB2312" w:eastAsia="仿宋_GB2312"/>
                      <w:sz w:val="24"/>
                      <w:color w:val="000000"/>
                    </w:rPr>
                    <w:t>1）开通教师端登陆账号和密码</w:t>
                  </w:r>
                  <w:r>
                    <w:br/>
                  </w:r>
                  <w:r>
                    <w:rPr>
                      <w:rFonts w:ascii="仿宋_GB2312" w:hAnsi="仿宋_GB2312" w:cs="仿宋_GB2312" w:eastAsia="仿宋_GB2312"/>
                      <w:sz w:val="24"/>
                      <w:color w:val="000000"/>
                    </w:rPr>
                    <w:t>2）本班幼儿体测数据上传、管理权限</w:t>
                  </w:r>
                  <w:r>
                    <w:br/>
                  </w:r>
                  <w:r>
                    <w:rPr>
                      <w:rFonts w:ascii="仿宋_GB2312" w:hAnsi="仿宋_GB2312" w:cs="仿宋_GB2312" w:eastAsia="仿宋_GB2312"/>
                      <w:sz w:val="24"/>
                      <w:color w:val="000000"/>
                    </w:rPr>
                    <w:t>3）开通园长端登陆账号和密码</w:t>
                  </w:r>
                  <w:r>
                    <w:br/>
                  </w:r>
                  <w:r>
                    <w:rPr>
                      <w:rFonts w:ascii="仿宋_GB2312" w:hAnsi="仿宋_GB2312" w:cs="仿宋_GB2312" w:eastAsia="仿宋_GB2312"/>
                      <w:sz w:val="24"/>
                      <w:color w:val="000000"/>
                    </w:rPr>
                    <w:t>4）园所各班各幼儿数据管理权限</w:t>
                  </w:r>
                  <w:r>
                    <w:br/>
                  </w:r>
                  <w:r>
                    <w:rPr>
                      <w:rFonts w:ascii="仿宋_GB2312" w:hAnsi="仿宋_GB2312" w:cs="仿宋_GB2312" w:eastAsia="仿宋_GB2312"/>
                      <w:sz w:val="24"/>
                      <w:color w:val="000000"/>
                    </w:rPr>
                    <w:t>5）开通家长端登陆账号和密码</w:t>
                  </w:r>
                  <w:r>
                    <w:br/>
                  </w:r>
                  <w:r>
                    <w:rPr>
                      <w:rFonts w:ascii="仿宋_GB2312" w:hAnsi="仿宋_GB2312" w:cs="仿宋_GB2312" w:eastAsia="仿宋_GB2312"/>
                      <w:sz w:val="24"/>
                      <w:color w:val="000000"/>
                    </w:rPr>
                    <w:t>6）幼儿测试报告查询</w:t>
                  </w:r>
                  <w:r>
                    <w:br/>
                  </w:r>
                  <w:r>
                    <w:rPr>
                      <w:rFonts w:ascii="仿宋_GB2312" w:hAnsi="仿宋_GB2312" w:cs="仿宋_GB2312" w:eastAsia="仿宋_GB2312"/>
                      <w:sz w:val="24"/>
                      <w:color w:val="000000"/>
                    </w:rPr>
                    <w:t>7）智能推荐家庭亲子运动游戏视频</w:t>
                  </w:r>
                  <w:r>
                    <w:br/>
                  </w:r>
                  <w:r>
                    <w:rPr>
                      <w:rFonts w:ascii="仿宋_GB2312" w:hAnsi="仿宋_GB2312" w:cs="仿宋_GB2312" w:eastAsia="仿宋_GB2312"/>
                      <w:sz w:val="24"/>
                      <w:color w:val="000000"/>
                    </w:rPr>
                    <w:t>幼儿体质测评</w:t>
                  </w:r>
                  <w:r>
                    <w:rPr>
                      <w:rFonts w:ascii="仿宋_GB2312" w:hAnsi="仿宋_GB2312" w:cs="仿宋_GB2312" w:eastAsia="仿宋_GB2312"/>
                      <w:sz w:val="24"/>
                      <w:color w:val="000000"/>
                    </w:rPr>
                    <w:t>-个人报告、班级报告、年级报告、园所报告</w:t>
                  </w:r>
                  <w:r>
                    <w:br/>
                  </w:r>
                  <w:r>
                    <w:rPr>
                      <w:rFonts w:ascii="仿宋_GB2312" w:hAnsi="仿宋_GB2312" w:cs="仿宋_GB2312" w:eastAsia="仿宋_GB2312"/>
                      <w:sz w:val="24"/>
                      <w:color w:val="000000"/>
                    </w:rPr>
                    <w:t>(1)基本信息:</w:t>
                  </w:r>
                  <w:r>
                    <w:br/>
                  </w:r>
                  <w:r>
                    <w:rPr>
                      <w:rFonts w:ascii="仿宋_GB2312" w:hAnsi="仿宋_GB2312" w:cs="仿宋_GB2312" w:eastAsia="仿宋_GB2312"/>
                      <w:sz w:val="24"/>
                      <w:color w:val="000000"/>
                    </w:rPr>
                    <w:t>后台服务，园长端、教师端、家长端</w:t>
                  </w:r>
                  <w:r>
                    <w:br/>
                  </w:r>
                  <w:r>
                    <w:rPr>
                      <w:rFonts w:ascii="仿宋_GB2312" w:hAnsi="仿宋_GB2312" w:cs="仿宋_GB2312" w:eastAsia="仿宋_GB2312"/>
                      <w:sz w:val="24"/>
                      <w:color w:val="000000"/>
                    </w:rPr>
                    <w:t>应用架构</w:t>
                  </w:r>
                  <w:r>
                    <w:rPr>
                      <w:rFonts w:ascii="仿宋_GB2312" w:hAnsi="仿宋_GB2312" w:cs="仿宋_GB2312" w:eastAsia="仿宋_GB2312"/>
                      <w:sz w:val="24"/>
                      <w:color w:val="000000"/>
                    </w:rPr>
                    <w:t>:采用springboot,阿里云部署</w:t>
                  </w:r>
                  <w:r>
                    <w:br/>
                  </w:r>
                  <w:r>
                    <w:rPr>
                      <w:rFonts w:ascii="仿宋_GB2312" w:hAnsi="仿宋_GB2312" w:cs="仿宋_GB2312" w:eastAsia="仿宋_GB2312"/>
                      <w:sz w:val="24"/>
                      <w:color w:val="000000"/>
                    </w:rPr>
                    <w:t>开发</w:t>
                  </w:r>
                  <w:r>
                    <w:rPr>
                      <w:rFonts w:ascii="仿宋_GB2312" w:hAnsi="仿宋_GB2312" w:cs="仿宋_GB2312" w:eastAsia="仿宋_GB2312"/>
                      <w:sz w:val="24"/>
                      <w:color w:val="000000"/>
                    </w:rPr>
                    <w:t>API:开放Web Service API接口，可对接三方应用系统。</w:t>
                  </w:r>
                  <w:r>
                    <w:br/>
                  </w:r>
                  <w:r>
                    <w:rPr>
                      <w:rFonts w:ascii="仿宋_GB2312" w:hAnsi="仿宋_GB2312" w:cs="仿宋_GB2312" w:eastAsia="仿宋_GB2312"/>
                      <w:sz w:val="24"/>
                      <w:color w:val="000000"/>
                    </w:rPr>
                    <w:t>性能</w:t>
                  </w:r>
                  <w:r>
                    <w:rPr>
                      <w:rFonts w:ascii="仿宋_GB2312" w:hAnsi="仿宋_GB2312" w:cs="仿宋_GB2312" w:eastAsia="仿宋_GB2312"/>
                      <w:sz w:val="24"/>
                      <w:color w:val="000000"/>
                    </w:rPr>
                    <w:t>:关键功能的平均响应时间小于200毫秒，最长响应时间小于3秒，满负荷每秒处理请求数目大于1000次</w:t>
                  </w:r>
                  <w:r>
                    <w:br/>
                  </w:r>
                  <w:r>
                    <w:rPr>
                      <w:rFonts w:ascii="仿宋_GB2312" w:hAnsi="仿宋_GB2312" w:cs="仿宋_GB2312" w:eastAsia="仿宋_GB2312"/>
                      <w:sz w:val="24"/>
                      <w:color w:val="000000"/>
                    </w:rPr>
                    <w:t>可用性</w:t>
                  </w:r>
                  <w:r>
                    <w:rPr>
                      <w:rFonts w:ascii="仿宋_GB2312" w:hAnsi="仿宋_GB2312" w:cs="仿宋_GB2312" w:eastAsia="仿宋_GB2312"/>
                      <w:sz w:val="24"/>
                      <w:color w:val="000000"/>
                    </w:rPr>
                    <w:t>:大于99.9%</w:t>
                  </w:r>
                  <w:r>
                    <w:br/>
                  </w:r>
                  <w:r>
                    <w:rPr>
                      <w:rFonts w:ascii="仿宋_GB2312" w:hAnsi="仿宋_GB2312" w:cs="仿宋_GB2312" w:eastAsia="仿宋_GB2312"/>
                      <w:sz w:val="24"/>
                      <w:color w:val="000000"/>
                    </w:rPr>
                    <w:t>可靠性</w:t>
                  </w:r>
                  <w:r>
                    <w:rPr>
                      <w:rFonts w:ascii="仿宋_GB2312" w:hAnsi="仿宋_GB2312" w:cs="仿宋_GB2312" w:eastAsia="仿宋_GB2312"/>
                      <w:sz w:val="24"/>
                      <w:color w:val="000000"/>
                    </w:rPr>
                    <w:t>:平均故障间隔时间大于2000小时</w:t>
                  </w:r>
                  <w:r>
                    <w:br/>
                  </w:r>
                  <w:r>
                    <w:rPr>
                      <w:rFonts w:ascii="仿宋_GB2312" w:hAnsi="仿宋_GB2312" w:cs="仿宋_GB2312" w:eastAsia="仿宋_GB2312"/>
                      <w:sz w:val="24"/>
                      <w:color w:val="000000"/>
                    </w:rPr>
                    <w:t>数据安全性</w:t>
                  </w:r>
                  <w:r>
                    <w:rPr>
                      <w:rFonts w:ascii="仿宋_GB2312" w:hAnsi="仿宋_GB2312" w:cs="仿宋_GB2312" w:eastAsia="仿宋_GB2312"/>
                      <w:sz w:val="24"/>
                      <w:color w:val="000000"/>
                    </w:rPr>
                    <w:t>:端到端数据支持HTTPS SSL RSA256位证书加密。数据每日备份，保留30天。</w:t>
                  </w:r>
                  <w:r>
                    <w:br/>
                  </w:r>
                  <w:r>
                    <w:rPr>
                      <w:rFonts w:ascii="仿宋_GB2312" w:hAnsi="仿宋_GB2312" w:cs="仿宋_GB2312" w:eastAsia="仿宋_GB2312"/>
                      <w:sz w:val="24"/>
                      <w:color w:val="000000"/>
                    </w:rPr>
                    <w:t>配件数量：</w:t>
                  </w:r>
                  <w:r>
                    <w:rPr>
                      <w:rFonts w:ascii="仿宋_GB2312" w:hAnsi="仿宋_GB2312" w:cs="仿宋_GB2312" w:eastAsia="仿宋_GB2312"/>
                      <w:sz w:val="24"/>
                      <w:color w:val="000000"/>
                    </w:rPr>
                    <w:t>33</w:t>
                  </w:r>
                  <w:r>
                    <w:br/>
                  </w:r>
                  <w:r>
                    <w:rPr>
                      <w:rFonts w:ascii="仿宋_GB2312" w:hAnsi="仿宋_GB2312" w:cs="仿宋_GB2312" w:eastAsia="仿宋_GB2312"/>
                      <w:sz w:val="24"/>
                      <w:color w:val="000000"/>
                    </w:rPr>
                    <w:t>主要配件</w:t>
                  </w:r>
                  <w:r>
                    <w:rPr>
                      <w:rFonts w:ascii="仿宋_GB2312" w:hAnsi="仿宋_GB2312" w:cs="仿宋_GB2312" w:eastAsia="仿宋_GB2312"/>
                      <w:sz w:val="24"/>
                      <w:color w:val="000000"/>
                    </w:rPr>
                    <w:t>;电子握力计、高密度环保工程塑料（长等于小于19cm*宽等于小于12cm*厚度等于小于3cm）1个，跳远垫、高密度环保橡胶（长等于小于183cm*宽等于小于68cm*厚等于小于0.6cm）1个，坐位体前屈、高密度木质、铝合金钢尺（长等于小于61cm*宽等于小于25cm*高等于小于23cm）1个，软方包、优质pu+压缩海绵（长等于小于10cm*宽等于小于5cm*高等于小于5cm）1个，</w:t>
                  </w:r>
                  <w:r>
                    <w:br/>
                  </w:r>
                  <w:r>
                    <w:rPr>
                      <w:rFonts w:ascii="仿宋_GB2312" w:hAnsi="仿宋_GB2312" w:cs="仿宋_GB2312" w:eastAsia="仿宋_GB2312"/>
                      <w:sz w:val="24"/>
                      <w:color w:val="000000"/>
                    </w:rPr>
                    <w:t>锥形标志桶、环保</w:t>
                  </w:r>
                  <w:r>
                    <w:rPr>
                      <w:rFonts w:ascii="仿宋_GB2312" w:hAnsi="仿宋_GB2312" w:cs="仿宋_GB2312" w:eastAsia="仿宋_GB2312"/>
                      <w:sz w:val="24"/>
                      <w:color w:val="000000"/>
                    </w:rPr>
                    <w:t>ABS（长等于小于28cm*宽等于小于28cm*高等于小于50cm，3孔）12个，平衡木、进口新西兰松木（长等于小于100cm*宽等于小于10cm*高等于小于30cm）3根平衡木、4个底座，20米卷尺、玻璃纤维（等于小于200cm）1个。</w:t>
                  </w:r>
                  <w:r>
                    <w:br/>
                  </w:r>
                  <w:r>
                    <w:rPr>
                      <w:rFonts w:ascii="仿宋_GB2312" w:hAnsi="仿宋_GB2312" w:cs="仿宋_GB2312" w:eastAsia="仿宋_GB2312"/>
                      <w:sz w:val="24"/>
                      <w:color w:val="000000"/>
                    </w:rPr>
                    <w:t>应用场景：幼儿体质健康测试</w:t>
                  </w:r>
                  <w:r>
                    <w:br/>
                  </w:r>
                  <w:r>
                    <w:rPr>
                      <w:rFonts w:ascii="仿宋_GB2312" w:hAnsi="仿宋_GB2312" w:cs="仿宋_GB2312" w:eastAsia="仿宋_GB2312"/>
                      <w:sz w:val="24"/>
                      <w:color w:val="000000"/>
                    </w:rPr>
                    <w:t>产品特点：身体素质测试设备，握力、坐位体前屈、双脚连续跳、</w:t>
                  </w:r>
                  <w:r>
                    <w:rPr>
                      <w:rFonts w:ascii="仿宋_GB2312" w:hAnsi="仿宋_GB2312" w:cs="仿宋_GB2312" w:eastAsia="仿宋_GB2312"/>
                      <w:sz w:val="24"/>
                      <w:color w:val="000000"/>
                    </w:rPr>
                    <w:t>15米障碍跑、平衡木、立定跳远。</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年</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儿童智慧运动手环</w:t>
                  </w:r>
                  <w:r>
                    <w:rPr>
                      <w:rFonts w:ascii="仿宋_GB2312" w:hAnsi="仿宋_GB2312" w:cs="仿宋_GB2312" w:eastAsia="仿宋_GB2312"/>
                      <w:sz w:val="24"/>
                      <w:color w:val="000000"/>
                    </w:rPr>
                    <w:t>（核心产品）</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color w:val="000000"/>
                    </w:rPr>
                    <w:t>1、机身尺寸：等于小于51.5（L)*等于小于19.77(W)*等于小于12.35、机身颜色：黑色、表带尺寸：等于小于14MM</w:t>
                  </w:r>
                  <w:r>
                    <w:br/>
                  </w:r>
                  <w:r>
                    <w:rPr>
                      <w:rFonts w:ascii="仿宋_GB2312" w:hAnsi="仿宋_GB2312" w:cs="仿宋_GB2312" w:eastAsia="仿宋_GB2312"/>
                      <w:sz w:val="24"/>
                      <w:color w:val="000000"/>
                    </w:rPr>
                    <w:t>2、表带颜色：黑色、机身材质：ABS+PC、底壳材质：塑料、表带材质：编织</w:t>
                  </w:r>
                  <w:r>
                    <w:br/>
                  </w:r>
                  <w:r>
                    <w:rPr>
                      <w:rFonts w:ascii="仿宋_GB2312" w:hAnsi="仿宋_GB2312" w:cs="仿宋_GB2312" w:eastAsia="仿宋_GB2312"/>
                      <w:sz w:val="24"/>
                      <w:color w:val="000000"/>
                    </w:rPr>
                    <w:t>3、屏幕类型：TFT、屏幕尺寸：0.96英寸、屏幕分辨率：80*160、触摸形式：单点触控</w:t>
                  </w:r>
                  <w:r>
                    <w:br/>
                  </w:r>
                  <w:r>
                    <w:rPr>
                      <w:rFonts w:ascii="仿宋_GB2312" w:hAnsi="仿宋_GB2312" w:cs="仿宋_GB2312" w:eastAsia="仿宋_GB2312"/>
                      <w:sz w:val="24"/>
                      <w:color w:val="000000"/>
                    </w:rPr>
                    <w:t>4、电池容量：145毫安、续航时间：轻度使用10天，中度使用7天，、充电时间：约2小时</w:t>
                  </w:r>
                  <w:r>
                    <w:br/>
                  </w:r>
                  <w:r>
                    <w:rPr>
                      <w:rFonts w:ascii="仿宋_GB2312" w:hAnsi="仿宋_GB2312" w:cs="仿宋_GB2312" w:eastAsia="仿宋_GB2312"/>
                      <w:sz w:val="24"/>
                      <w:color w:val="000000"/>
                    </w:rPr>
                    <w:t>5、主控芯片：JL7012、重力传感器：SC7A20、心率传感器：HX3918、血氧传感器：HX3918、RAM：640KB、FLASH：64M、马达：扁平钨钢马达</w:t>
                  </w:r>
                  <w:r>
                    <w:br/>
                  </w:r>
                  <w:r>
                    <w:rPr>
                      <w:rFonts w:ascii="仿宋_GB2312" w:hAnsi="仿宋_GB2312" w:cs="仿宋_GB2312" w:eastAsia="仿宋_GB2312"/>
                      <w:sz w:val="24"/>
                      <w:color w:val="000000"/>
                    </w:rPr>
                    <w:t>6、按键：无、蓝牙：BT5.31对多，将数据传送是数字化平台、蓝牙距离：10米</w:t>
                  </w:r>
                  <w:r>
                    <w:br/>
                  </w:r>
                  <w:r>
                    <w:rPr>
                      <w:rFonts w:ascii="仿宋_GB2312" w:hAnsi="仿宋_GB2312" w:cs="仿宋_GB2312" w:eastAsia="仿宋_GB2312"/>
                      <w:sz w:val="24"/>
                      <w:color w:val="000000"/>
                    </w:rPr>
                    <w:t>7、充电方式：磁吸充电、防水等级：IP68</w:t>
                  </w:r>
                  <w:r>
                    <w:br/>
                  </w:r>
                  <w:r>
                    <w:rPr>
                      <w:rFonts w:ascii="仿宋_GB2312" w:hAnsi="仿宋_GB2312" w:cs="仿宋_GB2312" w:eastAsia="仿宋_GB2312"/>
                      <w:sz w:val="24"/>
                      <w:color w:val="000000"/>
                    </w:rPr>
                    <w:t>8、运动数据：步数、距离、血压、血氧、心率、卡路里。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90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个</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移动数据采集基站</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color w:val="000000"/>
                    </w:rPr>
                    <w:t>1、外观尺寸长度等于小于295mm*宽等于小于190mm*厚等于小于63mm(±2mm)。</w:t>
                  </w:r>
                  <w:r>
                    <w:br/>
                  </w:r>
                  <w:r>
                    <w:rPr>
                      <w:rFonts w:ascii="仿宋_GB2312" w:hAnsi="仿宋_GB2312" w:cs="仿宋_GB2312" w:eastAsia="仿宋_GB2312"/>
                      <w:sz w:val="24"/>
                      <w:color w:val="000000"/>
                    </w:rPr>
                    <w:t>2、通过USB Type-C 5V供电和数据双向传输，即插即用。</w:t>
                  </w:r>
                  <w:r>
                    <w:br/>
                  </w:r>
                  <w:r>
                    <w:rPr>
                      <w:rFonts w:ascii="仿宋_GB2312" w:hAnsi="仿宋_GB2312" w:cs="仿宋_GB2312" w:eastAsia="仿宋_GB2312"/>
                      <w:sz w:val="24"/>
                      <w:color w:val="000000"/>
                    </w:rPr>
                    <w:t>3、内置读/写和无线数据传输功能芯片，具有学生信息配置和采集运动数据传输二合一功能</w:t>
                  </w:r>
                  <w:r>
                    <w:br/>
                  </w:r>
                  <w:r>
                    <w:rPr>
                      <w:rFonts w:ascii="仿宋_GB2312" w:hAnsi="仿宋_GB2312" w:cs="仿宋_GB2312" w:eastAsia="仿宋_GB2312"/>
                      <w:sz w:val="24"/>
                      <w:color w:val="000000"/>
                    </w:rPr>
                    <w:t>▲4、采用4G通信，可在≥10米的移动范围通过传输数据</w:t>
                  </w:r>
                  <w:r>
                    <w:br/>
                  </w:r>
                  <w:r>
                    <w:rPr>
                      <w:rFonts w:ascii="仿宋_GB2312" w:hAnsi="仿宋_GB2312" w:cs="仿宋_GB2312" w:eastAsia="仿宋_GB2312"/>
                      <w:sz w:val="24"/>
                      <w:color w:val="000000"/>
                    </w:rPr>
                    <w:t>5、设备在联网状态下立即同步网络时间，可实现数据在传输时间的准确性和同一时间数据传输的唯一性。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个</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儿童运动手环充电箱</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color w:val="000000"/>
                    </w:rPr>
                    <w:t>1、▲箱体外部尺寸：长等于小于520mm*宽等于小于320mm*高等于小于160mm，</w:t>
                  </w:r>
                  <w:r>
                    <w:br/>
                  </w:r>
                  <w:r>
                    <w:rPr>
                      <w:rFonts w:ascii="仿宋_GB2312" w:hAnsi="仿宋_GB2312" w:cs="仿宋_GB2312" w:eastAsia="仿宋_GB2312"/>
                      <w:sz w:val="24"/>
                      <w:color w:val="000000"/>
                    </w:rPr>
                    <w:t>2、★一体化箱体设计，在不拆手环表带的情况下每层均可放置手环和对手环集中充电，手环存放数量≥32只、手环一次性集中充电≥32只，且在充电时所有手环的屏幕都具有充电的屏显提示。</w:t>
                  </w:r>
                  <w:r>
                    <w:br/>
                  </w:r>
                  <w:r>
                    <w:rPr>
                      <w:rFonts w:ascii="仿宋_GB2312" w:hAnsi="仿宋_GB2312" w:cs="仿宋_GB2312" w:eastAsia="仿宋_GB2312"/>
                      <w:sz w:val="24"/>
                      <w:color w:val="000000"/>
                    </w:rPr>
                    <w:t>3、在不摘手环表带的情况下，整齐排列放在箱内充电时可随充随取、插拔自由，不会损坏手环。</w:t>
                  </w:r>
                  <w:r>
                    <w:br/>
                  </w:r>
                  <w:r>
                    <w:rPr>
                      <w:rFonts w:ascii="仿宋_GB2312" w:hAnsi="仿宋_GB2312" w:cs="仿宋_GB2312" w:eastAsia="仿宋_GB2312"/>
                      <w:sz w:val="24"/>
                      <w:color w:val="000000"/>
                    </w:rPr>
                    <w:t>4、充电模组在充电时具有充电过流保护，单一模组异常不影响其他模组正常充电；模组上单个充电卡座损坏，不影响其他卡座正常充电.</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2</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个</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数据驾驶舱</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color w:val="000000"/>
                    </w:rPr>
                    <w:t>“智慧校园”数据驾驶舱-可视化展示界，这个系统包括数据分析、监控、报告和通信功能，以实现校园资源的优化配置和校园服务的智能化。</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个</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bl>
          <w:p>
            <w:pPr>
              <w:pStyle w:val="null3"/>
            </w:pPr>
            <w:r>
              <w:rPr>
                <w:rFonts w:ascii="仿宋_GB2312" w:hAnsi="仿宋_GB2312" w:cs="仿宋_GB2312" w:eastAsia="仿宋_GB2312"/>
                <w:sz w:val="28"/>
                <w:b/>
              </w:rPr>
              <w:t>三、技术要求</w:t>
            </w:r>
          </w:p>
          <w:p>
            <w:pPr>
              <w:pStyle w:val="null3"/>
              <w:spacing w:after="195"/>
            </w:pPr>
            <w:r>
              <w:rPr>
                <w:rFonts w:ascii="仿宋_GB2312" w:hAnsi="仿宋_GB2312" w:cs="仿宋_GB2312" w:eastAsia="仿宋_GB2312"/>
                <w:sz w:val="24"/>
                <w:b/>
              </w:rPr>
              <w:t>（一）户外体能游戏组合技术要求</w:t>
            </w:r>
          </w:p>
          <w:p>
            <w:pPr>
              <w:pStyle w:val="null3"/>
              <w:spacing w:after="195"/>
            </w:pPr>
            <w:r>
              <w:rPr>
                <w:rFonts w:ascii="仿宋_GB2312" w:hAnsi="仿宋_GB2312" w:cs="仿宋_GB2312" w:eastAsia="仿宋_GB2312"/>
                <w:sz w:val="24"/>
                <w:b/>
              </w:rPr>
              <w:t>1、产品基本要求</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1）产品设计须符合融合教育理念，适合不同能力水平的幼儿共同参与游戏，促进大肌肉动作发展、空间感知能力和社会交往能力；</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2）产品安全美观，耐寒暑、日晒雨淋，适合户外使用；</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3）构建方法简单，只需"插、拔、拧"三个动作即可完成搭建，便于幼儿自主操作；</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4）低结构材料，一物多玩，能够培养幼儿的想象力和创造力；</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5）配备教师指导手册和幼儿操作图册，便于教师组织教学活动。</w:t>
            </w:r>
          </w:p>
          <w:p>
            <w:pPr>
              <w:pStyle w:val="null3"/>
              <w:spacing w:after="195"/>
            </w:pPr>
            <w:r>
              <w:rPr>
                <w:rFonts w:ascii="仿宋_GB2312" w:hAnsi="仿宋_GB2312" w:cs="仿宋_GB2312" w:eastAsia="仿宋_GB2312"/>
                <w:sz w:val="24"/>
                <w:b/>
              </w:rPr>
              <w:t>2、材质要求</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1）主体材质：微晶木、ABS、PP，球体为PP材质，连接管为PVC材质；</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2）微晶木材质环保无毒，使用周期长，具有良好的耐候性和耐磨性；</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3）所有塑料件边缘光滑无毛刺，无尖锐边角，确保幼儿使用安全；</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4）布料采用涤纶材质，色彩鲜艳，结实耐用。</w:t>
            </w:r>
          </w:p>
          <w:p>
            <w:pPr>
              <w:pStyle w:val="null3"/>
              <w:spacing w:after="195"/>
            </w:pPr>
            <w:r>
              <w:rPr>
                <w:rFonts w:ascii="仿宋_GB2312" w:hAnsi="仿宋_GB2312" w:cs="仿宋_GB2312" w:eastAsia="仿宋_GB2312"/>
                <w:sz w:val="24"/>
                <w:b/>
              </w:rPr>
              <w:t>3、检测认证要求</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1）产品须符合《玩具安全》系列标准（GB 6675.1~4-2014），包括机械与物理性能、易燃性能、特定元素迁移等要求，提供具有CMA/CNAS标识的第三方检测报告；</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2）微晶木塑料件须符合GB/T 31402-2023标准，抗菌率≥99%（大肠杆菌、金黄色葡萄球菌），提供具有CMA/CNAS标识的第三方检测报告；</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3）微晶木塑料件须符合ISO 16869:2008或GB/T 24128-2018标准，防霉等级不低于1级，提供具有CMA/CNAS标识的第三方检测报告；</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4）微晶木塑料件须符合GB/T 17657-2022标准，甲醛释放量为未检出，提供具有CMA/CNAS标识的第三方检测报告。</w:t>
            </w:r>
          </w:p>
          <w:p>
            <w:pPr>
              <w:pStyle w:val="null3"/>
              <w:spacing w:after="195"/>
            </w:pPr>
            <w:r>
              <w:rPr>
                <w:rFonts w:ascii="仿宋_GB2312" w:hAnsi="仿宋_GB2312" w:cs="仿宋_GB2312" w:eastAsia="仿宋_GB2312"/>
                <w:sz w:val="24"/>
                <w:b/>
              </w:rPr>
              <w:t>4、应用场景</w:t>
            </w:r>
          </w:p>
          <w:p>
            <w:pPr>
              <w:pStyle w:val="null3"/>
              <w:spacing w:after="195"/>
              <w:ind w:firstLine="420"/>
            </w:pPr>
            <w:r>
              <w:rPr>
                <w:rFonts w:ascii="仿宋_GB2312" w:hAnsi="仿宋_GB2312" w:cs="仿宋_GB2312" w:eastAsia="仿宋_GB2312"/>
                <w:sz w:val="24"/>
              </w:rPr>
              <w:t>产品适用于户外运动区、自主游戏区、户外建构区等场景，可开展多种体能游戏和建构活动。</w:t>
            </w:r>
          </w:p>
          <w:p>
            <w:pPr>
              <w:pStyle w:val="null3"/>
              <w:spacing w:after="195"/>
            </w:pPr>
            <w:r>
              <w:rPr>
                <w:rFonts w:ascii="仿宋_GB2312" w:hAnsi="仿宋_GB2312" w:cs="仿宋_GB2312" w:eastAsia="仿宋_GB2312"/>
                <w:sz w:val="24"/>
                <w:b/>
              </w:rPr>
              <w:t>（二）儿童智慧运动系统技术要求</w:t>
            </w:r>
          </w:p>
          <w:p>
            <w:pPr>
              <w:pStyle w:val="null3"/>
              <w:spacing w:after="195"/>
            </w:pPr>
            <w:r>
              <w:rPr>
                <w:rFonts w:ascii="仿宋_GB2312" w:hAnsi="仿宋_GB2312" w:cs="仿宋_GB2312" w:eastAsia="仿宋_GB2312"/>
                <w:sz w:val="24"/>
                <w:b/>
              </w:rPr>
              <w:t>1、体测组合</w:t>
            </w:r>
          </w:p>
          <w:p>
            <w:pPr>
              <w:pStyle w:val="null3"/>
              <w:spacing w:after="195"/>
            </w:pPr>
            <w:r>
              <w:rPr>
                <w:rFonts w:ascii="仿宋_GB2312" w:hAnsi="仿宋_GB2312" w:cs="仿宋_GB2312" w:eastAsia="仿宋_GB2312"/>
                <w:sz w:val="24"/>
                <w:b/>
              </w:rPr>
              <w:t>（</w:t>
            </w:r>
            <w:r>
              <w:rPr>
                <w:rFonts w:ascii="仿宋_GB2312" w:hAnsi="仿宋_GB2312" w:cs="仿宋_GB2312" w:eastAsia="仿宋_GB2312"/>
                <w:sz w:val="24"/>
                <w:b/>
              </w:rPr>
              <w:t>1）平台服务（1年）</w:t>
            </w:r>
          </w:p>
          <w:p>
            <w:pPr>
              <w:pStyle w:val="null3"/>
              <w:spacing w:after="195"/>
              <w:ind w:firstLine="420"/>
            </w:pPr>
            <w:r>
              <w:rPr>
                <w:rFonts w:ascii="仿宋_GB2312" w:hAnsi="仿宋_GB2312" w:cs="仿宋_GB2312" w:eastAsia="仿宋_GB2312"/>
                <w:sz w:val="24"/>
              </w:rPr>
              <w:t>①开通教师端、园长端、家长端账号和密码；</w:t>
            </w:r>
          </w:p>
          <w:p>
            <w:pPr>
              <w:pStyle w:val="null3"/>
              <w:spacing w:after="195"/>
              <w:ind w:firstLine="420"/>
            </w:pPr>
            <w:r>
              <w:rPr>
                <w:rFonts w:ascii="仿宋_GB2312" w:hAnsi="仿宋_GB2312" w:cs="仿宋_GB2312" w:eastAsia="仿宋_GB2312"/>
                <w:sz w:val="24"/>
              </w:rPr>
              <w:t>②幼儿体测数据上传、管理权限；</w:t>
            </w:r>
          </w:p>
          <w:p>
            <w:pPr>
              <w:pStyle w:val="null3"/>
              <w:spacing w:after="195"/>
              <w:ind w:firstLine="420"/>
            </w:pPr>
            <w:r>
              <w:rPr>
                <w:rFonts w:ascii="仿宋_GB2312" w:hAnsi="仿宋_GB2312" w:cs="仿宋_GB2312" w:eastAsia="仿宋_GB2312"/>
                <w:sz w:val="24"/>
              </w:rPr>
              <w:t>③幼儿测试报告查询功能；</w:t>
            </w:r>
          </w:p>
          <w:p>
            <w:pPr>
              <w:pStyle w:val="null3"/>
              <w:spacing w:after="195"/>
              <w:ind w:firstLine="420"/>
            </w:pPr>
            <w:r>
              <w:rPr>
                <w:rFonts w:ascii="仿宋_GB2312" w:hAnsi="仿宋_GB2312" w:cs="仿宋_GB2312" w:eastAsia="仿宋_GB2312"/>
                <w:sz w:val="24"/>
              </w:rPr>
              <w:t>④智能推荐家庭亲子运动游戏视频；</w:t>
            </w:r>
          </w:p>
          <w:p>
            <w:pPr>
              <w:pStyle w:val="null3"/>
              <w:spacing w:after="195"/>
              <w:ind w:firstLine="420"/>
            </w:pPr>
            <w:r>
              <w:rPr>
                <w:rFonts w:ascii="仿宋_GB2312" w:hAnsi="仿宋_GB2312" w:cs="仿宋_GB2312" w:eastAsia="仿宋_GB2312"/>
                <w:sz w:val="24"/>
              </w:rPr>
              <w:t>⑤生成个人报告、班级报告、年级报告、园所报告。</w:t>
            </w:r>
          </w:p>
          <w:p>
            <w:pPr>
              <w:pStyle w:val="null3"/>
              <w:spacing w:after="195"/>
            </w:pPr>
            <w:r>
              <w:rPr>
                <w:rFonts w:ascii="仿宋_GB2312" w:hAnsi="仿宋_GB2312" w:cs="仿宋_GB2312" w:eastAsia="仿宋_GB2312"/>
                <w:sz w:val="24"/>
                <w:b/>
              </w:rPr>
              <w:t>（</w:t>
            </w:r>
            <w:r>
              <w:rPr>
                <w:rFonts w:ascii="仿宋_GB2312" w:hAnsi="仿宋_GB2312" w:cs="仿宋_GB2312" w:eastAsia="仿宋_GB2312"/>
                <w:sz w:val="24"/>
                <w:b/>
              </w:rPr>
              <w:t>2）技术架构</w:t>
            </w:r>
          </w:p>
          <w:p>
            <w:pPr>
              <w:pStyle w:val="null3"/>
              <w:spacing w:after="195"/>
              <w:ind w:firstLine="420"/>
            </w:pPr>
            <w:r>
              <w:rPr>
                <w:rFonts w:ascii="仿宋_GB2312" w:hAnsi="仿宋_GB2312" w:cs="仿宋_GB2312" w:eastAsia="仿宋_GB2312"/>
                <w:sz w:val="24"/>
              </w:rPr>
              <w:t>①应用架构：springboot，阿里云部署；</w:t>
            </w:r>
          </w:p>
          <w:p>
            <w:pPr>
              <w:pStyle w:val="null3"/>
              <w:spacing w:after="195"/>
              <w:ind w:firstLine="420"/>
            </w:pPr>
            <w:r>
              <w:rPr>
                <w:rFonts w:ascii="仿宋_GB2312" w:hAnsi="仿宋_GB2312" w:cs="仿宋_GB2312" w:eastAsia="仿宋_GB2312"/>
                <w:sz w:val="24"/>
              </w:rPr>
              <w:t>②开放Web Service API接口；</w:t>
            </w:r>
          </w:p>
          <w:p>
            <w:pPr>
              <w:pStyle w:val="null3"/>
              <w:spacing w:after="195"/>
              <w:ind w:firstLine="420"/>
            </w:pPr>
            <w:r>
              <w:rPr>
                <w:rFonts w:ascii="仿宋_GB2312" w:hAnsi="仿宋_GB2312" w:cs="仿宋_GB2312" w:eastAsia="仿宋_GB2312"/>
                <w:sz w:val="24"/>
              </w:rPr>
              <w:t>③关键功能平均响应时间&lt;200ms，最长&lt;3s；</w:t>
            </w:r>
          </w:p>
          <w:p>
            <w:pPr>
              <w:pStyle w:val="null3"/>
              <w:spacing w:after="195"/>
              <w:ind w:firstLine="420"/>
            </w:pPr>
            <w:r>
              <w:rPr>
                <w:rFonts w:ascii="仿宋_GB2312" w:hAnsi="仿宋_GB2312" w:cs="仿宋_GB2312" w:eastAsia="仿宋_GB2312"/>
                <w:sz w:val="24"/>
              </w:rPr>
              <w:t>④满负荷每秒处理请求&gt;1000次；</w:t>
            </w:r>
          </w:p>
          <w:p>
            <w:pPr>
              <w:pStyle w:val="null3"/>
              <w:spacing w:after="195"/>
              <w:ind w:firstLine="420"/>
            </w:pPr>
            <w:r>
              <w:rPr>
                <w:rFonts w:ascii="仿宋_GB2312" w:hAnsi="仿宋_GB2312" w:cs="仿宋_GB2312" w:eastAsia="仿宋_GB2312"/>
                <w:sz w:val="24"/>
              </w:rPr>
              <w:t>⑤可用性&gt;99.9%；</w:t>
            </w:r>
          </w:p>
          <w:p>
            <w:pPr>
              <w:pStyle w:val="null3"/>
              <w:spacing w:after="195"/>
              <w:ind w:firstLine="420"/>
            </w:pPr>
            <w:r>
              <w:rPr>
                <w:rFonts w:ascii="仿宋_GB2312" w:hAnsi="仿宋_GB2312" w:cs="仿宋_GB2312" w:eastAsia="仿宋_GB2312"/>
                <w:sz w:val="24"/>
              </w:rPr>
              <w:t>⑥平均故障间隔时间&gt;2000小时；</w:t>
            </w:r>
          </w:p>
          <w:p>
            <w:pPr>
              <w:pStyle w:val="null3"/>
              <w:spacing w:after="195"/>
              <w:ind w:firstLine="420"/>
            </w:pPr>
            <w:r>
              <w:rPr>
                <w:rFonts w:ascii="仿宋_GB2312" w:hAnsi="仿宋_GB2312" w:cs="仿宋_GB2312" w:eastAsia="仿宋_GB2312"/>
                <w:sz w:val="24"/>
              </w:rPr>
              <w:t>⑦数据安全：HTTPS SSL RSA256位加密，每日备份保留30天。</w:t>
            </w:r>
          </w:p>
          <w:p>
            <w:pPr>
              <w:pStyle w:val="null3"/>
              <w:spacing w:after="195"/>
            </w:pPr>
            <w:r>
              <w:rPr>
                <w:rFonts w:ascii="仿宋_GB2312" w:hAnsi="仿宋_GB2312" w:cs="仿宋_GB2312" w:eastAsia="仿宋_GB2312"/>
                <w:sz w:val="24"/>
                <w:b/>
              </w:rPr>
              <w:t>（</w:t>
            </w:r>
            <w:r>
              <w:rPr>
                <w:rFonts w:ascii="仿宋_GB2312" w:hAnsi="仿宋_GB2312" w:cs="仿宋_GB2312" w:eastAsia="仿宋_GB2312"/>
                <w:sz w:val="24"/>
                <w:b/>
              </w:rPr>
              <w:t>3）主要配件</w:t>
            </w:r>
          </w:p>
          <w:p>
            <w:pPr>
              <w:pStyle w:val="null3"/>
              <w:spacing w:after="195"/>
              <w:ind w:firstLine="420"/>
            </w:pPr>
            <w:r>
              <w:rPr>
                <w:rFonts w:ascii="仿宋_GB2312" w:hAnsi="仿宋_GB2312" w:cs="仿宋_GB2312" w:eastAsia="仿宋_GB2312"/>
                <w:sz w:val="24"/>
              </w:rPr>
              <w:t>①电子握力计：高密度环保工程塑料，19cm*12cm*3cm，1个；</w:t>
            </w:r>
          </w:p>
          <w:p>
            <w:pPr>
              <w:pStyle w:val="null3"/>
              <w:spacing w:after="195"/>
              <w:ind w:firstLine="420"/>
            </w:pPr>
            <w:r>
              <w:rPr>
                <w:rFonts w:ascii="仿宋_GB2312" w:hAnsi="仿宋_GB2312" w:cs="仿宋_GB2312" w:eastAsia="仿宋_GB2312"/>
                <w:sz w:val="24"/>
              </w:rPr>
              <w:t>②跳远垫：高密度环保橡胶，183cm*68cm*0.6cm，1个；</w:t>
            </w:r>
          </w:p>
          <w:p>
            <w:pPr>
              <w:pStyle w:val="null3"/>
              <w:spacing w:after="195"/>
              <w:ind w:firstLine="420"/>
            </w:pPr>
            <w:r>
              <w:rPr>
                <w:rFonts w:ascii="仿宋_GB2312" w:hAnsi="仿宋_GB2312" w:cs="仿宋_GB2312" w:eastAsia="仿宋_GB2312"/>
                <w:sz w:val="24"/>
              </w:rPr>
              <w:t>③坐位体前屈：高密度木质+铝合金钢尺，61cm*25cm*23cm，1个；</w:t>
            </w:r>
          </w:p>
          <w:p>
            <w:pPr>
              <w:pStyle w:val="null3"/>
              <w:spacing w:after="195"/>
              <w:ind w:firstLine="420"/>
            </w:pPr>
            <w:r>
              <w:rPr>
                <w:rFonts w:ascii="仿宋_GB2312" w:hAnsi="仿宋_GB2312" w:cs="仿宋_GB2312" w:eastAsia="仿宋_GB2312"/>
                <w:sz w:val="24"/>
              </w:rPr>
              <w:t>④软方包：优质PU+压缩海绵，10cm*5cm*5cm，1个；</w:t>
            </w:r>
          </w:p>
          <w:p>
            <w:pPr>
              <w:pStyle w:val="null3"/>
              <w:spacing w:after="195"/>
              <w:ind w:firstLine="420"/>
            </w:pPr>
            <w:r>
              <w:rPr>
                <w:rFonts w:ascii="仿宋_GB2312" w:hAnsi="仿宋_GB2312" w:cs="仿宋_GB2312" w:eastAsia="仿宋_GB2312"/>
                <w:sz w:val="24"/>
              </w:rPr>
              <w:t>⑤锥形标志桶：环保ABS，28cm*28cm*50cm（3孔），12个；</w:t>
            </w:r>
          </w:p>
          <w:p>
            <w:pPr>
              <w:pStyle w:val="null3"/>
              <w:spacing w:after="195"/>
              <w:ind w:firstLine="420"/>
            </w:pPr>
            <w:r>
              <w:rPr>
                <w:rFonts w:ascii="仿宋_GB2312" w:hAnsi="仿宋_GB2312" w:cs="仿宋_GB2312" w:eastAsia="仿宋_GB2312"/>
                <w:sz w:val="24"/>
              </w:rPr>
              <w:t>⑥平衡木：进口新西兰松木，100cm*10cm*30cm，3根+4个底座；</w:t>
            </w:r>
          </w:p>
          <w:p>
            <w:pPr>
              <w:pStyle w:val="null3"/>
              <w:spacing w:after="195"/>
              <w:ind w:firstLine="420"/>
            </w:pPr>
            <w:r>
              <w:rPr>
                <w:rFonts w:ascii="仿宋_GB2312" w:hAnsi="仿宋_GB2312" w:cs="仿宋_GB2312" w:eastAsia="仿宋_GB2312"/>
                <w:sz w:val="24"/>
              </w:rPr>
              <w:t>⑦20米卷尺：玻璃纤维，200cm，1个。</w:t>
            </w:r>
          </w:p>
          <w:p>
            <w:pPr>
              <w:pStyle w:val="null3"/>
              <w:spacing w:after="195"/>
            </w:pPr>
            <w:r>
              <w:rPr>
                <w:rFonts w:ascii="仿宋_GB2312" w:hAnsi="仿宋_GB2312" w:cs="仿宋_GB2312" w:eastAsia="仿宋_GB2312"/>
                <w:sz w:val="24"/>
                <w:b/>
              </w:rPr>
              <w:t>2、儿童智慧运动手环</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1）机身尺寸：≤51.5(L)*≤19.77(W)*≤12.35mm，机身颜色：黑色；</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2）表带尺寸：≤14MM，表带颜色：黑色，表带材质：编织表带；</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3）机身材质：ABS+PC，底壳材质：塑料；</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4）屏幕：0.96英寸TFT，80*160分辨率，单点触控；</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5）电池：145毫安，轻度使用10天，中度使用7天，充电约2小时；</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6）芯片：主控JL7012，重力传感器SC7A20，心率/血氧传感器HX3918；</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7）存储：RAM 640KB，FLASH 64M；</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8）马达：扁平钨钢马达；</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9）连接：蓝牙BT5.3 1对多，传输距离10米；</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10）充电：磁吸充电，防水等级IP68；</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11）功能：步数、距离、血压、血氧、心率、卡路里监测。</w:t>
            </w:r>
          </w:p>
          <w:p>
            <w:pPr>
              <w:pStyle w:val="null3"/>
              <w:spacing w:after="195"/>
            </w:pPr>
            <w:r>
              <w:rPr>
                <w:rFonts w:ascii="仿宋_GB2312" w:hAnsi="仿宋_GB2312" w:cs="仿宋_GB2312" w:eastAsia="仿宋_GB2312"/>
                <w:sz w:val="24"/>
                <w:b/>
              </w:rPr>
              <w:t>3、移动数据采集基站</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1）外观尺寸：长≤295mm*宽≤190mm*厚≤63mm(±2mm)；</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2）通过USB Type-C 5V供电和数据双向传输，即插即用；</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3）内置读/写和无线数据传输功能芯片，具有学生信息配置+运动数据采集二合一功能；</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4）4G通信，≥10米移动范围数据传输；</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5）联网自动同步网络时间，确保数据传输时间准确性和唯一性。</w:t>
            </w:r>
          </w:p>
          <w:p>
            <w:pPr>
              <w:pStyle w:val="null3"/>
              <w:spacing w:after="195"/>
            </w:pPr>
            <w:r>
              <w:rPr>
                <w:rFonts w:ascii="仿宋_GB2312" w:hAnsi="仿宋_GB2312" w:cs="仿宋_GB2312" w:eastAsia="仿宋_GB2312"/>
                <w:sz w:val="24"/>
                <w:b/>
              </w:rPr>
              <w:t>4、儿童运动手环充电箱</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1）箱体外部尺寸：长≤520mm*宽≤320mm*高≤160mm；</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2）一体化箱体设计，在不拆手环表带的情况下每层均可放置手环和对手环集中充电，手环存放数量≥32只；</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3）不摘表带整齐排列，随充随取、插拔自由，不损坏手环；</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4）充电过流保护，单一模组异常不影响其他，单个卡座损坏不影响其他。</w:t>
            </w:r>
          </w:p>
          <w:p>
            <w:pPr>
              <w:pStyle w:val="null3"/>
              <w:spacing w:after="195"/>
            </w:pPr>
            <w:r>
              <w:rPr>
                <w:rFonts w:ascii="仿宋_GB2312" w:hAnsi="仿宋_GB2312" w:cs="仿宋_GB2312" w:eastAsia="仿宋_GB2312"/>
                <w:sz w:val="24"/>
                <w:b/>
              </w:rPr>
              <w:t>5、数据驾驶舱</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1）"智慧校园"数据驾驶舱可视化展示系统；</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2）包括数据分析、监控、报告和通信功能；</w:t>
            </w:r>
          </w:p>
          <w:p>
            <w:pPr>
              <w:pStyle w:val="null3"/>
              <w:spacing w:after="195"/>
              <w:ind w:firstLine="420"/>
            </w:pPr>
            <w:r>
              <w:rPr>
                <w:rFonts w:ascii="仿宋_GB2312" w:hAnsi="仿宋_GB2312" w:cs="仿宋_GB2312" w:eastAsia="仿宋_GB2312"/>
                <w:sz w:val="24"/>
              </w:rPr>
              <w:t>（</w:t>
            </w:r>
            <w:r>
              <w:rPr>
                <w:rFonts w:ascii="仿宋_GB2312" w:hAnsi="仿宋_GB2312" w:cs="仿宋_GB2312" w:eastAsia="仿宋_GB2312"/>
                <w:sz w:val="24"/>
              </w:rPr>
              <w:t>3）实现校园资源的优化配置和校园服务的智能化。</w:t>
            </w:r>
          </w:p>
          <w:p>
            <w:pPr>
              <w:pStyle w:val="null3"/>
              <w:spacing w:after="195"/>
            </w:pPr>
            <w:r>
              <w:rPr>
                <w:rFonts w:ascii="仿宋_GB2312" w:hAnsi="仿宋_GB2312" w:cs="仿宋_GB2312" w:eastAsia="仿宋_GB2312"/>
                <w:sz w:val="24"/>
                <w:b/>
              </w:rPr>
              <w:t>（三）核心产品说明</w:t>
            </w:r>
          </w:p>
          <w:p>
            <w:pPr>
              <w:pStyle w:val="null3"/>
              <w:spacing w:after="195"/>
              <w:ind w:firstLine="420"/>
            </w:pPr>
            <w:r>
              <w:rPr>
                <w:rFonts w:ascii="仿宋_GB2312" w:hAnsi="仿宋_GB2312" w:cs="仿宋_GB2312" w:eastAsia="仿宋_GB2312"/>
                <w:sz w:val="24"/>
              </w:rPr>
              <w:t>本项目核心产品为：户外体能游戏组合、儿童智慧运动手环。不同供应商所投核心产品品牌相同时将被视为一家，由此可能导致因有效供应商家数不足而废标的情形出现。</w:t>
            </w:r>
          </w:p>
          <w:p>
            <w:pPr>
              <w:pStyle w:val="null3"/>
              <w:spacing w:after="195"/>
            </w:pPr>
            <w:r>
              <w:rPr>
                <w:rFonts w:ascii="仿宋_GB2312" w:hAnsi="仿宋_GB2312" w:cs="仿宋_GB2312" w:eastAsia="仿宋_GB2312"/>
                <w:sz w:val="24"/>
                <w:b/>
              </w:rPr>
              <w:t>注：</w:t>
            </w:r>
            <w:r>
              <w:rPr>
                <w:rFonts w:ascii="仿宋_GB2312" w:hAnsi="仿宋_GB2312" w:cs="仿宋_GB2312" w:eastAsia="仿宋_GB2312"/>
                <w:sz w:val="24"/>
                <w:b/>
              </w:rPr>
              <w:t>以</w:t>
            </w:r>
            <w:r>
              <w:rPr>
                <w:rFonts w:ascii="仿宋_GB2312" w:hAnsi="仿宋_GB2312" w:cs="仿宋_GB2312" w:eastAsia="仿宋_GB2312"/>
                <w:sz w:val="24"/>
                <w:b/>
              </w:rPr>
              <w:t>上所有</w:t>
            </w:r>
            <w:r>
              <w:rPr>
                <w:rFonts w:ascii="仿宋_GB2312" w:hAnsi="仿宋_GB2312" w:cs="仿宋_GB2312" w:eastAsia="仿宋_GB2312"/>
                <w:sz w:val="24"/>
                <w:b/>
              </w:rPr>
              <w:t>技术参数与性能指标不允许负偏离，其中</w:t>
            </w:r>
            <w:r>
              <w:rPr>
                <w:rFonts w:ascii="仿宋_GB2312" w:hAnsi="仿宋_GB2312" w:cs="仿宋_GB2312" w:eastAsia="仿宋_GB2312"/>
                <w:sz w:val="24"/>
                <w:b/>
              </w:rPr>
              <w:t>★</w:t>
            </w:r>
            <w:r>
              <w:rPr>
                <w:rFonts w:ascii="仿宋_GB2312" w:hAnsi="仿宋_GB2312" w:cs="仿宋_GB2312" w:eastAsia="仿宋_GB2312"/>
                <w:sz w:val="24"/>
                <w:b/>
              </w:rPr>
              <w:t>及</w:t>
            </w:r>
            <w:r>
              <w:rPr>
                <w:rFonts w:ascii="仿宋_GB2312" w:hAnsi="仿宋_GB2312" w:cs="仿宋_GB2312" w:eastAsia="仿宋_GB2312"/>
                <w:sz w:val="24"/>
                <w:b/>
              </w:rPr>
              <w:t>▲</w:t>
            </w:r>
            <w:r>
              <w:rPr>
                <w:rFonts w:ascii="仿宋_GB2312" w:hAnsi="仿宋_GB2312" w:cs="仿宋_GB2312" w:eastAsia="仿宋_GB2312"/>
                <w:sz w:val="24"/>
                <w:b/>
              </w:rPr>
              <w:t>指标必须提供佐证材料证明（包括但不限于产品彩页或技术白皮书或官网截图等）。不满足或</w:t>
            </w:r>
            <w:r>
              <w:rPr>
                <w:rFonts w:ascii="仿宋_GB2312" w:hAnsi="仿宋_GB2312" w:cs="仿宋_GB2312" w:eastAsia="仿宋_GB2312"/>
                <w:sz w:val="24"/>
                <w:b/>
              </w:rPr>
              <w:t>★</w:t>
            </w:r>
            <w:r>
              <w:rPr>
                <w:rFonts w:ascii="仿宋_GB2312" w:hAnsi="仿宋_GB2312" w:cs="仿宋_GB2312" w:eastAsia="仿宋_GB2312"/>
                <w:sz w:val="24"/>
                <w:b/>
              </w:rPr>
              <w:t>及</w:t>
            </w:r>
            <w:r>
              <w:rPr>
                <w:rFonts w:ascii="仿宋_GB2312" w:hAnsi="仿宋_GB2312" w:cs="仿宋_GB2312" w:eastAsia="仿宋_GB2312"/>
                <w:sz w:val="24"/>
                <w:b/>
              </w:rPr>
              <w:t>▲</w:t>
            </w:r>
            <w:r>
              <w:rPr>
                <w:rFonts w:ascii="仿宋_GB2312" w:hAnsi="仿宋_GB2312" w:cs="仿宋_GB2312" w:eastAsia="仿宋_GB2312"/>
                <w:sz w:val="24"/>
                <w:b/>
              </w:rPr>
              <w:t>指标未提供佐证材料视为负偏离，按无效文件处理。</w:t>
            </w:r>
          </w:p>
          <w:p>
            <w:pPr>
              <w:pStyle w:val="null3"/>
              <w:spacing w:after="195"/>
            </w:pPr>
            <w:r>
              <w:rPr>
                <w:rFonts w:ascii="仿宋_GB2312" w:hAnsi="仿宋_GB2312" w:cs="仿宋_GB2312" w:eastAsia="仿宋_GB2312"/>
                <w:sz w:val="28"/>
                <w:b/>
              </w:rPr>
              <w:t>四、服务要求</w:t>
            </w:r>
          </w:p>
          <w:p>
            <w:pPr>
              <w:pStyle w:val="null3"/>
              <w:spacing w:after="195"/>
            </w:pPr>
            <w:r>
              <w:rPr>
                <w:rFonts w:ascii="仿宋_GB2312" w:hAnsi="仿宋_GB2312" w:cs="仿宋_GB2312" w:eastAsia="仿宋_GB2312"/>
                <w:sz w:val="24"/>
                <w:b/>
              </w:rPr>
              <w:t>（一）安装调试服务</w:t>
            </w:r>
          </w:p>
          <w:p>
            <w:pPr>
              <w:pStyle w:val="null3"/>
              <w:spacing w:after="195"/>
              <w:ind w:firstLine="420"/>
            </w:pPr>
            <w:r>
              <w:rPr>
                <w:rFonts w:ascii="仿宋_GB2312" w:hAnsi="仿宋_GB2312" w:cs="仿宋_GB2312" w:eastAsia="仿宋_GB2312"/>
                <w:sz w:val="24"/>
              </w:rPr>
              <w:t>1、供应商须负责所有设备的运输、搬运、安装和调试工作，确保设备正常运行；</w:t>
            </w:r>
          </w:p>
          <w:p>
            <w:pPr>
              <w:pStyle w:val="null3"/>
              <w:spacing w:after="195"/>
              <w:ind w:firstLine="420"/>
            </w:pPr>
            <w:r>
              <w:rPr>
                <w:rFonts w:ascii="仿宋_GB2312" w:hAnsi="仿宋_GB2312" w:cs="仿宋_GB2312" w:eastAsia="仿宋_GB2312"/>
                <w:sz w:val="24"/>
              </w:rPr>
              <w:t>2、安装过程中须做好现场保护，避免损坏场地设施，安装完成后清理现场；</w:t>
            </w:r>
          </w:p>
          <w:p>
            <w:pPr>
              <w:pStyle w:val="null3"/>
              <w:spacing w:after="195"/>
              <w:ind w:firstLine="420"/>
            </w:pPr>
            <w:r>
              <w:rPr>
                <w:rFonts w:ascii="仿宋_GB2312" w:hAnsi="仿宋_GB2312" w:cs="仿宋_GB2312" w:eastAsia="仿宋_GB2312"/>
                <w:sz w:val="24"/>
              </w:rPr>
              <w:t>3、设备安装完成后须进行全面调试，确保各项功能正常运行；</w:t>
            </w:r>
          </w:p>
          <w:p>
            <w:pPr>
              <w:pStyle w:val="null3"/>
              <w:spacing w:after="195"/>
              <w:ind w:firstLine="420"/>
            </w:pPr>
            <w:r>
              <w:rPr>
                <w:rFonts w:ascii="仿宋_GB2312" w:hAnsi="仿宋_GB2312" w:cs="仿宋_GB2312" w:eastAsia="仿宋_GB2312"/>
                <w:sz w:val="24"/>
              </w:rPr>
              <w:t>4、户外体能游戏组合须按照产品说明进行组装和摆放，确保安全稳固。</w:t>
            </w:r>
          </w:p>
          <w:p>
            <w:pPr>
              <w:pStyle w:val="null3"/>
              <w:spacing w:after="195"/>
            </w:pPr>
            <w:r>
              <w:rPr>
                <w:rFonts w:ascii="仿宋_GB2312" w:hAnsi="仿宋_GB2312" w:cs="仿宋_GB2312" w:eastAsia="仿宋_GB2312"/>
                <w:sz w:val="24"/>
                <w:b/>
              </w:rPr>
              <w:t>（二）培训服务</w:t>
            </w:r>
          </w:p>
          <w:p>
            <w:pPr>
              <w:pStyle w:val="null3"/>
              <w:spacing w:after="195"/>
              <w:ind w:firstLine="420"/>
            </w:pPr>
            <w:r>
              <w:rPr>
                <w:rFonts w:ascii="仿宋_GB2312" w:hAnsi="仿宋_GB2312" w:cs="仿宋_GB2312" w:eastAsia="仿宋_GB2312"/>
                <w:sz w:val="24"/>
              </w:rPr>
              <w:t>1、供应商须提供入园培训服务，培训时间不少于1天；</w:t>
            </w:r>
          </w:p>
          <w:p>
            <w:pPr>
              <w:pStyle w:val="null3"/>
              <w:spacing w:after="195"/>
              <w:ind w:firstLine="420"/>
            </w:pPr>
            <w:r>
              <w:rPr>
                <w:rFonts w:ascii="仿宋_GB2312" w:hAnsi="仿宋_GB2312" w:cs="仿宋_GB2312" w:eastAsia="仿宋_GB2312"/>
                <w:sz w:val="24"/>
              </w:rPr>
              <w:t>2、培训内容包括：设备使用方法、维护保养、安全注意事项、教学应用等；</w:t>
            </w:r>
          </w:p>
          <w:p>
            <w:pPr>
              <w:pStyle w:val="null3"/>
              <w:spacing w:after="195"/>
              <w:ind w:firstLine="420"/>
            </w:pPr>
            <w:r>
              <w:rPr>
                <w:rFonts w:ascii="仿宋_GB2312" w:hAnsi="仿宋_GB2312" w:cs="仿宋_GB2312" w:eastAsia="仿宋_GB2312"/>
                <w:sz w:val="24"/>
              </w:rPr>
              <w:t>3、培训对象包括：教师、保育员、管理人员等相关人员；</w:t>
            </w:r>
          </w:p>
          <w:p>
            <w:pPr>
              <w:pStyle w:val="null3"/>
              <w:spacing w:after="195"/>
              <w:ind w:firstLine="420"/>
            </w:pPr>
            <w:r>
              <w:rPr>
                <w:rFonts w:ascii="仿宋_GB2312" w:hAnsi="仿宋_GB2312" w:cs="仿宋_GB2312" w:eastAsia="仿宋_GB2312"/>
                <w:sz w:val="24"/>
              </w:rPr>
              <w:t>4、培训结束后须提供培训资料和操作手册。</w:t>
            </w:r>
          </w:p>
          <w:p>
            <w:pPr>
              <w:pStyle w:val="null3"/>
              <w:spacing w:after="195"/>
            </w:pPr>
            <w:r>
              <w:rPr>
                <w:rFonts w:ascii="仿宋_GB2312" w:hAnsi="仿宋_GB2312" w:cs="仿宋_GB2312" w:eastAsia="仿宋_GB2312"/>
                <w:sz w:val="24"/>
                <w:b/>
              </w:rPr>
              <w:t>（三）售后服务</w:t>
            </w:r>
          </w:p>
          <w:p>
            <w:pPr>
              <w:pStyle w:val="null3"/>
              <w:spacing w:after="195"/>
              <w:ind w:firstLine="420"/>
            </w:pPr>
            <w:r>
              <w:rPr>
                <w:rFonts w:ascii="仿宋_GB2312" w:hAnsi="仿宋_GB2312" w:cs="仿宋_GB2312" w:eastAsia="仿宋_GB2312"/>
                <w:sz w:val="24"/>
              </w:rPr>
              <w:t>1、供应商须提供2小时响应服务，接到故障报修后24小时内到达现场（西安市内），48小时内排除故障；</w:t>
            </w:r>
          </w:p>
          <w:p>
            <w:pPr>
              <w:pStyle w:val="null3"/>
              <w:spacing w:after="195"/>
              <w:ind w:firstLine="420"/>
            </w:pPr>
            <w:r>
              <w:rPr>
                <w:rFonts w:ascii="仿宋_GB2312" w:hAnsi="仿宋_GB2312" w:cs="仿宋_GB2312" w:eastAsia="仿宋_GB2312"/>
                <w:sz w:val="24"/>
              </w:rPr>
              <w:t>2、硬件设备整体质保期不少于1年，平台服务质保期不少于1年，自验收合格之日起计算；</w:t>
            </w:r>
          </w:p>
          <w:p>
            <w:pPr>
              <w:pStyle w:val="null3"/>
              <w:spacing w:after="195"/>
              <w:ind w:firstLine="420"/>
            </w:pPr>
            <w:r>
              <w:rPr>
                <w:rFonts w:ascii="仿宋_GB2312" w:hAnsi="仿宋_GB2312" w:cs="仿宋_GB2312" w:eastAsia="仿宋_GB2312"/>
                <w:sz w:val="24"/>
              </w:rPr>
              <w:t>3、质保期内出现非人为损坏的质量问题，供应商须免费维修或更换；</w:t>
            </w:r>
          </w:p>
          <w:p>
            <w:pPr>
              <w:pStyle w:val="null3"/>
              <w:spacing w:after="195"/>
              <w:ind w:firstLine="420"/>
            </w:pPr>
            <w:r>
              <w:rPr>
                <w:rFonts w:ascii="仿宋_GB2312" w:hAnsi="仿宋_GB2312" w:cs="仿宋_GB2312" w:eastAsia="仿宋_GB2312"/>
                <w:sz w:val="24"/>
              </w:rPr>
              <w:t>4、质保期后供应商须提供终身维修服务，只收取零配件成本费；</w:t>
            </w:r>
          </w:p>
          <w:p>
            <w:pPr>
              <w:pStyle w:val="null3"/>
              <w:spacing w:after="195"/>
              <w:ind w:firstLine="420"/>
            </w:pPr>
            <w:r>
              <w:rPr>
                <w:rFonts w:ascii="仿宋_GB2312" w:hAnsi="仿宋_GB2312" w:cs="仿宋_GB2312" w:eastAsia="仿宋_GB2312"/>
                <w:sz w:val="24"/>
              </w:rPr>
              <w:t>5、供应商须提供技术支持服务，解答使用过程中的问题。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 ：自合同签订之日起30日历日内完成全部供货、安装和调试，并交付采购人验收合格。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 ：采购人指定地点（西安市内）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进度款，全部货物到达指定地点并安装调试、验收合格后，达到付款条件起15个工作日内，支付合同总金额的70.0%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1、按照国家相关标准及合同约定进行验收； 2、设备的名称、规格、型号、数量须与采购清单一致； 3、设备外观完好，包装完整，无破损、变形等情况； 4、设备性能符合技术要求，能够正常使用； 5、供应商须提供产品合格证、质量保证书、检测报告等相关资料。 6、供应商须将投标产品核心部件及核心部件材质横截面样品送至采购单位（幼儿园）封存。产品进场时，须依照封存样品的规格、参数及材质进行比对验收，经确认与样品一致后方可接收。如发现供应商存在以次充好、货不对板等情形的，取消其投标（中标）资格，并按相关规定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1、硬件设备整体质保期不少于1年，平台服务质保期不少于1年，自验收合格之日起计算； 2、质保期内出现非人为损坏的质量问题，供应商须免费维修或更换； 3、质保期后供应商须提供终身维修服务，只收取零配件成本费。</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1、若供应商未能按合同约定工期交货，每逾期一天，应向采购人支付合同总价款0.5‰的违约金；逾期超过15天的，采购人有权解除合同，并要求供应商承担相应的损失赔偿责任； 2、产品质量达不到合同约定标准的，供应商应无偿更换，直至达到合格标准，由此造成的工期延误按逾期交货处理； 3、供应商提供假冒伪劣产品的，须向采购人支付该产品价格十倍的违约金，并承担由此造成的一切损失； 4、运输过程中造成产品损坏的，供应商须负责更换或赔偿； 5、其他违约责任按《中华人民共和国民法典》及相关法律法规执行。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2、具有履行合同所必需的设备和专业技术能力的书面声明（格式详见附件）； 3、有依法缴纳税收和社会保障资金的良好记录（提供开标前12个月内任一月份的社保和缴纳税收的证明，依法不需要缴纳社会保障资金、免税或无须缴纳税款的供应商，应提供相关证明文件)；4、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有效的2024年度或2025年度审计报告（审计报告须具有注册会计师行业统一监管平台https://acc.mof.gov.cn赋予的验证码）（成立时间至提交响应文件截止时间不足一年的可提供成立后任意时段的资产负债表），或提交自开标前六个月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授权合法的人员参加磋商全过程</w:t>
            </w:r>
          </w:p>
        </w:tc>
        <w:tc>
          <w:tcPr>
            <w:tcW w:type="dxa" w:w="3322"/>
          </w:tcPr>
          <w:p>
            <w:pPr>
              <w:pStyle w:val="null3"/>
            </w:pPr>
            <w:r>
              <w:rPr>
                <w:rFonts w:ascii="仿宋_GB2312" w:hAnsi="仿宋_GB2312" w:cs="仿宋_GB2312" w:eastAsia="仿宋_GB2312"/>
              </w:rPr>
              <w:t>法定代表人授权委托书：法定代表人参加磋商的，须提供身份证；法定代表人授权他人参加磋商的，须提供法定代表人授权委托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中小企业声明函 商务条款响应说明(1).docx 报价表 业绩一览表(1).docx 谈判响应方案(1).docx 相关资格证明材料.docx 响应文件封面 分项报价表.docx 残疾人福利性单位声明函 技术指标偏差表(1).docx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中小企业声明函 商务条款响应说明(1).docx 报价表 业绩一览表(1).docx 谈判响应方案(1).docx 相关资格证明材料.docx 响应文件封面 分项报价表.docx 残疾人福利性单位声明函 技术指标偏差表(1).docx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按谈判文件要求报价，不得提交选择性报价，且每轮报价不超过最高限价。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中小企业声明函 商务条款响应说明(1).docx 报价表 业绩一览表(1).docx 谈判响应方案(1).docx 相关资格证明材料.docx 响应文件封面 分项报价表.docx 残疾人福利性单位声明函 技术指标偏差表(1).docx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不存在法律、法规和谈判文件规定的其他无效情形。</w:t>
            </w:r>
          </w:p>
        </w:tc>
        <w:tc>
          <w:tcPr>
            <w:tcW w:type="dxa" w:w="1661"/>
          </w:tcPr>
          <w:p>
            <w:pPr>
              <w:pStyle w:val="null3"/>
            </w:pPr>
            <w:r>
              <w:rPr>
                <w:rFonts w:ascii="仿宋_GB2312" w:hAnsi="仿宋_GB2312" w:cs="仿宋_GB2312" w:eastAsia="仿宋_GB2312"/>
              </w:rPr>
              <w:t>中小企业声明函 商务条款响应说明(1).docx 报价表 业绩一览表(1).docx 谈判响应方案(1).docx 相关资格证明材料.docx 响应文件封面 分项报价表.docx 残疾人福利性单位声明函 技术指标偏差表(1).docx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详见附件：商务条款响应说明(1).docx</w:t>
      </w:r>
    </w:p>
    <w:p>
      <w:pPr>
        <w:pStyle w:val="null3"/>
        <w:ind w:firstLine="960"/>
      </w:pPr>
      <w:r>
        <w:rPr>
          <w:rFonts w:ascii="仿宋_GB2312" w:hAnsi="仿宋_GB2312" w:cs="仿宋_GB2312" w:eastAsia="仿宋_GB2312"/>
        </w:rPr>
        <w:t>详见附件：技术指标偏差表(1).docx</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详见附件：业绩一览表(1).docx</w:t>
      </w:r>
    </w:p>
    <w:p>
      <w:pPr>
        <w:pStyle w:val="null3"/>
        <w:ind w:firstLine="960"/>
      </w:pPr>
      <w:r>
        <w:rPr>
          <w:rFonts w:ascii="仿宋_GB2312" w:hAnsi="仿宋_GB2312" w:cs="仿宋_GB2312" w:eastAsia="仿宋_GB2312"/>
        </w:rPr>
        <w:t>详见附件：谈判响应方案(1).docx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详见附件：合同-融合教育设备.docx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