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版本号：SXRS-20260600120260519001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2026年度街景布置及维护项目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SXRS-202606001</w:t>
      </w:r>
      <w:r>
        <w:br/>
      </w:r>
      <w:r>
        <w:br/>
      </w:r>
      <w:r>
        <w:br/>
      </w:r>
    </w:p>
    <w:p>
      <w:pPr>
        <w:pStyle w:val="null3"/>
        <w:jc w:val="center"/>
        <w:outlineLvl w:val="2"/>
      </w:pPr>
      <w:r>
        <w:rPr>
          <w:rFonts w:ascii="仿宋_GB2312" w:hAnsi="仿宋_GB2312" w:cs="仿宋_GB2312" w:eastAsia="仿宋_GB2312"/>
          <w:sz w:val="28"/>
          <w:b/>
        </w:rPr>
        <w:t>西安市雁塔区城市管理和综合执法局</w:t>
      </w:r>
    </w:p>
    <w:p>
      <w:pPr>
        <w:pStyle w:val="null3"/>
        <w:jc w:val="center"/>
        <w:outlineLvl w:val="2"/>
      </w:pPr>
      <w:r>
        <w:rPr>
          <w:rFonts w:ascii="仿宋_GB2312" w:hAnsi="仿宋_GB2312" w:cs="仿宋_GB2312" w:eastAsia="仿宋_GB2312"/>
          <w:sz w:val="28"/>
          <w:b/>
        </w:rPr>
        <w:t>陕西瑞胜项目管理有限公司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陕西瑞胜项目管理有限公司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西安市雁塔区城市管理和综合执法局</w:t>
      </w:r>
      <w:r>
        <w:rPr>
          <w:rFonts w:ascii="仿宋_GB2312" w:hAnsi="仿宋_GB2312" w:cs="仿宋_GB2312" w:eastAsia="仿宋_GB2312"/>
        </w:rPr>
        <w:t>委托，拟对</w:t>
      </w:r>
      <w:r>
        <w:rPr>
          <w:rFonts w:ascii="仿宋_GB2312" w:hAnsi="仿宋_GB2312" w:cs="仿宋_GB2312" w:eastAsia="仿宋_GB2312"/>
        </w:rPr>
        <w:t>2026年度街景布置及维护项目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SXRS-202606001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2026年度街景布置及维护项目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为保证辖区良好街景氛围，现需对2026年度街景氛围所需花材及设施维护服务进行采购；主要包括在主要节日对重点道路、重要节点的花卉摆放及养护，现有花木箱维修、维护等工作。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采购包1（2026年度街景布置及维护项目）：属于专门面向中小企业采购。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1、营业执照：提供合法有效的统一社会信用代码营业执照（事业单位提供事业单位法人证书，自然人应提供身份证）</w:t>
      </w:r>
    </w:p>
    <w:p>
      <w:pPr>
        <w:pStyle w:val="null3"/>
      </w:pPr>
      <w:r>
        <w:rPr>
          <w:rFonts w:ascii="仿宋_GB2312" w:hAnsi="仿宋_GB2312" w:cs="仿宋_GB2312" w:eastAsia="仿宋_GB2312"/>
        </w:rPr>
        <w:t>2、法定代表人授权委托书：法定代表人授权委托书（附法定代表人身份证复印件及被授权人身份证复印件）；法定代表人直接参加磋商只需提供法定代表人身份证明书（附法定代表人身份证复印件）</w:t>
      </w:r>
    </w:p>
    <w:p>
      <w:pPr>
        <w:pStyle w:val="null3"/>
      </w:pPr>
      <w:r>
        <w:rPr>
          <w:rFonts w:ascii="仿宋_GB2312" w:hAnsi="仿宋_GB2312" w:cs="仿宋_GB2312" w:eastAsia="仿宋_GB2312"/>
        </w:rPr>
        <w:t>3、审计报告：提供2024或2025年度的审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4、社保证明：提供投标截止时间前十二个月内至少一个月的社会保障资金缴存单据或社保机构开具的社会保险参保缴费情况证明，依法不需要缴纳社会保障资金的单位应提供相关证明材料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5、纳税证明：提供投标截止时间前十二个月内至少一个月的纳税证明或完税证明（任意税种，个人所得税除外），依法免税的单位应提供相关证明材料</w:t>
      </w:r>
    </w:p>
    <w:p>
      <w:pPr>
        <w:pStyle w:val="null3"/>
      </w:pPr>
      <w:r>
        <w:rPr>
          <w:rFonts w:ascii="仿宋_GB2312" w:hAnsi="仿宋_GB2312" w:cs="仿宋_GB2312" w:eastAsia="仿宋_GB2312"/>
        </w:rPr>
        <w:t>6、信用：参加政府采购活动前3年内，在经营活动中没有重大违法记录的书面声明。参加政府采购活动前3年内，在经营活动中没有重大违法记录的书面声明。不得为信用中国”网站（www.creditchina.gov.cn）中重大税收违法失信主体名单的供应商，不得为“中国执行信息公开网”网站（zxgk.court.gov.cn/shixin/）”中列入失信被执行人的供应商，不得为“中国政府采购网”网站（www.ccgp.gov.cn）政府采购严重违法失信行为记录名单中被财政部门禁止参加政府采购活动的供应商。</w:t>
      </w:r>
    </w:p>
    <w:p>
      <w:pPr>
        <w:pStyle w:val="null3"/>
      </w:pPr>
      <w:r>
        <w:rPr>
          <w:rFonts w:ascii="仿宋_GB2312" w:hAnsi="仿宋_GB2312" w:cs="仿宋_GB2312" w:eastAsia="仿宋_GB2312"/>
        </w:rPr>
        <w:t>7、本项目不接受联合体磋商：本项目不接受联合体磋商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西安市雁塔区东仪路176号东仪厂院内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张宸瑜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029-89313912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陕西瑞胜项目管理有限公司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陕西省西安市未央区太华北路锦园国际广场2201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冯小小、田莎莎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17782531755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印发的《招标代理服务收费管理暂行办法》（计价格〔2002〕1980号）和国家发展和改革委员会办公厅印发的《关于招标代理服务收费有关问题的通知》（发改办价格〔2003〕857号）的有关规定，标准收取。 （2）成交单位在结果公告发布之日起3个工作日内，须向采购代理机构一次性支付招标代理服务费。 （3）代理服务费收款账户：银行户名：陕西瑞胜项目管理有限公司，开户银行：中国工商银行股份有限公司西安经济技术开发区支行，账号：3700000609200475719（转账时需备注项目编号）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西安市雁塔区城市管理和综合执法局</w:t>
      </w:r>
      <w:r>
        <w:rPr>
          <w:rFonts w:ascii="仿宋_GB2312" w:hAnsi="仿宋_GB2312" w:cs="仿宋_GB2312" w:eastAsia="仿宋_GB2312"/>
        </w:rPr>
        <w:t>和</w:t>
      </w:r>
      <w:r>
        <w:rPr>
          <w:rFonts w:ascii="仿宋_GB2312" w:hAnsi="仿宋_GB2312" w:cs="仿宋_GB2312" w:eastAsia="仿宋_GB2312"/>
        </w:rPr>
        <w:t>陕西瑞胜项目管理有限公司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陕西瑞胜项目管理有限公司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陕西瑞胜项目管理有限公司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供应商应认真按照国家颁发的施工验收规范要求进行安装、养护工作，完工需经甲方和监理单位、供应商共同验收。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陕西瑞胜项目管理有限公司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陕西瑞胜项目管理有限公司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陕西瑞胜项目管理有限公司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联系人：冯工</w:t>
      </w:r>
    </w:p>
    <w:p>
      <w:pPr>
        <w:pStyle w:val="null3"/>
      </w:pPr>
      <w:r>
        <w:rPr>
          <w:rFonts w:ascii="仿宋_GB2312" w:hAnsi="仿宋_GB2312" w:cs="仿宋_GB2312" w:eastAsia="仿宋_GB2312"/>
        </w:rPr>
        <w:t>联系电话：17782531755</w:t>
      </w:r>
    </w:p>
    <w:p>
      <w:pPr>
        <w:pStyle w:val="null3"/>
      </w:pPr>
      <w:r>
        <w:rPr>
          <w:rFonts w:ascii="仿宋_GB2312" w:hAnsi="仿宋_GB2312" w:cs="仿宋_GB2312" w:eastAsia="仿宋_GB2312"/>
        </w:rPr>
        <w:t>地址：陕西省西安市未央区太华北路锦园国际广场2201</w:t>
      </w:r>
    </w:p>
    <w:p>
      <w:pPr>
        <w:pStyle w:val="null3"/>
      </w:pPr>
      <w:r>
        <w:rPr>
          <w:rFonts w:ascii="仿宋_GB2312" w:hAnsi="仿宋_GB2312" w:cs="仿宋_GB2312" w:eastAsia="仿宋_GB2312"/>
        </w:rPr>
        <w:t>邮编：710038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为保证辖区良好街景氛围，现需对2026年度街景氛围所需花材及设施维护服务进⾏采购。主要包括在主要节⽇对重点道路、重要节点的花卉摆放及养护，现有花⽊箱维修、维护等⼯作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2026年度街景布置及维护项目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标的名称：2026年度街景布置及维护项目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项目概况</w:t>
            </w:r>
          </w:p>
          <w:p>
            <w:pPr>
              <w:pStyle w:val="null3"/>
              <w:ind w:firstLine="480"/>
            </w:pPr>
            <w:r>
              <w:rPr>
                <w:rFonts w:ascii="仿宋_GB2312" w:hAnsi="仿宋_GB2312" w:cs="仿宋_GB2312" w:eastAsia="仿宋_GB2312"/>
              </w:rPr>
              <w:t>为保证辖区良好街景氛围，现需对</w:t>
            </w:r>
            <w:r>
              <w:rPr>
                <w:rFonts w:ascii="仿宋_GB2312" w:hAnsi="仿宋_GB2312" w:cs="仿宋_GB2312" w:eastAsia="仿宋_GB2312"/>
              </w:rPr>
              <w:t>2026年度街景氛围所需花材及设施维护服务进行采购；主要包括在主要节日对重点道路、重要节点的花卉摆放及养护，现有花木箱维修、维护等工作。</w:t>
            </w:r>
          </w:p>
          <w:p>
            <w:pPr>
              <w:pStyle w:val="null3"/>
              <w:ind w:firstLine="400"/>
              <w:jc w:val="both"/>
            </w:pPr>
            <w:r>
              <w:rPr>
                <w:rFonts w:ascii="仿宋_GB2312" w:hAnsi="仿宋_GB2312" w:cs="仿宋_GB2312" w:eastAsia="仿宋_GB2312"/>
                <w:sz w:val="20"/>
              </w:rPr>
              <w:t>二、摆花方案</w:t>
            </w:r>
          </w:p>
          <w:p>
            <w:pPr>
              <w:pStyle w:val="null3"/>
              <w:ind w:firstLine="400"/>
              <w:jc w:val="both"/>
            </w:pPr>
            <w:r>
              <w:rPr>
                <w:rFonts w:ascii="仿宋_GB2312" w:hAnsi="仿宋_GB2312" w:cs="仿宋_GB2312" w:eastAsia="仿宋_GB2312"/>
                <w:sz w:val="20"/>
              </w:rPr>
              <w:t>1、雁塔北路、</w:t>
            </w:r>
            <w:r>
              <w:rPr>
                <w:rFonts w:ascii="仿宋_GB2312" w:hAnsi="仿宋_GB2312" w:cs="仿宋_GB2312" w:eastAsia="仿宋_GB2312"/>
                <w:sz w:val="20"/>
              </w:rPr>
              <w:t>古韵广场、雁塔西路三处节点（雁塔西路与翠华路中央分车带，长安路与雁塔西路十字</w:t>
            </w:r>
            <w:r>
              <w:rPr>
                <w:rFonts w:ascii="仿宋_GB2312" w:hAnsi="仿宋_GB2312" w:cs="仿宋_GB2312" w:eastAsia="仿宋_GB2312"/>
                <w:sz w:val="20"/>
              </w:rPr>
              <w:t>4个角地面花坛。雁塔西路与朱雀路十字3个角。）</w:t>
            </w:r>
            <w:r>
              <w:rPr>
                <w:rFonts w:ascii="仿宋_GB2312" w:hAnsi="仿宋_GB2312" w:cs="仿宋_GB2312" w:eastAsia="仿宋_GB2312"/>
                <w:sz w:val="20"/>
              </w:rPr>
              <w:t>全年</w:t>
            </w:r>
            <w:r>
              <w:rPr>
                <w:rFonts w:ascii="仿宋_GB2312" w:hAnsi="仿宋_GB2312" w:cs="仿宋_GB2312" w:eastAsia="仿宋_GB2312"/>
                <w:sz w:val="20"/>
              </w:rPr>
              <w:t>五一、十一</w:t>
            </w:r>
            <w:r>
              <w:rPr>
                <w:rFonts w:ascii="仿宋_GB2312" w:hAnsi="仿宋_GB2312" w:cs="仿宋_GB2312" w:eastAsia="仿宋_GB2312"/>
                <w:sz w:val="20"/>
              </w:rPr>
              <w:t>两次摆放鲜花，摆放区域为：雁塔北路北侧宽中央绿化带</w:t>
            </w:r>
            <w:r>
              <w:rPr>
                <w:rFonts w:ascii="仿宋_GB2312" w:hAnsi="仿宋_GB2312" w:cs="仿宋_GB2312" w:eastAsia="仿宋_GB2312"/>
                <w:sz w:val="20"/>
              </w:rPr>
              <w:t>2</w:t>
            </w:r>
            <w:r>
              <w:rPr>
                <w:rFonts w:ascii="仿宋_GB2312" w:hAnsi="仿宋_GB2312" w:cs="仿宋_GB2312" w:eastAsia="仿宋_GB2312"/>
                <w:sz w:val="20"/>
              </w:rPr>
              <w:t>40</w:t>
            </w:r>
            <w:r>
              <w:rPr>
                <w:rFonts w:ascii="仿宋_GB2312" w:hAnsi="仿宋_GB2312" w:cs="仿宋_GB2312" w:eastAsia="仿宋_GB2312"/>
                <w:sz w:val="20"/>
              </w:rPr>
              <w:t>㎡，</w:t>
            </w:r>
            <w:r>
              <w:rPr>
                <w:rFonts w:ascii="仿宋_GB2312" w:hAnsi="仿宋_GB2312" w:cs="仿宋_GB2312" w:eastAsia="仿宋_GB2312"/>
                <w:sz w:val="20"/>
              </w:rPr>
              <w:t>古韵广场</w:t>
            </w:r>
            <w:r>
              <w:rPr>
                <w:rFonts w:ascii="仿宋_GB2312" w:hAnsi="仿宋_GB2312" w:cs="仿宋_GB2312" w:eastAsia="仿宋_GB2312"/>
                <w:sz w:val="20"/>
              </w:rPr>
              <w:t>190㎡，雁塔西路与翠华路中央分车带50㎡，雁塔西路与长安路十字4个角地面花坛120㎡，雁塔西路与朱雀路十字3个角花坛40㎡，合计</w:t>
            </w:r>
            <w:r>
              <w:rPr>
                <w:rFonts w:ascii="仿宋_GB2312" w:hAnsi="仿宋_GB2312" w:cs="仿宋_GB2312" w:eastAsia="仿宋_GB2312"/>
                <w:sz w:val="20"/>
              </w:rPr>
              <w:t>摆放鲜花面积</w:t>
            </w:r>
            <w:r>
              <w:rPr>
                <w:rFonts w:ascii="仿宋_GB2312" w:hAnsi="仿宋_GB2312" w:cs="仿宋_GB2312" w:eastAsia="仿宋_GB2312"/>
                <w:sz w:val="20"/>
              </w:rPr>
              <w:t>640</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2、博物馆门口花坛、区政府门口两侧绿地内摆花。五一、</w:t>
            </w:r>
            <w:r>
              <w:rPr>
                <w:rFonts w:ascii="仿宋_GB2312" w:hAnsi="仿宋_GB2312" w:cs="仿宋_GB2312" w:eastAsia="仿宋_GB2312"/>
                <w:sz w:val="20"/>
              </w:rPr>
              <w:t>七一、</w:t>
            </w:r>
            <w:r>
              <w:rPr>
                <w:rFonts w:ascii="仿宋_GB2312" w:hAnsi="仿宋_GB2312" w:cs="仿宋_GB2312" w:eastAsia="仿宋_GB2312"/>
                <w:sz w:val="20"/>
              </w:rPr>
              <w:t>国庆节日摆放鲜花。小寨东路陕博门口花坛内摆放鲜花面积</w:t>
            </w:r>
            <w:r>
              <w:rPr>
                <w:rFonts w:ascii="仿宋_GB2312" w:hAnsi="仿宋_GB2312" w:cs="仿宋_GB2312" w:eastAsia="仿宋_GB2312"/>
                <w:sz w:val="20"/>
              </w:rPr>
              <w:t>40</w:t>
            </w:r>
            <w:r>
              <w:rPr>
                <w:rFonts w:ascii="仿宋_GB2312" w:hAnsi="仿宋_GB2312" w:cs="仿宋_GB2312" w:eastAsia="仿宋_GB2312"/>
                <w:sz w:val="20"/>
              </w:rPr>
              <w:t>㎡，小寨</w:t>
            </w:r>
            <w:r>
              <w:rPr>
                <w:rFonts w:ascii="仿宋_GB2312" w:hAnsi="仿宋_GB2312" w:cs="仿宋_GB2312" w:eastAsia="仿宋_GB2312"/>
                <w:sz w:val="20"/>
              </w:rPr>
              <w:t>十字东西中央绿化带</w:t>
            </w:r>
            <w:r>
              <w:rPr>
                <w:rFonts w:ascii="仿宋_GB2312" w:hAnsi="仿宋_GB2312" w:cs="仿宋_GB2312" w:eastAsia="仿宋_GB2312"/>
                <w:sz w:val="20"/>
              </w:rPr>
              <w:t>花坛</w:t>
            </w:r>
            <w:r>
              <w:rPr>
                <w:rFonts w:ascii="仿宋_GB2312" w:hAnsi="仿宋_GB2312" w:cs="仿宋_GB2312" w:eastAsia="仿宋_GB2312"/>
                <w:sz w:val="20"/>
              </w:rPr>
              <w:t>35㎡，合计摆放鲜花面积</w:t>
            </w:r>
            <w:r>
              <w:rPr>
                <w:rFonts w:ascii="仿宋_GB2312" w:hAnsi="仿宋_GB2312" w:cs="仿宋_GB2312" w:eastAsia="仿宋_GB2312"/>
                <w:sz w:val="20"/>
              </w:rPr>
              <w:t>75</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3、小寨东西路花镜花箱28个，局大门口6个，共34个，</w:t>
            </w:r>
            <w:r>
              <w:rPr>
                <w:rFonts w:ascii="仿宋_GB2312" w:hAnsi="仿宋_GB2312" w:cs="仿宋_GB2312" w:eastAsia="仿宋_GB2312"/>
                <w:sz w:val="20"/>
              </w:rPr>
              <w:t>50</w:t>
            </w:r>
            <w:r>
              <w:rPr>
                <w:rFonts w:ascii="仿宋_GB2312" w:hAnsi="仿宋_GB2312" w:cs="仿宋_GB2312" w:eastAsia="仿宋_GB2312"/>
                <w:sz w:val="20"/>
              </w:rPr>
              <w:t>㎡；小寨天桥组合花箱</w:t>
            </w:r>
            <w:r>
              <w:rPr>
                <w:rFonts w:ascii="仿宋_GB2312" w:hAnsi="仿宋_GB2312" w:cs="仿宋_GB2312" w:eastAsia="仿宋_GB2312"/>
                <w:sz w:val="20"/>
              </w:rPr>
              <w:t>12组，摆花面积28.8㎡。全年摆花</w:t>
            </w:r>
            <w:r>
              <w:rPr>
                <w:rFonts w:ascii="仿宋_GB2312" w:hAnsi="仿宋_GB2312" w:cs="仿宋_GB2312" w:eastAsia="仿宋_GB2312"/>
                <w:sz w:val="20"/>
              </w:rPr>
              <w:t>3</w:t>
            </w:r>
            <w:r>
              <w:rPr>
                <w:rFonts w:ascii="仿宋_GB2312" w:hAnsi="仿宋_GB2312" w:cs="仿宋_GB2312" w:eastAsia="仿宋_GB2312"/>
                <w:sz w:val="20"/>
              </w:rPr>
              <w:t>次。</w:t>
            </w:r>
          </w:p>
          <w:p>
            <w:pPr>
              <w:pStyle w:val="null3"/>
              <w:ind w:firstLine="400"/>
              <w:jc w:val="both"/>
            </w:pPr>
            <w:r>
              <w:rPr>
                <w:rFonts w:ascii="仿宋_GB2312" w:hAnsi="仿宋_GB2312" w:cs="仿宋_GB2312" w:eastAsia="仿宋_GB2312"/>
                <w:sz w:val="20"/>
              </w:rPr>
              <w:t>4、烈士陵园9.30公祭摆花</w:t>
            </w:r>
          </w:p>
          <w:p>
            <w:pPr>
              <w:pStyle w:val="null3"/>
              <w:ind w:firstLine="400"/>
              <w:jc w:val="both"/>
            </w:pPr>
            <w:r>
              <w:rPr>
                <w:rFonts w:ascii="仿宋_GB2312" w:hAnsi="仿宋_GB2312" w:cs="仿宋_GB2312" w:eastAsia="仿宋_GB2312"/>
                <w:sz w:val="20"/>
              </w:rPr>
              <w:t>5、小寨路沿线花箱及其它花箱养护：徐家庄至大雁塔北广场，护栏花箱176个，面积</w:t>
            </w:r>
            <w:r>
              <w:rPr>
                <w:rFonts w:ascii="仿宋_GB2312" w:hAnsi="仿宋_GB2312" w:cs="仿宋_GB2312" w:eastAsia="仿宋_GB2312"/>
                <w:sz w:val="20"/>
              </w:rPr>
              <w:t>88㎡</w:t>
            </w:r>
            <w:r>
              <w:rPr>
                <w:rFonts w:ascii="仿宋_GB2312" w:hAnsi="仿宋_GB2312" w:cs="仿宋_GB2312" w:eastAsia="仿宋_GB2312"/>
                <w:sz w:val="20"/>
              </w:rPr>
              <w:t>；亮晶女贞球</w:t>
            </w:r>
            <w:r>
              <w:rPr>
                <w:rFonts w:ascii="仿宋_GB2312" w:hAnsi="仿宋_GB2312" w:cs="仿宋_GB2312" w:eastAsia="仿宋_GB2312"/>
                <w:sz w:val="20"/>
              </w:rPr>
              <w:t>135盆；长安南路花车46个，钻石花箱10个，</w:t>
            </w:r>
            <w:r>
              <w:rPr>
                <w:rFonts w:ascii="仿宋_GB2312" w:hAnsi="仿宋_GB2312" w:cs="仿宋_GB2312" w:eastAsia="仿宋_GB2312"/>
                <w:sz w:val="20"/>
              </w:rPr>
              <w:t>56㎡</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三、服务要求</w:t>
            </w:r>
          </w:p>
          <w:p>
            <w:pPr>
              <w:pStyle w:val="null3"/>
              <w:ind w:firstLine="400"/>
              <w:jc w:val="both"/>
            </w:pPr>
            <w:r>
              <w:rPr>
                <w:rFonts w:ascii="仿宋_GB2312" w:hAnsi="仿宋_GB2312" w:cs="仿宋_GB2312" w:eastAsia="仿宋_GB2312"/>
                <w:sz w:val="20"/>
              </w:rPr>
              <w:t xml:space="preserve"> </w:t>
            </w:r>
            <w:r>
              <w:rPr>
                <w:rFonts w:ascii="仿宋_GB2312" w:hAnsi="仿宋_GB2312" w:cs="仿宋_GB2312" w:eastAsia="仿宋_GB2312"/>
                <w:sz w:val="20"/>
              </w:rPr>
              <w:t>各节点花卉供应摆放时间为：本年度建党节、</w:t>
            </w:r>
            <w:r>
              <w:rPr>
                <w:rFonts w:ascii="仿宋_GB2312" w:hAnsi="仿宋_GB2312" w:cs="仿宋_GB2312" w:eastAsia="仿宋_GB2312"/>
                <w:sz w:val="20"/>
              </w:rPr>
              <w:t>“9.30”公祭、“10.1”国庆节、“5.1”（跨年度）及部分点位全年日常用花，具体布置时间由采购人通知确定。</w:t>
            </w:r>
          </w:p>
          <w:p>
            <w:pPr>
              <w:pStyle w:val="null3"/>
              <w:ind w:firstLine="400"/>
              <w:jc w:val="both"/>
            </w:pPr>
            <w:r>
              <w:rPr>
                <w:rFonts w:ascii="仿宋_GB2312" w:hAnsi="仿宋_GB2312" w:cs="仿宋_GB2312" w:eastAsia="仿宋_GB2312"/>
                <w:sz w:val="20"/>
              </w:rPr>
              <w:t>每次花卉供货期为</w:t>
            </w:r>
            <w:r>
              <w:rPr>
                <w:rFonts w:ascii="仿宋_GB2312" w:hAnsi="仿宋_GB2312" w:cs="仿宋_GB2312" w:eastAsia="仿宋_GB2312"/>
                <w:sz w:val="20"/>
              </w:rPr>
              <w:t>3天，根据花材种类及生长习性的不同，养护期为45-120天不等（以现场甲方负责人及监理现场签认时间开始之日起计养护期）。</w:t>
            </w:r>
          </w:p>
          <w:p>
            <w:pPr>
              <w:pStyle w:val="null3"/>
              <w:ind w:firstLine="400"/>
              <w:jc w:val="both"/>
            </w:pPr>
            <w:r>
              <w:rPr>
                <w:rFonts w:ascii="仿宋_GB2312" w:hAnsi="仿宋_GB2312" w:cs="仿宋_GB2312" w:eastAsia="仿宋_GB2312"/>
                <w:sz w:val="20"/>
              </w:rPr>
              <w:t>在养护期内花卉若出现品相不好、长势不良、缺株甚至死亡等质量问题，达不到美化效果时，供应商必须无条件更换。</w:t>
            </w:r>
          </w:p>
          <w:p>
            <w:pPr>
              <w:pStyle w:val="null3"/>
              <w:ind w:firstLine="400"/>
              <w:jc w:val="both"/>
            </w:pPr>
            <w:r>
              <w:rPr>
                <w:rFonts w:ascii="仿宋_GB2312" w:hAnsi="仿宋_GB2312" w:cs="仿宋_GB2312" w:eastAsia="仿宋_GB2312"/>
                <w:sz w:val="20"/>
              </w:rPr>
              <w:t>四</w:t>
            </w:r>
            <w:r>
              <w:rPr>
                <w:rFonts w:ascii="仿宋_GB2312" w:hAnsi="仿宋_GB2312" w:cs="仿宋_GB2312" w:eastAsia="仿宋_GB2312"/>
                <w:sz w:val="20"/>
              </w:rPr>
              <w:t>、</w:t>
            </w:r>
            <w:r>
              <w:rPr>
                <w:rFonts w:ascii="仿宋_GB2312" w:hAnsi="仿宋_GB2312" w:cs="仿宋_GB2312" w:eastAsia="仿宋_GB2312"/>
                <w:sz w:val="20"/>
              </w:rPr>
              <w:t>项目计划</w:t>
            </w:r>
          </w:p>
          <w:p>
            <w:pPr>
              <w:pStyle w:val="null3"/>
              <w:ind w:firstLine="400"/>
              <w:jc w:val="both"/>
            </w:pPr>
            <w:r>
              <w:rPr>
                <w:rFonts w:ascii="仿宋_GB2312" w:hAnsi="仿宋_GB2312" w:cs="仿宋_GB2312" w:eastAsia="仿宋_GB2312"/>
                <w:sz w:val="20"/>
              </w:rPr>
              <w:t>1、雁塔北路、古韵广场、雁塔西路三处节点摆放鲜花面积640㎡，全年2次摆花。五一节为矮牵牛、十一为孔雀草及串红。</w:t>
            </w:r>
          </w:p>
          <w:p>
            <w:pPr>
              <w:pStyle w:val="null3"/>
              <w:ind w:firstLine="400"/>
              <w:jc w:val="both"/>
            </w:pPr>
            <w:r>
              <w:rPr>
                <w:rFonts w:ascii="仿宋_GB2312" w:hAnsi="仿宋_GB2312" w:cs="仿宋_GB2312" w:eastAsia="仿宋_GB2312"/>
                <w:sz w:val="20"/>
              </w:rPr>
              <w:t>表</w:t>
            </w:r>
            <w:r>
              <w:rPr>
                <w:rFonts w:ascii="仿宋_GB2312" w:hAnsi="仿宋_GB2312" w:cs="仿宋_GB2312" w:eastAsia="仿宋_GB2312"/>
                <w:sz w:val="20"/>
              </w:rPr>
              <w:t>1：</w:t>
            </w:r>
          </w:p>
          <w:tbl>
            <w:tblPr>
              <w:tblBorders>
                <w:top w:val="none" w:color="000000" w:sz="4"/>
                <w:left w:val="none" w:color="000000" w:sz="4"/>
                <w:bottom w:val="none" w:color="000000" w:sz="4"/>
                <w:right w:val="none" w:color="000000" w:sz="4"/>
                <w:insideH w:val="none"/>
                <w:insideV w:val="none"/>
              </w:tblBorders>
            </w:tblPr>
            <w:tblGrid>
              <w:gridCol w:w="309"/>
              <w:gridCol w:w="769"/>
              <w:gridCol w:w="762"/>
              <w:gridCol w:w="690"/>
            </w:tblGrid>
            <w:tr>
              <w:tc>
                <w:tcPr>
                  <w:tcW w:type="dxa" w:w="3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时间</w:t>
                  </w:r>
                </w:p>
              </w:tc>
              <w:tc>
                <w:tcPr>
                  <w:tcW w:type="dxa" w:w="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数量（盆）</w:t>
                  </w:r>
                </w:p>
              </w:tc>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4至5月</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125440</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196盆/㎡</w:t>
                  </w:r>
                </w:p>
              </w:tc>
            </w:tr>
            <w:tr>
              <w:tc>
                <w:tcPr>
                  <w:tcW w:type="dxa" w:w="3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9至11月</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125440</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196盆/㎡</w:t>
                  </w:r>
                </w:p>
              </w:tc>
            </w:tr>
            <w:tr>
              <w:tc>
                <w:tcPr>
                  <w:tcW w:type="dxa" w:w="107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250880</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rPr>
              <w:t>2、博物馆门口花坛、小寨十字东西花坛内，三处绿地摆花，5.1、7.1和国庆摆花3次，摆花面积75㎡。5.1节为矮牵牛、7.1节超级凤仙、10.1为孔雀草及串红。</w:t>
            </w:r>
          </w:p>
          <w:p>
            <w:pPr>
              <w:pStyle w:val="null3"/>
              <w:ind w:firstLine="400"/>
              <w:jc w:val="both"/>
            </w:pPr>
            <w:r>
              <w:rPr>
                <w:rFonts w:ascii="仿宋_GB2312" w:hAnsi="仿宋_GB2312" w:cs="仿宋_GB2312" w:eastAsia="仿宋_GB2312"/>
                <w:sz w:val="20"/>
              </w:rPr>
              <w:t>表</w:t>
            </w:r>
            <w:r>
              <w:rPr>
                <w:rFonts w:ascii="仿宋_GB2312" w:hAnsi="仿宋_GB2312" w:cs="仿宋_GB2312" w:eastAsia="仿宋_GB2312"/>
                <w:sz w:val="20"/>
              </w:rPr>
              <w:t>2：</w:t>
            </w:r>
          </w:p>
          <w:tbl>
            <w:tblPr>
              <w:tblBorders>
                <w:top w:val="none" w:color="000000" w:sz="4"/>
                <w:left w:val="none" w:color="000000" w:sz="4"/>
                <w:bottom w:val="none" w:color="000000" w:sz="4"/>
                <w:right w:val="none" w:color="000000" w:sz="4"/>
                <w:insideH w:val="none"/>
                <w:insideV w:val="none"/>
              </w:tblBorders>
            </w:tblPr>
            <w:tblGrid>
              <w:gridCol w:w="332"/>
              <w:gridCol w:w="565"/>
              <w:gridCol w:w="813"/>
              <w:gridCol w:w="834"/>
            </w:tblGrid>
            <w:tr>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时间</w:t>
                  </w:r>
                </w:p>
              </w:tc>
              <w:tc>
                <w:tcPr>
                  <w:tcW w:type="dxa" w:w="8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数量（盆）</w:t>
                  </w:r>
                </w:p>
              </w:tc>
              <w:tc>
                <w:tcPr>
                  <w:tcW w:type="dxa" w:w="8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14700</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196</w:t>
                  </w:r>
                  <w:r>
                    <w:rPr>
                      <w:rFonts w:ascii="仿宋_GB2312" w:hAnsi="仿宋_GB2312" w:cs="仿宋_GB2312" w:eastAsia="仿宋_GB2312"/>
                      <w:sz w:val="20"/>
                    </w:rPr>
                    <w:t>盆</w:t>
                  </w:r>
                  <w:r>
                    <w:rPr>
                      <w:rFonts w:ascii="仿宋_GB2312" w:hAnsi="仿宋_GB2312" w:cs="仿宋_GB2312" w:eastAsia="仿宋_GB2312"/>
                      <w:sz w:val="20"/>
                    </w:rPr>
                    <w:t>/㎡</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4800</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64盆/㎡</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10.1</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14700</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196盆/㎡</w:t>
                  </w:r>
                </w:p>
              </w:tc>
            </w:tr>
            <w:tr>
              <w:tc>
                <w:tcPr>
                  <w:tcW w:type="dxa" w:w="89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8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34200</w:t>
                  </w:r>
                </w:p>
              </w:tc>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rPr>
              <w:t>3、花木箱摆花，3个月更换花卉一次，全年用花3次。4月中旬至6月底花卉为矮牵牛、夏季和秋季花卉为海棠和凤仙、冬季花卉为甘蓝及角堇。实际实施时可以根据具体情况调整。</w:t>
            </w:r>
          </w:p>
          <w:p>
            <w:pPr>
              <w:pStyle w:val="null3"/>
              <w:ind w:firstLine="400"/>
              <w:jc w:val="both"/>
            </w:pPr>
            <w:r>
              <w:rPr>
                <w:rFonts w:ascii="仿宋_GB2312" w:hAnsi="仿宋_GB2312" w:cs="仿宋_GB2312" w:eastAsia="仿宋_GB2312"/>
                <w:sz w:val="20"/>
              </w:rPr>
              <w:t>表</w:t>
            </w:r>
            <w:r>
              <w:rPr>
                <w:rFonts w:ascii="仿宋_GB2312" w:hAnsi="仿宋_GB2312" w:cs="仿宋_GB2312" w:eastAsia="仿宋_GB2312"/>
                <w:sz w:val="20"/>
              </w:rPr>
              <w:t>3：</w:t>
            </w:r>
          </w:p>
          <w:tbl>
            <w:tblPr>
              <w:tblBorders>
                <w:top w:val="none" w:color="000000" w:sz="4"/>
                <w:left w:val="none" w:color="000000" w:sz="4"/>
                <w:bottom w:val="none" w:color="000000" w:sz="4"/>
                <w:right w:val="none" w:color="000000" w:sz="4"/>
                <w:insideH w:val="none"/>
                <w:insideV w:val="none"/>
              </w:tblBorders>
            </w:tblPr>
            <w:tblGrid>
              <w:gridCol w:w="162"/>
              <w:gridCol w:w="669"/>
              <w:gridCol w:w="409"/>
              <w:gridCol w:w="519"/>
              <w:gridCol w:w="506"/>
              <w:gridCol w:w="266"/>
            </w:tblGrid>
            <w:tr>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位置</w:t>
                  </w:r>
                </w:p>
              </w:tc>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单次用花量（盆）</w:t>
                  </w:r>
                </w:p>
              </w:tc>
              <w:tc>
                <w:tcPr>
                  <w:tcW w:type="dxa" w:w="5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全年用花（盆）</w:t>
                  </w:r>
                </w:p>
              </w:tc>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小寨东西路，局大门口</w:t>
                  </w:r>
                </w:p>
                <w:p>
                  <w:pPr>
                    <w:pStyle w:val="null3"/>
                    <w:jc w:val="center"/>
                  </w:pPr>
                  <w:r>
                    <w:rPr>
                      <w:rFonts w:ascii="仿宋_GB2312" w:hAnsi="仿宋_GB2312" w:cs="仿宋_GB2312" w:eastAsia="仿宋_GB2312"/>
                      <w:sz w:val="20"/>
                    </w:rPr>
                    <w:t>花镜花箱</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34个，</w:t>
                  </w:r>
                </w:p>
                <w:p>
                  <w:pPr>
                    <w:pStyle w:val="null3"/>
                    <w:jc w:val="center"/>
                  </w:pPr>
                  <w:r>
                    <w:rPr>
                      <w:rFonts w:ascii="仿宋_GB2312" w:hAnsi="仿宋_GB2312" w:cs="仿宋_GB2312" w:eastAsia="仿宋_GB2312"/>
                      <w:sz w:val="20"/>
                    </w:rPr>
                    <w:t>50㎡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9000</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27000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小寨天桥组合花箱</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12组，</w:t>
                  </w:r>
                </w:p>
                <w:p>
                  <w:pPr>
                    <w:pStyle w:val="null3"/>
                    <w:jc w:val="center"/>
                  </w:pPr>
                  <w:r>
                    <w:rPr>
                      <w:rFonts w:ascii="仿宋_GB2312" w:hAnsi="仿宋_GB2312" w:cs="仿宋_GB2312" w:eastAsia="仿宋_GB2312"/>
                      <w:sz w:val="20"/>
                    </w:rPr>
                    <w:t>29㎡</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5220</w:t>
                  </w: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15660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42660</w:t>
                  </w:r>
                </w:p>
              </w:tc>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rPr>
              <w:t>4、9.30公祭摆花数量及费用</w:t>
            </w:r>
          </w:p>
          <w:p>
            <w:pPr>
              <w:pStyle w:val="null3"/>
              <w:ind w:firstLine="400"/>
              <w:jc w:val="both"/>
            </w:pPr>
            <w:r>
              <w:rPr>
                <w:rFonts w:ascii="仿宋_GB2312" w:hAnsi="仿宋_GB2312" w:cs="仿宋_GB2312" w:eastAsia="仿宋_GB2312"/>
                <w:sz w:val="20"/>
              </w:rPr>
              <w:t>表</w:t>
            </w:r>
            <w:r>
              <w:rPr>
                <w:rFonts w:ascii="仿宋_GB2312" w:hAnsi="仿宋_GB2312" w:cs="仿宋_GB2312" w:eastAsia="仿宋_GB2312"/>
                <w:sz w:val="20"/>
              </w:rPr>
              <w:t>4：</w:t>
            </w:r>
          </w:p>
          <w:tbl>
            <w:tblPr>
              <w:tblBorders>
                <w:top w:val="none" w:color="000000" w:sz="4"/>
                <w:left w:val="none" w:color="000000" w:sz="4"/>
                <w:bottom w:val="none" w:color="000000" w:sz="4"/>
                <w:right w:val="none" w:color="000000" w:sz="4"/>
                <w:insideH w:val="none"/>
                <w:insideV w:val="none"/>
              </w:tblBorders>
            </w:tblPr>
            <w:tblGrid>
              <w:gridCol w:w="232"/>
              <w:gridCol w:w="571"/>
              <w:gridCol w:w="744"/>
              <w:gridCol w:w="438"/>
              <w:gridCol w:w="279"/>
              <w:gridCol w:w="265"/>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5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花卉名称</w:t>
                  </w:r>
                </w:p>
              </w:tc>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p>
              </w:tc>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2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千头菊（黄）</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r>
                    <w:rPr>
                      <w:rFonts w:ascii="仿宋_GB2312" w:hAnsi="仿宋_GB2312" w:cs="仿宋_GB2312" w:eastAsia="仿宋_GB2312"/>
                      <w:sz w:val="20"/>
                    </w:rPr>
                    <w:t>35,冠20cm</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r>
                    <w:rPr>
                      <w:rFonts w:ascii="仿宋_GB2312" w:hAnsi="仿宋_GB2312" w:cs="仿宋_GB2312" w:eastAsia="仿宋_GB2312"/>
                      <w:sz w:val="20"/>
                    </w:rPr>
                    <w:t>0</w:t>
                  </w:r>
                  <w:r>
                    <w:rPr>
                      <w:rFonts w:ascii="仿宋_GB2312" w:hAnsi="仿宋_GB2312" w:cs="仿宋_GB2312" w:eastAsia="仿宋_GB2312"/>
                      <w:sz w:val="20"/>
                    </w:rPr>
                    <w:t>0</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盆</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金丝菊（黄）</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r>
                    <w:rPr>
                      <w:rFonts w:ascii="仿宋_GB2312" w:hAnsi="仿宋_GB2312" w:cs="仿宋_GB2312" w:eastAsia="仿宋_GB2312"/>
                      <w:sz w:val="20"/>
                    </w:rPr>
                    <w:t>35,冠</w:t>
                  </w:r>
                  <w:r>
                    <w:rPr>
                      <w:rFonts w:ascii="仿宋_GB2312" w:hAnsi="仿宋_GB2312" w:cs="仿宋_GB2312" w:eastAsia="仿宋_GB2312"/>
                      <w:sz w:val="20"/>
                    </w:rPr>
                    <w:t>3</w:t>
                  </w:r>
                  <w:r>
                    <w:rPr>
                      <w:rFonts w:ascii="仿宋_GB2312" w:hAnsi="仿宋_GB2312" w:cs="仿宋_GB2312" w:eastAsia="仿宋_GB2312"/>
                      <w:sz w:val="20"/>
                    </w:rPr>
                    <w:t>0cm</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4000</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盆</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孔雀草（橘）</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r>
                    <w:rPr>
                      <w:rFonts w:ascii="仿宋_GB2312" w:hAnsi="仿宋_GB2312" w:cs="仿宋_GB2312" w:eastAsia="仿宋_GB2312"/>
                      <w:sz w:val="20"/>
                    </w:rPr>
                    <w:t>15cm,冠10cm</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w:t>
                  </w:r>
                  <w:r>
                    <w:rPr>
                      <w:rFonts w:ascii="仿宋_GB2312" w:hAnsi="仿宋_GB2312" w:cs="仿宋_GB2312" w:eastAsia="仿宋_GB2312"/>
                      <w:sz w:val="20"/>
                    </w:rPr>
                    <w:t>00</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盆</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孔雀草（黄）</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r>
                    <w:rPr>
                      <w:rFonts w:ascii="仿宋_GB2312" w:hAnsi="仿宋_GB2312" w:cs="仿宋_GB2312" w:eastAsia="仿宋_GB2312"/>
                      <w:sz w:val="20"/>
                    </w:rPr>
                    <w:t>15cm,冠10cm</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w:t>
                  </w:r>
                  <w:r>
                    <w:rPr>
                      <w:rFonts w:ascii="仿宋_GB2312" w:hAnsi="仿宋_GB2312" w:cs="仿宋_GB2312" w:eastAsia="仿宋_GB2312"/>
                      <w:sz w:val="20"/>
                    </w:rPr>
                    <w:t>00</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盆</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小栅栏</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w:t>
                  </w:r>
                  <w:r>
                    <w:rPr>
                      <w:rFonts w:ascii="仿宋_GB2312" w:hAnsi="仿宋_GB2312" w:cs="仿宋_GB2312" w:eastAsia="仿宋_GB2312"/>
                      <w:sz w:val="20"/>
                    </w:rPr>
                    <w:t>13cm</w:t>
                  </w: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r>
                    <w:rPr>
                      <w:rFonts w:ascii="仿宋_GB2312" w:hAnsi="仿宋_GB2312" w:cs="仿宋_GB2312" w:eastAsia="仿宋_GB2312"/>
                      <w:sz w:val="20"/>
                    </w:rPr>
                    <w:t>0</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39000</w:t>
                  </w:r>
                </w:p>
              </w:tc>
              <w:tc>
                <w:tcPr>
                  <w:tcW w:type="dxa" w:w="2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小寨路沿线花箱及其它花箱养护，养护内容包括浇水、施肥、除草、打药防治病虫害、补栽修剪等。</w:t>
            </w:r>
          </w:p>
          <w:p>
            <w:pPr>
              <w:pStyle w:val="null3"/>
              <w:ind w:firstLine="400"/>
              <w:jc w:val="both"/>
            </w:pPr>
            <w:r>
              <w:rPr>
                <w:rFonts w:ascii="仿宋_GB2312" w:hAnsi="仿宋_GB2312" w:cs="仿宋_GB2312" w:eastAsia="仿宋_GB2312"/>
                <w:sz w:val="20"/>
              </w:rPr>
              <w:t>表</w:t>
            </w:r>
            <w:r>
              <w:rPr>
                <w:rFonts w:ascii="仿宋_GB2312" w:hAnsi="仿宋_GB2312" w:cs="仿宋_GB2312" w:eastAsia="仿宋_GB2312"/>
                <w:sz w:val="20"/>
              </w:rPr>
              <w:t>5：</w:t>
            </w:r>
          </w:p>
          <w:tbl>
            <w:tblPr>
              <w:tblBorders>
                <w:top w:val="none" w:color="000000" w:sz="4"/>
                <w:left w:val="none" w:color="000000" w:sz="4"/>
                <w:bottom w:val="none" w:color="000000" w:sz="4"/>
                <w:right w:val="none" w:color="000000" w:sz="4"/>
                <w:insideH w:val="none"/>
                <w:insideV w:val="none"/>
              </w:tblBorders>
            </w:tblPr>
            <w:tblGrid>
              <w:gridCol w:w="210"/>
              <w:gridCol w:w="807"/>
              <w:gridCol w:w="360"/>
              <w:gridCol w:w="315"/>
              <w:gridCol w:w="216"/>
              <w:gridCol w:w="374"/>
              <w:gridCol w:w="249"/>
            </w:tblGrid>
            <w:tr>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位置</w:t>
                  </w:r>
                </w:p>
              </w:tc>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r>
                    <w:rPr>
                      <w:rFonts w:ascii="仿宋_GB2312" w:hAnsi="仿宋_GB2312" w:cs="仿宋_GB2312" w:eastAsia="仿宋_GB2312"/>
                      <w:sz w:val="20"/>
                    </w:rPr>
                    <w:t>cm）</w:t>
                  </w:r>
                </w:p>
              </w:tc>
              <w:tc>
                <w:tcPr>
                  <w:tcW w:type="dxa" w:w="3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花箱数量</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养护面积（㎡）</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小寨东西路</w:t>
                  </w:r>
                  <w:r>
                    <w:rPr>
                      <w:rFonts w:ascii="仿宋_GB2312" w:hAnsi="仿宋_GB2312" w:cs="仿宋_GB2312" w:eastAsia="仿宋_GB2312"/>
                      <w:sz w:val="20"/>
                    </w:rPr>
                    <w:t>护栏花箱</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x</w:t>
                  </w:r>
                  <w:r>
                    <w:rPr>
                      <w:rFonts w:ascii="仿宋_GB2312" w:hAnsi="仿宋_GB2312" w:cs="仿宋_GB2312" w:eastAsia="仿宋_GB2312"/>
                      <w:sz w:val="20"/>
                    </w:rPr>
                    <w:t>0.25</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长安南路天桥下花车</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x</w:t>
                  </w:r>
                  <w:r>
                    <w:rPr>
                      <w:rFonts w:ascii="仿宋_GB2312" w:hAnsi="仿宋_GB2312" w:cs="仿宋_GB2312" w:eastAsia="仿宋_GB2312"/>
                      <w:sz w:val="20"/>
                    </w:rPr>
                    <w:t>1</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盆</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区政府门前亮晶女贞球</w:t>
                  </w:r>
                </w:p>
              </w:tc>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冠</w:t>
                  </w:r>
                  <w:r>
                    <w:rPr>
                      <w:rFonts w:ascii="仿宋_GB2312" w:hAnsi="仿宋_GB2312" w:cs="仿宋_GB2312" w:eastAsia="仿宋_GB2312"/>
                      <w:sz w:val="20"/>
                    </w:rPr>
                    <w:t>60</w:t>
                  </w:r>
                </w:p>
              </w:tc>
              <w:tc>
                <w:tcPr>
                  <w:tcW w:type="dxa" w:w="3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3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rPr>
              <w:t>6、数量合计</w:t>
            </w:r>
          </w:p>
          <w:tbl>
            <w:tblPr>
              <w:tblBorders>
                <w:top w:val="none" w:color="000000" w:sz="4"/>
                <w:left w:val="none" w:color="000000" w:sz="4"/>
                <w:bottom w:val="none" w:color="000000" w:sz="4"/>
                <w:right w:val="none" w:color="000000" w:sz="4"/>
                <w:insideH w:val="none"/>
                <w:insideV w:val="none"/>
              </w:tblBorders>
            </w:tblPr>
            <w:tblGrid>
              <w:gridCol w:w="301"/>
              <w:gridCol w:w="869"/>
              <w:gridCol w:w="1031"/>
              <w:gridCol w:w="336"/>
            </w:tblGrid>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10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摆花数量（盆）</w:t>
                  </w:r>
                </w:p>
              </w:tc>
              <w:tc>
                <w:tcPr>
                  <w:tcW w:type="dxa" w:w="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雁塔北路等</w:t>
                  </w:r>
                </w:p>
                <w:p>
                  <w:pPr>
                    <w:pStyle w:val="null3"/>
                    <w:jc w:val="center"/>
                  </w:pPr>
                  <w:r>
                    <w:rPr>
                      <w:rFonts w:ascii="仿宋_GB2312" w:hAnsi="仿宋_GB2312" w:cs="仿宋_GB2312" w:eastAsia="仿宋_GB2312"/>
                      <w:sz w:val="20"/>
                    </w:rPr>
                    <w:t>3处节点</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250880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历博</w:t>
                  </w:r>
                  <w:r>
                    <w:rPr>
                      <w:rFonts w:ascii="仿宋_GB2312" w:hAnsi="仿宋_GB2312" w:cs="仿宋_GB2312" w:eastAsia="仿宋_GB2312"/>
                      <w:sz w:val="20"/>
                    </w:rPr>
                    <w:t>2处花坛</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34200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花木箱摆花</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42660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9.30公祭摆花</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39000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花箱养护</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143</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17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366740</w:t>
                  </w:r>
                </w:p>
              </w:tc>
              <w:tc>
                <w:tcPr>
                  <w:tcW w:type="dxa" w:w="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rPr>
              <w:t>2026年度街景布置工作，计划用花366740盆，以上为计划用花量及维护安排，具体工作量以实际发生为准。</w:t>
            </w:r>
          </w:p>
          <w:p>
            <w:pPr>
              <w:pStyle w:val="null3"/>
              <w:ind w:firstLine="400"/>
              <w:jc w:val="both"/>
            </w:pPr>
            <w:r>
              <w:rPr>
                <w:rFonts w:ascii="仿宋_GB2312" w:hAnsi="仿宋_GB2312" w:cs="仿宋_GB2312" w:eastAsia="仿宋_GB2312"/>
                <w:sz w:val="20"/>
              </w:rPr>
              <w:t>五、</w:t>
            </w:r>
            <w:r>
              <w:rPr>
                <w:rFonts w:ascii="仿宋_GB2312" w:hAnsi="仿宋_GB2312" w:cs="仿宋_GB2312" w:eastAsia="仿宋_GB2312"/>
                <w:sz w:val="20"/>
              </w:rPr>
              <w:t>2026年度花卉采购名单及限价</w:t>
            </w:r>
          </w:p>
          <w:tbl>
            <w:tblPr>
              <w:tblBorders>
                <w:top w:val="none" w:color="000000" w:sz="4"/>
                <w:left w:val="none" w:color="000000" w:sz="4"/>
                <w:bottom w:val="none" w:color="000000" w:sz="4"/>
                <w:right w:val="none" w:color="000000" w:sz="4"/>
                <w:insideH w:val="none"/>
                <w:insideV w:val="none"/>
              </w:tblBorders>
            </w:tblPr>
            <w:tblGrid>
              <w:gridCol w:w="263"/>
              <w:gridCol w:w="375"/>
              <w:gridCol w:w="307"/>
              <w:gridCol w:w="313"/>
              <w:gridCol w:w="279"/>
              <w:gridCol w:w="5"/>
              <w:gridCol w:w="408"/>
              <w:gridCol w:w="291"/>
              <w:gridCol w:w="291"/>
            </w:tblGrid>
            <w:tr>
              <w:tc>
                <w:tcPr>
                  <w:tcW w:type="dxa" w:w="263"/>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序号</w:t>
                  </w:r>
                </w:p>
              </w:tc>
              <w:tc>
                <w:tcPr>
                  <w:tcW w:type="dxa" w:w="375"/>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名称</w:t>
                  </w:r>
                </w:p>
              </w:tc>
              <w:tc>
                <w:tcPr>
                  <w:tcW w:type="dxa" w:w="904"/>
                  <w:gridSpan w:val="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规格</w:t>
                  </w:r>
                  <w:r>
                    <w:rPr>
                      <w:rFonts w:ascii="仿宋_GB2312" w:hAnsi="仿宋_GB2312" w:cs="仿宋_GB2312" w:eastAsia="仿宋_GB2312"/>
                      <w:sz w:val="20"/>
                    </w:rPr>
                    <w:t>(</w:t>
                  </w:r>
                  <w:r>
                    <w:rPr>
                      <w:rFonts w:ascii="仿宋_GB2312" w:hAnsi="仿宋_GB2312" w:cs="仿宋_GB2312" w:eastAsia="仿宋_GB2312"/>
                      <w:sz w:val="20"/>
                    </w:rPr>
                    <w:t>cm</w:t>
                  </w:r>
                  <w:r>
                    <w:rPr>
                      <w:rFonts w:ascii="仿宋_GB2312" w:hAnsi="仿宋_GB2312" w:cs="仿宋_GB2312" w:eastAsia="仿宋_GB2312"/>
                      <w:sz w:val="20"/>
                    </w:rPr>
                    <w:t>)</w:t>
                  </w:r>
                </w:p>
              </w:tc>
              <w:tc>
                <w:tcPr>
                  <w:tcW w:type="dxa" w:w="408"/>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限价</w:t>
                  </w:r>
                </w:p>
              </w:tc>
              <w:tc>
                <w:tcPr>
                  <w:tcW w:type="dxa" w:w="291"/>
                  <w:vMerge w:val="restart"/>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单位</w:t>
                  </w:r>
                </w:p>
              </w:tc>
              <w:tc>
                <w:tcPr>
                  <w:tcW w:type="dxa" w:w="291"/>
                  <w:vMerge w:val="restart"/>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备注</w:t>
                  </w:r>
                </w:p>
              </w:tc>
            </w:tr>
            <w:tr>
              <w:tc>
                <w:tcPr>
                  <w:tcW w:type="dxa" w:w="263"/>
                  <w:vMerge/>
                  <w:tcBorders>
                    <w:top w:val="single" w:color="000000" w:sz="4"/>
                    <w:left w:val="single" w:color="000000" w:sz="4"/>
                    <w:bottom w:val="none" w:color="000000" w:sz="4"/>
                    <w:right w:val="single" w:color="000000" w:sz="4"/>
                  </w:tcBorders>
                </w:tcPr>
                <w:p/>
              </w:tc>
              <w:tc>
                <w:tcPr>
                  <w:tcW w:type="dxa" w:w="375"/>
                  <w:vMerge/>
                  <w:tcBorders>
                    <w:top w:val="single" w:color="000000" w:sz="4"/>
                    <w:left w:val="single" w:color="000000" w:sz="4"/>
                    <w:bottom w:val="none" w:color="000000" w:sz="4"/>
                    <w:right w:val="single" w:color="000000" w:sz="4"/>
                  </w:tcBorders>
                </w:tcP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盆径</w:t>
                  </w:r>
                </w:p>
              </w:tc>
              <w:tc>
                <w:tcPr>
                  <w:tcW w:type="dxa" w:w="31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冠幅</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冠高</w:t>
                  </w:r>
                </w:p>
              </w:tc>
              <w:tc>
                <w:tcPr>
                  <w:tcW w:type="dxa" w:w="408"/>
                  <w:vMerge/>
                  <w:tcBorders>
                    <w:top w:val="single" w:color="000000" w:sz="4"/>
                    <w:left w:val="single" w:color="000000" w:sz="4"/>
                    <w:bottom w:val="none" w:color="000000" w:sz="4"/>
                    <w:right w:val="single" w:color="000000" w:sz="4"/>
                  </w:tcBorders>
                </w:tc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1</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角堇</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8</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1.9</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翠菊</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6.1</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万寿菊</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串红</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25</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1.8</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千头菊</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25</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12</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百日草</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1.8</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国庆菊</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25</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25</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非洲凤仙</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25</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12.5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9</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繁星花</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10</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三色堇</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1.9</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11</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矮牵牛</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孔雀草</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2.1</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13</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彩叶草</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w:t>
                  </w:r>
                  <w:r>
                    <w:rPr>
                      <w:rFonts w:ascii="仿宋_GB2312" w:hAnsi="仿宋_GB2312" w:cs="仿宋_GB2312" w:eastAsia="仿宋_GB2312"/>
                      <w:sz w:val="20"/>
                    </w:rPr>
                    <w:t>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14</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鸭掌木</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7.0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15</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佛甲草</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2.3</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16</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满天星</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5.5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17</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千屈菜</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6.1</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18</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肾蕨</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13</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19</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四季海棠</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20</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红叶南天竹</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4.5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21</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匍匐茎凤仙</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5.0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22</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普通凤仙</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23</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彩叶羽衣甘蓝</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5.5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24</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普通羽衣甘蓝</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25</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香彩雀</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8.5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26</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长春花</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28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4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2.1</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27</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夏堇</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1.8</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28</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皇帝菊</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1.8</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29</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金丝菊</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25</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12</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5头以上</w:t>
                  </w: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30</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天门冬</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25</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6.8</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31</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垂吊牵牛</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藤长</w:t>
                  </w:r>
                  <w:r>
                    <w:rPr>
                      <w:rFonts w:ascii="仿宋_GB2312" w:hAnsi="仿宋_GB2312" w:cs="仿宋_GB2312" w:eastAsia="仿宋_GB2312"/>
                      <w:sz w:val="20"/>
                    </w:rPr>
                    <w:t>30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8.0</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32</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大花海棠</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25</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11.5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33</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金边麦冬</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5.0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34</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矾根</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8.0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35</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火焰南天竹</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25</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9.5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35</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金叶薯</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藤长</w:t>
                  </w:r>
                  <w:r>
                    <w:rPr>
                      <w:rFonts w:ascii="仿宋_GB2312" w:hAnsi="仿宋_GB2312" w:cs="仿宋_GB2312" w:eastAsia="仿宋_GB2312"/>
                      <w:sz w:val="20"/>
                    </w:rPr>
                    <w:t>30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6.5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37</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常春藤</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藤长</w:t>
                  </w:r>
                  <w:r>
                    <w:rPr>
                      <w:rFonts w:ascii="仿宋_GB2312" w:hAnsi="仿宋_GB2312" w:cs="仿宋_GB2312" w:eastAsia="仿宋_GB2312"/>
                      <w:sz w:val="20"/>
                    </w:rPr>
                    <w:t>50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7.8</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38</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垃圾清运</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88</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元</w:t>
                  </w:r>
                  <w:r>
                    <w:rPr>
                      <w:rFonts w:ascii="仿宋_GB2312" w:hAnsi="仿宋_GB2312" w:cs="仿宋_GB2312" w:eastAsia="仿宋_GB2312"/>
                      <w:sz w:val="20"/>
                    </w:rPr>
                    <w:t>/方</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39</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草坪</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元</w:t>
                  </w:r>
                  <w:r>
                    <w:rPr>
                      <w:rFonts w:ascii="仿宋_GB2312" w:hAnsi="仿宋_GB2312" w:cs="仿宋_GB2312" w:eastAsia="仿宋_GB2312"/>
                      <w:sz w:val="20"/>
                    </w:rPr>
                    <w:t>/㎡</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40</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八角金盘</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30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80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1.5m</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65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41</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非洲茉莉</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30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80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1.5m</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120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42</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变叶木</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30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60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1.2m</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80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43</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金边吊兰</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10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10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15</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44</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欧石竹</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10</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w:t>
                  </w:r>
                  <w:r>
                    <w:rPr>
                      <w:rFonts w:ascii="仿宋_GB2312" w:hAnsi="仿宋_GB2312" w:cs="仿宋_GB2312" w:eastAsia="仿宋_GB2312"/>
                      <w:sz w:val="20"/>
                    </w:rPr>
                    <w:t>3</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45</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一叶兰</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15</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25</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15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46</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天竺葵</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20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20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20</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15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47</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绣球</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20</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30</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50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3-5头</w:t>
                  </w: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48</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亮晶女贞球</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60</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390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修剪后苗</w:t>
                  </w: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49</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龟甲冬青球</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40</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380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jc w:val="center"/>
                  </w:pPr>
                  <w:r>
                    <w:rPr>
                      <w:rFonts w:ascii="仿宋_GB2312" w:hAnsi="仿宋_GB2312" w:cs="仿宋_GB2312" w:eastAsia="仿宋_GB2312"/>
                      <w:sz w:val="20"/>
                    </w:rPr>
                    <w:t>修剪后苗</w:t>
                  </w: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50</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花叶蔓常春藤</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藤长</w:t>
                  </w:r>
                  <w:r>
                    <w:rPr>
                      <w:rFonts w:ascii="仿宋_GB2312" w:hAnsi="仿宋_GB2312" w:cs="仿宋_GB2312" w:eastAsia="仿宋_GB2312"/>
                      <w:sz w:val="20"/>
                    </w:rPr>
                    <w:t>30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30</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7.5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51</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银叶菊</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25</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7.5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52</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玉簪</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1加仑</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35</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53</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毛鹃球</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50</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230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修剪后苗</w:t>
                  </w: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54</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水果兰球</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50</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330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修剪后苗</w:t>
                  </w: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55</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松果菊</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1加仑</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40</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56</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金叶石菖蒲</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1加仑</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30</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13</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57</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姬小菊</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1加仑</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30</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58</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迷迭香</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2加仑</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35</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23</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59</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细茎针芒</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1加仑</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60</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12</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60</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大吴风草</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1加仑</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30</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21</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61</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金叶过路黄</w:t>
                  </w:r>
                </w:p>
              </w:tc>
              <w:tc>
                <w:tcPr>
                  <w:tcW w:type="dxa" w:w="30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31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20</w:t>
                  </w:r>
                </w:p>
              </w:tc>
              <w:tc>
                <w:tcPr>
                  <w:tcW w:type="dxa" w:w="27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15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元</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62</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小寨东西路及长安南路沿线花箱日常浇水及养护；区政府门前亮叶女贞球花箱日常浇水及养护。</w:t>
                  </w:r>
                </w:p>
              </w:tc>
              <w:tc>
                <w:tcPr>
                  <w:tcW w:type="dxa" w:w="89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小寨东西路高护栏花箱</w:t>
                  </w:r>
                  <w:r>
                    <w:rPr>
                      <w:rFonts w:ascii="仿宋_GB2312" w:hAnsi="仿宋_GB2312" w:cs="仿宋_GB2312" w:eastAsia="仿宋_GB2312"/>
                      <w:sz w:val="20"/>
                    </w:rPr>
                    <w:t>176个，长安南路花车花箱56个，区政府门前亮叶女贞球135个。注：养护1年中5-9月每月4个台班，其余7个月每月2台班。</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1200</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元</w:t>
                  </w:r>
                  <w:r>
                    <w:rPr>
                      <w:rFonts w:ascii="仿宋_GB2312" w:hAnsi="仿宋_GB2312" w:cs="仿宋_GB2312" w:eastAsia="仿宋_GB2312"/>
                      <w:sz w:val="20"/>
                    </w:rPr>
                    <w:t>/台班</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注：车</w:t>
                  </w:r>
                  <w:r>
                    <w:rPr>
                      <w:rFonts w:ascii="仿宋_GB2312" w:hAnsi="仿宋_GB2312" w:cs="仿宋_GB2312" w:eastAsia="仿宋_GB2312"/>
                      <w:sz w:val="20"/>
                    </w:rPr>
                    <w:t>800元/台,2人，200元/人</w:t>
                  </w:r>
                </w:p>
              </w:tc>
            </w:tr>
            <w:tr>
              <w:tc>
                <w:tcPr>
                  <w:tcW w:type="dxa" w:w="2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63</w:t>
                  </w:r>
                </w:p>
              </w:tc>
              <w:tc>
                <w:tcPr>
                  <w:tcW w:type="dxa" w:w="3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花木箱刷油漆</w:t>
                  </w:r>
                </w:p>
              </w:tc>
              <w:tc>
                <w:tcPr>
                  <w:tcW w:type="dxa" w:w="89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打磨</w:t>
                  </w:r>
                  <w:r>
                    <w:rPr>
                      <w:rFonts w:ascii="仿宋_GB2312" w:hAnsi="仿宋_GB2312" w:cs="仿宋_GB2312" w:eastAsia="仿宋_GB2312"/>
                      <w:sz w:val="20"/>
                    </w:rPr>
                    <w:t>1次，刷2遍漆</w:t>
                  </w:r>
                </w:p>
              </w:tc>
              <w:tc>
                <w:tcPr>
                  <w:tcW w:type="dxa" w:w="413"/>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45</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r>
                    <w:rPr>
                      <w:rFonts w:ascii="仿宋_GB2312" w:hAnsi="仿宋_GB2312" w:cs="仿宋_GB2312" w:eastAsia="仿宋_GB2312"/>
                      <w:sz w:val="20"/>
                    </w:rPr>
                    <w:t>元</w:t>
                  </w:r>
                  <w:r>
                    <w:rPr>
                      <w:rFonts w:ascii="仿宋_GB2312" w:hAnsi="仿宋_GB2312" w:cs="仿宋_GB2312" w:eastAsia="仿宋_GB2312"/>
                      <w:sz w:val="20"/>
                    </w:rPr>
                    <w:t>/㎡</w:t>
                  </w:r>
                </w:p>
              </w:tc>
              <w:tc>
                <w:tcPr>
                  <w:tcW w:type="dxa" w:w="2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jc w:val="center"/>
                  </w:pPr>
                </w:p>
              </w:tc>
            </w:tr>
            <w:tr>
              <w:tc>
                <w:tcPr>
                  <w:tcW w:type="dxa" w:w="2532"/>
                  <w:gridSpan w:val="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0"/>
                    </w:rPr>
                    <w:t>说明：</w:t>
                  </w:r>
                </w:p>
                <w:p>
                  <w:pPr>
                    <w:pStyle w:val="null3"/>
                    <w:spacing w:before="105"/>
                    <w:ind w:left="105" w:right="150" w:firstLine="402"/>
                    <w:jc w:val="both"/>
                  </w:pPr>
                  <w:r>
                    <w:rPr>
                      <w:rFonts w:ascii="仿宋_GB2312" w:hAnsi="仿宋_GB2312" w:cs="仿宋_GB2312" w:eastAsia="仿宋_GB2312"/>
                      <w:sz w:val="20"/>
                    </w:rPr>
                    <w:t>1.表中花卉盆径大于10cm的为双色盆，若市场找不到双色盆花</w:t>
                  </w:r>
                  <w:r>
                    <w:rPr>
                      <w:rFonts w:ascii="仿宋_GB2312" w:hAnsi="仿宋_GB2312" w:cs="仿宋_GB2312" w:eastAsia="仿宋_GB2312"/>
                      <w:sz w:val="20"/>
                    </w:rPr>
                    <w:t>卉，经过甲方同意，可以使用其它花盆。</w:t>
                  </w:r>
                </w:p>
                <w:p>
                  <w:pPr>
                    <w:pStyle w:val="null3"/>
                    <w:spacing w:before="60"/>
                    <w:ind w:left="105" w:right="105" w:firstLine="391"/>
                    <w:jc w:val="both"/>
                  </w:pPr>
                  <w:r>
                    <w:rPr>
                      <w:rFonts w:ascii="仿宋_GB2312" w:hAnsi="仿宋_GB2312" w:cs="仿宋_GB2312" w:eastAsia="仿宋_GB2312"/>
                      <w:sz w:val="20"/>
                    </w:rPr>
                    <w:t>2.地面摆花和花木箱摆花的花材养护期不低于2个月，养护期花卉出现死亡或品相不美观需无条件更换；</w:t>
                  </w:r>
                </w:p>
                <w:p>
                  <w:pPr>
                    <w:pStyle w:val="null3"/>
                    <w:spacing w:before="60"/>
                    <w:ind w:left="105" w:right="105" w:firstLine="391"/>
                    <w:jc w:val="both"/>
                  </w:pPr>
                  <w:r>
                    <w:rPr>
                      <w:rFonts w:ascii="仿宋_GB2312" w:hAnsi="仿宋_GB2312" w:cs="仿宋_GB2312" w:eastAsia="仿宋_GB2312"/>
                      <w:sz w:val="20"/>
                    </w:rPr>
                    <w:t>3.花卉、花卉组合按照甲方要求摆放到位，美观健壮；</w:t>
                  </w:r>
                </w:p>
                <w:p>
                  <w:pPr>
                    <w:pStyle w:val="null3"/>
                    <w:spacing w:before="60"/>
                    <w:ind w:left="105" w:right="105" w:firstLine="391"/>
                    <w:jc w:val="both"/>
                  </w:pPr>
                  <w:r>
                    <w:rPr>
                      <w:rFonts w:ascii="仿宋_GB2312" w:hAnsi="仿宋_GB2312" w:cs="仿宋_GB2312" w:eastAsia="仿宋_GB2312"/>
                      <w:sz w:val="20"/>
                    </w:rPr>
                    <w:t>4.花卉要求生长健壮、美观，花冠丰满能覆盖花盆；</w:t>
                  </w:r>
                </w:p>
                <w:p>
                  <w:pPr>
                    <w:pStyle w:val="null3"/>
                    <w:spacing w:before="60"/>
                    <w:ind w:left="105" w:right="105" w:firstLine="391"/>
                    <w:jc w:val="both"/>
                  </w:pPr>
                  <w:r>
                    <w:rPr>
                      <w:rFonts w:ascii="仿宋_GB2312" w:hAnsi="仿宋_GB2312" w:cs="仿宋_GB2312" w:eastAsia="仿宋_GB2312"/>
                      <w:sz w:val="20"/>
                    </w:rPr>
                    <w:t>5.表中全部材料价格为综合单价，包括不限于摆放、养护、保洁等费用。</w:t>
                  </w:r>
                </w:p>
                <w:p>
                  <w:pPr>
                    <w:pStyle w:val="null3"/>
                    <w:spacing w:before="60"/>
                    <w:ind w:left="105" w:right="105" w:firstLine="391"/>
                    <w:jc w:val="both"/>
                  </w:pPr>
                  <w:r>
                    <w:rPr>
                      <w:rFonts w:ascii="仿宋_GB2312" w:hAnsi="仿宋_GB2312" w:cs="仿宋_GB2312" w:eastAsia="仿宋_GB2312"/>
                      <w:sz w:val="20"/>
                    </w:rPr>
                    <w:t>6.投标单位报价时，全部材料报价不得高于限价，有一个材料价格高于限价则视为废标。</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按本项目服务要求，实行标准规范化组织与管理，投入经过严格培训，能够胜任项目工作任务的相关人员，保证项目顺利实施。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根据项目特性，服务商认为有必要投入有利于完成本项目服务的各类设施设备（包含但不限于专业设备、辅助设备、工具、软件等）</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期要求：摆放通知下发后2日内提交方案，5日内完成平面摆花，摆花养护期45-120天不等；2、供货期：3天；3、项目质量：质量达到合格，花卉成活率98%以上；4、服务要求：乙方供应的花卉需经甲方现场负责人及监理共同检验后方可进场布置摆放，进场花卉成活率要求100%成活；养护期内的花卉必须生长健壮、无病虫害、花色鲜艳、花冠丰满（花冠能覆盖花钵），成活率要求不能低于98%。</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供应商应认真按照国家颁发的施工验收规范要求进行安装、养护工作，完工需经甲方和监理单位、供应商共同验收。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个摆花周期完成后，由采购⼈、监理单位核实此周期内的实际供货量，确认后形成⼯程量确认单，由采购⼈根据确认单核算已发⽣造价费⽤，并⽀付供应商此周期内费⽤80%的进度款。，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个摆花周期完成后，由采购⼈、监理单位核实此周期内的实际供货量，确认后形成⼯程量确认单，由采购⼈根据确认单核算已发⽣造价费⽤，并⽀付供应商此周期内费⽤80%的进度款，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个摆花周期完成后，由采购⼈、监理单位核实此周期内的实际供货量，确认后形成⼯程量确认单，由采购⼈根据确认单核算已发⽣造价费⽤，并⽀付供应商此周期内费⽤80%的进度款，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施工及养护期间，采购人或监理单位在日常巡查中发现质量、安全等问题，由监理单位向供应商发出整改通知单，限期整改到位；若未按期整改或整改效果不佳时，中标供应商承担违约责任，违约金视情况按（500-3000元/次）标准进行赔偿，在进度款支付时予以相应抵扣。 合同执行中发生争议的，当事人双方应友好协商解决。协商达不成一致时，双方当事人约定，依法向甲方所在地人民法院提起诉讼。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成交供应商应及时向采购代理机构提交平台电子版同版本的纸质版投标文件，一正一副，并胶装。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法定代表人授权委托书（附法定代表人身份证复印件及被授权人身份证复印件）；法定代表人直接参加磋商只需提供法定代表人身份证明书（附法定代表人身份证复印件）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审计报告</w:t>
            </w:r>
          </w:p>
        </w:tc>
        <w:tc>
          <w:tcPr>
            <w:tcW w:type="dxa" w:w="3322"/>
          </w:tcPr>
          <w:p>
            <w:pPr>
              <w:pStyle w:val="null3"/>
            </w:pPr>
            <w:r>
              <w:rPr>
                <w:rFonts w:ascii="仿宋_GB2312" w:hAnsi="仿宋_GB2312" w:cs="仿宋_GB2312" w:eastAsia="仿宋_GB2312"/>
              </w:rPr>
              <w:t>提供2024或2025年度的审计报告（成立时间至提交投标文件截止时间不足一年的可提供成立后任意时段的资产负债表）或其基本存款账户开户银行出具的资信证明及基本存款账户开户许可证（基本账户信息表）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提供投标截止时间前十二个月内至少一个月的社会保障资金缴存单据或社保机构开具的社会保险参保缴费情况证明，依法不需要缴纳社会保障资金的单位应提供相关证明材料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提供投标截止时间前十二个月内至少一个月的纳税证明或完税证明（任意税种，个人所得税除外），依法免税的单位应提供相关证明材料</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w:t>
            </w:r>
          </w:p>
        </w:tc>
        <w:tc>
          <w:tcPr>
            <w:tcW w:type="dxa" w:w="3322"/>
          </w:tcPr>
          <w:p>
            <w:pPr>
              <w:pStyle w:val="null3"/>
            </w:pPr>
            <w:r>
              <w:rPr>
                <w:rFonts w:ascii="仿宋_GB2312" w:hAnsi="仿宋_GB2312" w:cs="仿宋_GB2312" w:eastAsia="仿宋_GB2312"/>
              </w:rPr>
              <w:t>参加政府采购活动前3年内，在经营活动中没有重大违法记录的书面声明。参加政府采购活动前3年内，在经营活动中没有重大违法记录的书面声明。不得为信用中国”网站（www.creditchina.gov.cn）中重大税收违法失信主体名单的供应商，不得为“中国执行信息公开网”网站（zxgk.court.gov.cn/shixin/）”中列入失信被执行人的供应商，不得为“中国政府采购网”网站（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报价表及明细.docx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报价表及明细.docx 服务内容及服务邀请应答表 中小企业声明函 残疾人福利性单位声明函 商务应答表 标的清单 资格证明材料.docx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磋商报价未超出采购预算或最高限价</w:t>
            </w:r>
          </w:p>
        </w:tc>
        <w:tc>
          <w:tcPr>
            <w:tcW w:type="dxa" w:w="1661"/>
          </w:tcPr>
          <w:p>
            <w:pPr>
              <w:pStyle w:val="null3"/>
            </w:pPr>
            <w:r>
              <w:rPr>
                <w:rFonts w:ascii="仿宋_GB2312" w:hAnsi="仿宋_GB2312" w:cs="仿宋_GB2312" w:eastAsia="仿宋_GB2312"/>
              </w:rPr>
              <w:t>报价表及明细.docx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磋商内容</w:t>
            </w:r>
          </w:p>
        </w:tc>
        <w:tc>
          <w:tcPr>
            <w:tcW w:type="dxa" w:w="3322"/>
          </w:tcPr>
          <w:p>
            <w:pPr>
              <w:pStyle w:val="null3"/>
            </w:pPr>
            <w:r>
              <w:rPr>
                <w:rFonts w:ascii="仿宋_GB2312" w:hAnsi="仿宋_GB2312" w:cs="仿宋_GB2312" w:eastAsia="仿宋_GB2312"/>
              </w:rPr>
              <w:t>磋商内容数量与要求符合磋商文件要求或磋商内容的技术指标应符合磋商文件要求</w:t>
            </w:r>
          </w:p>
        </w:tc>
        <w:tc>
          <w:tcPr>
            <w:tcW w:type="dxa" w:w="1661"/>
          </w:tcPr>
          <w:p>
            <w:pPr>
              <w:pStyle w:val="null3"/>
            </w:pPr>
            <w:r>
              <w:rPr>
                <w:rFonts w:ascii="仿宋_GB2312" w:hAnsi="仿宋_GB2312" w:cs="仿宋_GB2312" w:eastAsia="仿宋_GB2312"/>
              </w:rPr>
              <w:t>服务内容及服务邀请应答表 技术服务响应方案.docx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磋商文件规定的其他情形</w:t>
            </w:r>
          </w:p>
        </w:tc>
        <w:tc>
          <w:tcPr>
            <w:tcW w:type="dxa" w:w="3322"/>
          </w:tcPr>
          <w:p>
            <w:pPr>
              <w:pStyle w:val="null3"/>
            </w:pPr>
            <w:r>
              <w:rPr>
                <w:rFonts w:ascii="仿宋_GB2312" w:hAnsi="仿宋_GB2312" w:cs="仿宋_GB2312" w:eastAsia="仿宋_GB2312"/>
              </w:rPr>
              <w:t>无其它不符合法律法规或磋商文件规定的投标无效条款</w:t>
            </w:r>
          </w:p>
        </w:tc>
        <w:tc>
          <w:tcPr>
            <w:tcW w:type="dxa" w:w="1661"/>
          </w:tcPr>
          <w:p>
            <w:pPr>
              <w:pStyle w:val="null3"/>
            </w:pPr>
            <w:r>
              <w:rPr>
                <w:rFonts w:ascii="仿宋_GB2312" w:hAnsi="仿宋_GB2312" w:cs="仿宋_GB2312" w:eastAsia="仿宋_GB2312"/>
              </w:rPr>
              <w:t>报价表及明细.docx 服务内容及服务邀请应答表 中小企业声明函 残疾人福利性单位声明函 技术服务响应方案.docx 商务应答表 标的清单 资格证明材料.docx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针对本项目服务方案</w:t>
            </w:r>
          </w:p>
        </w:tc>
        <w:tc>
          <w:tcPr>
            <w:tcW w:type="dxa" w:w="2492"/>
          </w:tcPr>
          <w:p>
            <w:pPr>
              <w:pStyle w:val="null3"/>
            </w:pPr>
            <w:r>
              <w:rPr>
                <w:rFonts w:ascii="仿宋_GB2312" w:hAnsi="仿宋_GB2312" w:cs="仿宋_GB2312" w:eastAsia="仿宋_GB2312"/>
              </w:rPr>
              <w:t>一、评审内容：根据本项目需求编制整体服务方案，包括以下4项内容：①工作目标；②定位实施方案；③岗位职责制度与考核办法④本项目重点、难点把控。 二、评审标准：供应商制定的整体服务方案理解准确，内容齐全、结构完整、表述准确、条理清晰得20.0分；每缺少一项要求的方案内容扣 5 分；方案内容有一处瑕疵的(瑕疵是指：对同一问题前后表述矛盾的，或逻辑不通的，或缺少关键节点，或涉及的规范及标准错误，或表述内容不完整，或不利于项目实施的情形等任意一种情形)，一处扣1分，扣完为止，不提供方案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技术服务响应方案.docx</w:t>
            </w:r>
          </w:p>
        </w:tc>
      </w:tr>
      <w:tr>
        <w:tc>
          <w:tcPr>
            <w:tcW w:type="dxa" w:w="831"/>
            <w:vMerge/>
          </w:tcPr>
          <w:p/>
        </w:tc>
        <w:tc>
          <w:tcPr>
            <w:tcW w:type="dxa" w:w="1661"/>
          </w:tcPr>
          <w:p>
            <w:pPr>
              <w:pStyle w:val="null3"/>
            </w:pPr>
            <w:r>
              <w:rPr>
                <w:rFonts w:ascii="仿宋_GB2312" w:hAnsi="仿宋_GB2312" w:cs="仿宋_GB2312" w:eastAsia="仿宋_GB2312"/>
              </w:rPr>
              <w:t>花卉摆放及养护方案</w:t>
            </w:r>
          </w:p>
        </w:tc>
        <w:tc>
          <w:tcPr>
            <w:tcW w:type="dxa" w:w="2492"/>
          </w:tcPr>
          <w:p>
            <w:pPr>
              <w:pStyle w:val="null3"/>
            </w:pPr>
            <w:r>
              <w:rPr>
                <w:rFonts w:ascii="仿宋_GB2312" w:hAnsi="仿宋_GB2312" w:cs="仿宋_GB2312" w:eastAsia="仿宋_GB2312"/>
              </w:rPr>
              <w:t>一、评审内容：提供花卉摆放及养护方案，包括以下3项内容：①摆花节点花卉及造型的方案设计②后期养护及景观维护（及时浇水、苗木防盗）③绿植及花木更换。 二、评审标准：供应商制定的花卉摆放及养护方案对项目要求理解准确，内容齐全、结构完整、表述准确、条理清晰得15.0分；每缺少一项要求的方案内容扣 5 分；方案内容有一处瑕疵的(瑕疵是指：对同一问题前后表述矛盾的，或逻辑不通的，或缺少关键节点，或涉及的规范及标准错误，或表述内容不完整，或不利于项目实施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技术服务响应方案.docx</w:t>
            </w:r>
          </w:p>
        </w:tc>
      </w:tr>
      <w:tr>
        <w:tc>
          <w:tcPr>
            <w:tcW w:type="dxa" w:w="831"/>
            <w:vMerge/>
          </w:tcPr>
          <w:p/>
        </w:tc>
        <w:tc>
          <w:tcPr>
            <w:tcW w:type="dxa" w:w="1661"/>
          </w:tcPr>
          <w:p>
            <w:pPr>
              <w:pStyle w:val="null3"/>
            </w:pPr>
            <w:r>
              <w:rPr>
                <w:rFonts w:ascii="仿宋_GB2312" w:hAnsi="仿宋_GB2312" w:cs="仿宋_GB2312" w:eastAsia="仿宋_GB2312"/>
              </w:rPr>
              <w:t>工作配合保障措施</w:t>
            </w:r>
          </w:p>
        </w:tc>
        <w:tc>
          <w:tcPr>
            <w:tcW w:type="dxa" w:w="2492"/>
          </w:tcPr>
          <w:p>
            <w:pPr>
              <w:pStyle w:val="null3"/>
            </w:pPr>
            <w:r>
              <w:rPr>
                <w:rFonts w:ascii="仿宋_GB2312" w:hAnsi="仿宋_GB2312" w:cs="仿宋_GB2312" w:eastAsia="仿宋_GB2312"/>
              </w:rPr>
              <w:t>一、评审内容：提供服务人员与采购人工作配合的保障措施。包括以下3项内容：① 组织保障②制度与流程保障③沟通与信息保障。二、评审标准：保障措施对项目要求理解准确，内容齐全、结构完整、表述准确、条理清晰得15.0分；每缺少一项要求的方案内容扣 5 分；方案内容有一处瑕疵的(瑕疵是指：对同一问题前后表述矛盾的，或逻辑不通的，或缺少关键节点，或涉及的规范及标准错误，或表述内容不完整，或不利于项目实施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技术服务响应方案.docx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提供服务承诺，包括以下3项内容：① 服务质量承诺②服务响应时限承诺③安全保障承诺。二、评审标准：服务承诺对项目要求理解准确，内容齐全、结构完整、表述准确、条理清晰得12.0分；每缺少一项要求的方案内容扣 4 分；方案内容有一处瑕疵的(瑕疵是指：对同一问题前后表述矛盾的，或逻辑不通的，或缺少关键节点，或涉及的规范及标准错误，或表述内容不完整，或不利于项目实施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岗位及人员配置</w:t>
            </w:r>
          </w:p>
        </w:tc>
        <w:tc>
          <w:tcPr>
            <w:tcW w:type="dxa" w:w="2492"/>
          </w:tcPr>
          <w:p>
            <w:pPr>
              <w:pStyle w:val="null3"/>
            </w:pPr>
            <w:r>
              <w:rPr>
                <w:rFonts w:ascii="仿宋_GB2312" w:hAnsi="仿宋_GB2312" w:cs="仿宋_GB2312" w:eastAsia="仿宋_GB2312"/>
              </w:rPr>
              <w:t>一、评审内容：①项目组成人员；②项目组织计划；③项目岗位职责。 二、评审标准：内容描述详细符合本项目需求得12分；每缺少一项要求的方案内容扣 4 分；方案内容有一处瑕疵的(瑕疵是指：对同一问题前后表述矛盾的，或逻辑不通的，或缺少关键节点，或涉及的规范及标准错误，或表述内容不完整，或不利于项目实施的情形等任意一种情形)，一处扣1分，扣完为止，不提供方案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技术服务响应方案.docx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一、评审内容 根据本项目需求编制应急方案，包括以下2项内容：①服务过程中出现的市场供求变化、恶性天气应急预案；②活动以及服务过程出现问题等特殊或突发事件有相应的应急预案及补救措施； 二、评审标准：供应商制定的应急方案对项目要求理解准确，内容齐全、结构完整、表述准确、条理清晰得6.0分；每缺少一项要求的方案内容扣 3 分；方案内容有一处瑕疵的(瑕疵是指：对同一问题前后表述矛盾的，或逻辑不通的，或缺少关键节点，或涉及的规范及标准错误，或表述内容不完整，或不利于项目实施的情形等任意一种情形)，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技术服务响应方案.docx</w:t>
            </w:r>
          </w:p>
        </w:tc>
      </w:tr>
      <w:tr>
        <w:tc>
          <w:tcPr>
            <w:tcW w:type="dxa" w:w="831"/>
            <w:vMerge/>
          </w:tcPr>
          <w:p/>
        </w:tc>
        <w:tc>
          <w:tcPr>
            <w:tcW w:type="dxa" w:w="1661"/>
          </w:tcPr>
          <w:p>
            <w:pPr>
              <w:pStyle w:val="null3"/>
            </w:pPr>
            <w:r>
              <w:rPr>
                <w:rFonts w:ascii="仿宋_GB2312" w:hAnsi="仿宋_GB2312" w:cs="仿宋_GB2312" w:eastAsia="仿宋_GB2312"/>
              </w:rPr>
              <w:t>供应渠道</w:t>
            </w:r>
          </w:p>
        </w:tc>
        <w:tc>
          <w:tcPr>
            <w:tcW w:type="dxa" w:w="2492"/>
          </w:tcPr>
          <w:p>
            <w:pPr>
              <w:pStyle w:val="null3"/>
            </w:pPr>
            <w:r>
              <w:rPr>
                <w:rFonts w:ascii="仿宋_GB2312" w:hAnsi="仿宋_GB2312" w:cs="仿宋_GB2312" w:eastAsia="仿宋_GB2312"/>
              </w:rPr>
              <w:t>一、评审内容：提供自有花卉基地或常年合作的花卉生产商基地的相关材料，包括但不限于用地面积、租地协议、花卉规模、供货渠道等。二、评审标准：证明资料内容齐全、表述准确、条理清晰得4.0分；方案内容有一处瑕疵的(瑕疵是指：对同一问题前后表述矛盾的，或逻辑不通的，或缺少关键节点，或涉及的规范及标准错误，或表述内容不完整，或不利于项目实施的情形等任意一种情形)，一处扣1分，扣完为止，不提供方案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供应商提供近2023年1月1日以来(业绩时间以合同签订日期为准)类似的项目业绩，每提供一个合同证明材料得2分，满分6分。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 2.有效最低报价为基准价得10分。 3.按（有效最低报价/有效投标报价）×10的公式计算其得分。 4.投标报价不完整的，不进入评标标准价的计算，本项得0分。 5.经评委一致认定，供应商的投标总报价低于公认市场成本，或超过采购预算,其投标将被拒绝。</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报价表及明细.docx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详见附件：报价表及明细.docx</w:t>
      </w:r>
    </w:p>
    <w:p>
      <w:pPr>
        <w:pStyle w:val="null3"/>
        <w:ind w:firstLine="960"/>
      </w:pPr>
      <w:r>
        <w:rPr>
          <w:rFonts w:ascii="仿宋_GB2312" w:hAnsi="仿宋_GB2312" w:cs="仿宋_GB2312" w:eastAsia="仿宋_GB2312"/>
        </w:rPr>
        <w:t>详见附件：技术服务响应方案.docx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