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版本号：HTXMZB2026-01620260610001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东方厂改造区块部分地块实施详细规划及“规土评让”技术咨询服务项目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HTXMZB2026-016</w:t>
      </w:r>
      <w:r>
        <w:br/>
      </w:r>
      <w:r>
        <w:br/>
      </w:r>
      <w:r>
        <w:br/>
      </w:r>
    </w:p>
    <w:p>
      <w:pPr>
        <w:pStyle w:val="null3"/>
        <w:jc w:val="center"/>
        <w:outlineLvl w:val="2"/>
      </w:pPr>
      <w:r>
        <w:rPr>
          <w:rFonts w:ascii="仿宋_GB2312" w:hAnsi="仿宋_GB2312" w:cs="仿宋_GB2312" w:eastAsia="仿宋_GB2312"/>
          <w:sz w:val="28"/>
          <w:b/>
        </w:rPr>
        <w:t>西安市幸福路地区综合改造管理委员会</w:t>
      </w:r>
    </w:p>
    <w:p>
      <w:pPr>
        <w:pStyle w:val="null3"/>
        <w:jc w:val="center"/>
        <w:outlineLvl w:val="2"/>
      </w:pPr>
      <w:r>
        <w:rPr>
          <w:rFonts w:ascii="仿宋_GB2312" w:hAnsi="仿宋_GB2312" w:cs="仿宋_GB2312" w:eastAsia="仿宋_GB2312"/>
          <w:sz w:val="28"/>
          <w:b/>
        </w:rPr>
        <w:t>陕西华泰工程项目管理有限公司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陕西华泰工程项目管理有限公司</w:t>
      </w:r>
      <w:r>
        <w:rPr>
          <w:rFonts w:ascii="仿宋_GB2312" w:hAnsi="仿宋_GB2312" w:cs="仿宋_GB2312" w:eastAsia="仿宋_GB2312"/>
        </w:rPr>
        <w:t>（以下简称“代理机构”）受</w:t>
      </w:r>
      <w:r>
        <w:rPr>
          <w:rFonts w:ascii="仿宋_GB2312" w:hAnsi="仿宋_GB2312" w:cs="仿宋_GB2312" w:eastAsia="仿宋_GB2312"/>
        </w:rPr>
        <w:t>西安市幸福路地区综合改造管理委员会</w:t>
      </w:r>
      <w:r>
        <w:rPr>
          <w:rFonts w:ascii="仿宋_GB2312" w:hAnsi="仿宋_GB2312" w:cs="仿宋_GB2312" w:eastAsia="仿宋_GB2312"/>
        </w:rPr>
        <w:t>委托，拟对</w:t>
      </w:r>
      <w:r>
        <w:rPr>
          <w:rFonts w:ascii="仿宋_GB2312" w:hAnsi="仿宋_GB2312" w:cs="仿宋_GB2312" w:eastAsia="仿宋_GB2312"/>
        </w:rPr>
        <w:t>东方厂改造区块部分地块实施详细规划及“规土评让”技术咨询服务项目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HTXMZB2026-016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东方厂改造区块部分地块实施详细规划及“规土评让”技术咨询服务项目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东方厂改造项目位于新兴南路以北，规划路以西，规划幸福大道以东，东方厂区块内，本次涉及19.93亩消防站地块及357.765亩“5+3+6+1”组合供应方案(含5个经营性地块，3个配套设施地块，6条路，1宗工业遗产地块)，其中1宗消防站地块及5宗经营性地块需编制地块实施详细规划，“5+3+6+1”组合供应需编制1个"规土评让”方案，消防站地块不涉及规土评让方案。</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供应商具有独立承担民事责任能力的法人、事业法人、其他组织或自然人。企业法人应提供合法有效的标识有统一社会信用代码的营业执照；事业法人应提供事业单位法人证书；其他组织应提供合法登记证明文件；</w:t>
      </w:r>
    </w:p>
    <w:p>
      <w:pPr>
        <w:pStyle w:val="null3"/>
      </w:pPr>
      <w:r>
        <w:rPr>
          <w:rFonts w:ascii="仿宋_GB2312" w:hAnsi="仿宋_GB2312" w:cs="仿宋_GB2312" w:eastAsia="仿宋_GB2312"/>
        </w:rPr>
        <w:t>2、财务状况报告：供应商须提供2024年至今任意一年经审计的财务报告（成立时间至提交投标文件截止时间不足一年的可提供成立后任意时段的资产负债表）或其基本存款账户开户银行出具的资信证明及基本存款账户开户许可证；</w:t>
      </w:r>
    </w:p>
    <w:p>
      <w:pPr>
        <w:pStyle w:val="null3"/>
      </w:pPr>
      <w:r>
        <w:rPr>
          <w:rFonts w:ascii="仿宋_GB2312" w:hAnsi="仿宋_GB2312" w:cs="仿宋_GB2312" w:eastAsia="仿宋_GB2312"/>
        </w:rPr>
        <w:t>3、社保缴纳证明：提供2025年6月1日至今任意一个月的社会保障资金缴存单据或社保机构开具的社会保险参保缴费情况证明，依法不需要缴纳社会保障资金的单位应提供相关证明材料；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4、税收缴纳证明：提供2025年6月1日至今任意一个月的纳税证明或完税证明，依法免税或无需缴纳税收的供应商应提供相关证明材料；</w:t>
      </w:r>
    </w:p>
    <w:p>
      <w:pPr>
        <w:pStyle w:val="null3"/>
      </w:pPr>
      <w:r>
        <w:rPr>
          <w:rFonts w:ascii="仿宋_GB2312" w:hAnsi="仿宋_GB2312" w:cs="仿宋_GB2312" w:eastAsia="仿宋_GB2312"/>
        </w:rPr>
        <w:t>5、履行合同承诺函：提供具有履行合同所必需的设备和专业技术能力的承诺函；</w:t>
      </w:r>
    </w:p>
    <w:p>
      <w:pPr>
        <w:pStyle w:val="null3"/>
      </w:pPr>
      <w:r>
        <w:rPr>
          <w:rFonts w:ascii="仿宋_GB2312" w:hAnsi="仿宋_GB2312" w:cs="仿宋_GB2312" w:eastAsia="仿宋_GB2312"/>
        </w:rPr>
        <w:t>6、无重大违法记录书面声明：参加政府采购活动前3年内在经营活动中没有重大违法记录的书面声明；</w:t>
      </w:r>
    </w:p>
    <w:p>
      <w:pPr>
        <w:pStyle w:val="null3"/>
      </w:pPr>
      <w:r>
        <w:rPr>
          <w:rFonts w:ascii="仿宋_GB2312" w:hAnsi="仿宋_GB2312" w:cs="仿宋_GB2312" w:eastAsia="仿宋_GB2312"/>
        </w:rPr>
        <w:t>7、资质要求：供应商应具有行政主管部门颁发的城乡规划编制乙级(含乙级)以上资质；</w:t>
      </w:r>
    </w:p>
    <w:p>
      <w:pPr>
        <w:pStyle w:val="null3"/>
      </w:pPr>
      <w:r>
        <w:rPr>
          <w:rFonts w:ascii="仿宋_GB2312" w:hAnsi="仿宋_GB2312" w:cs="仿宋_GB2312" w:eastAsia="仿宋_GB2312"/>
        </w:rPr>
        <w:t>8、授权委托书：法定代表人直接参加投标的，须提供法定代表人身份证明；法定代表人授权他人参加投标的，须提供法定代表人授权委托书；</w:t>
      </w:r>
    </w:p>
    <w:p>
      <w:pPr>
        <w:pStyle w:val="null3"/>
      </w:pPr>
      <w:r>
        <w:rPr>
          <w:rFonts w:ascii="仿宋_GB2312" w:hAnsi="仿宋_GB2312" w:cs="仿宋_GB2312" w:eastAsia="仿宋_GB2312"/>
        </w:rPr>
        <w:t>9、信用记录：供应商不得为“信用中国”官网中列入失信被执行人、重大税收违法失信主体的供应商，不得为“中国政府采购网”（www.ccgp.gov.cn）政府采购严重违法失信行为记录名单中被财政部门禁止参加政府采购活动的供应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西安市幸福路地区综合改造管理委员会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西安市韩森东路141号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029-65677962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陕西华泰工程项目管理有限公司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陕西华泰工程项目管理有限公司</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杨倩倩、纪娜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029-86250354、13572179207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西安市新城区政府采购管理股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刘婷</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87438480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采购包1：1,125,000.00元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代理服务费收费标准：参照《国家计委关于印发&lt;招标代理服务收费管理暂行办法&gt;的通知》（计价格〔2002〕1980号）和发改价格〔2011〕534号文计取。由中标单位支付。 银行账户： 公司名称：陕西华泰工程项目管理有限公司 账 号：509011510000061228 开 户 行：西安银行文艺北路支行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西安市幸福路地区综合改造管理委员会</w:t>
      </w:r>
      <w:r>
        <w:rPr>
          <w:rFonts w:ascii="仿宋_GB2312" w:hAnsi="仿宋_GB2312" w:cs="仿宋_GB2312" w:eastAsia="仿宋_GB2312"/>
        </w:rPr>
        <w:t>和</w:t>
      </w:r>
      <w:r>
        <w:rPr>
          <w:rFonts w:ascii="仿宋_GB2312" w:hAnsi="仿宋_GB2312" w:cs="仿宋_GB2312" w:eastAsia="仿宋_GB2312"/>
        </w:rPr>
        <w:t>陕西华泰工程项目管理有限公司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西安市幸福路地区综合改造管理委员会</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陕西华泰工程项目管理有限公司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西安市幸福路地区综合改造管理委员会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陕西华泰工程项目管理有限公司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符合国家、行业及地方相关要求达到合格标准。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陕西华泰工程项目管理有限公司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陕西华泰工程项目管理有限公司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陕西华泰工程项目管理有限公司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联系人：杨倩倩</w:t>
      </w:r>
    </w:p>
    <w:p>
      <w:pPr>
        <w:pStyle w:val="null3"/>
      </w:pPr>
      <w:r>
        <w:rPr>
          <w:rFonts w:ascii="仿宋_GB2312" w:hAnsi="仿宋_GB2312" w:cs="仿宋_GB2312" w:eastAsia="仿宋_GB2312"/>
        </w:rPr>
        <w:t>联系电话：029-86250354</w:t>
      </w:r>
    </w:p>
    <w:p>
      <w:pPr>
        <w:pStyle w:val="null3"/>
      </w:pPr>
      <w:r>
        <w:rPr>
          <w:rFonts w:ascii="仿宋_GB2312" w:hAnsi="仿宋_GB2312" w:cs="仿宋_GB2312" w:eastAsia="仿宋_GB2312"/>
        </w:rPr>
        <w:t>地址：西安市经开区凤城五路世融嘉轩5号楼27层</w:t>
      </w:r>
    </w:p>
    <w:p>
      <w:pPr>
        <w:pStyle w:val="null3"/>
      </w:pPr>
      <w:r>
        <w:rPr>
          <w:rFonts w:ascii="仿宋_GB2312" w:hAnsi="仿宋_GB2312" w:cs="仿宋_GB2312" w:eastAsia="仿宋_GB2312"/>
        </w:rPr>
        <w:t>邮编：710018</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东方厂改造项目位于新兴南路以北，规划路以西，规划幸福大道以东，东方厂区块内，本次涉及19.93亩消防站地块及357.765亩“5+3+6+1”组合供应方案(含5个经营性地块，3个配套设施地块，6条路，1宗工业遗产地块)，其中1宗消防站地块及5宗经营性地块需编制地块实施详细规划，“5+3+6+1”组合供应需编制1个"规土评让”方案，消防站地块不涉及规土评让方案.</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1,125,000.00</w:t>
      </w:r>
    </w:p>
    <w:p>
      <w:pPr>
        <w:pStyle w:val="null3"/>
      </w:pPr>
      <w:r>
        <w:rPr>
          <w:rFonts w:ascii="仿宋_GB2312" w:hAnsi="仿宋_GB2312" w:cs="仿宋_GB2312" w:eastAsia="仿宋_GB2312"/>
        </w:rPr>
        <w:t>采购包最高限价（元）: 1,125,000.00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东方厂改造区块部分地块实施详细规划及规土评让技术咨询服务项目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1,125,000.00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标的名称：东方厂改造区块部分地块实施详细规划及规土评让技术咨询服务项目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一、项目概况</w:t>
            </w:r>
          </w:p>
          <w:p>
            <w:pPr>
              <w:pStyle w:val="null3"/>
              <w:ind w:firstLine="480"/>
              <w:jc w:val="both"/>
            </w:pPr>
            <w:r>
              <w:rPr>
                <w:rFonts w:ascii="仿宋_GB2312" w:hAnsi="仿宋_GB2312" w:cs="仿宋_GB2312" w:eastAsia="仿宋_GB2312"/>
                <w:sz w:val="24"/>
              </w:rPr>
              <w:t>东方厂改造项目位于新兴南路以北，规划路以西，规划幸福大道以东，东方厂区块内，本次涉及</w:t>
            </w:r>
            <w:r>
              <w:rPr>
                <w:rFonts w:ascii="仿宋_GB2312" w:hAnsi="仿宋_GB2312" w:cs="仿宋_GB2312" w:eastAsia="仿宋_GB2312"/>
                <w:sz w:val="24"/>
              </w:rPr>
              <w:t>19.93亩消防站地块及357.765亩“5+3+6+1”组合供应方案(含5个经营性地块，3个配套设施地块，6条路，1宗工业遗产地块)，其中1宗消防站地块及5宗经营性地块需编制地块实施详细规划，“5+3+6+1”组合供应需编制1个"规土评让”方案，消防站地块不涉及规土评让方案。</w:t>
            </w:r>
          </w:p>
          <w:p>
            <w:pPr>
              <w:pStyle w:val="null3"/>
              <w:jc w:val="both"/>
            </w:pPr>
            <w:r>
              <w:rPr>
                <w:rFonts w:ascii="仿宋_GB2312" w:hAnsi="仿宋_GB2312" w:cs="仿宋_GB2312" w:eastAsia="仿宋_GB2312"/>
                <w:sz w:val="24"/>
                <w:b/>
              </w:rPr>
              <w:t>二、</w:t>
            </w:r>
            <w:r>
              <w:rPr>
                <w:rFonts w:ascii="仿宋_GB2312" w:hAnsi="仿宋_GB2312" w:cs="仿宋_GB2312" w:eastAsia="仿宋_GB2312"/>
                <w:sz w:val="24"/>
                <w:b/>
              </w:rPr>
              <w:t>服务内容</w:t>
            </w:r>
          </w:p>
          <w:p>
            <w:pPr>
              <w:pStyle w:val="null3"/>
              <w:ind w:firstLine="480"/>
              <w:jc w:val="both"/>
            </w:pPr>
            <w:r>
              <w:rPr>
                <w:rFonts w:ascii="仿宋_GB2312" w:hAnsi="仿宋_GB2312" w:cs="仿宋_GB2312" w:eastAsia="仿宋_GB2312"/>
                <w:sz w:val="24"/>
              </w:rPr>
              <w:t>编制</w:t>
            </w:r>
            <w:r>
              <w:rPr>
                <w:rFonts w:ascii="仿宋_GB2312" w:hAnsi="仿宋_GB2312" w:cs="仿宋_GB2312" w:eastAsia="仿宋_GB2312"/>
                <w:sz w:val="24"/>
              </w:rPr>
              <w:t>XC-09-17-05地块及“5+3+6+1”地块实施详细规划，确定地块用地性质、容积率、建筑密度、绿地率、建筑高度等指标，市政基础设施和公共服务配套设施的规模、范围，以及建筑形态、公共空间等城市设计控制要求。成果应包含说明书、图则、相关技术图纸及数据库。</w:t>
            </w:r>
          </w:p>
          <w:p>
            <w:pPr>
              <w:pStyle w:val="null3"/>
              <w:ind w:firstLine="480"/>
              <w:jc w:val="both"/>
            </w:pPr>
            <w:r>
              <w:rPr>
                <w:rFonts w:ascii="仿宋_GB2312" w:hAnsi="仿宋_GB2312" w:cs="仿宋_GB2312" w:eastAsia="仿宋_GB2312"/>
                <w:sz w:val="24"/>
              </w:rPr>
              <w:t>2.2编制“5+3+6+1”地块“规土评让”相关技术服务，包括验证性模拟方案、全过程规划优化、“规土评让”PPT 及相关图件制作等工作。</w:t>
            </w:r>
          </w:p>
          <w:p>
            <w:pPr>
              <w:pStyle w:val="null3"/>
              <w:jc w:val="both"/>
            </w:pPr>
            <w:r>
              <w:rPr>
                <w:rFonts w:ascii="仿宋_GB2312" w:hAnsi="仿宋_GB2312" w:cs="仿宋_GB2312" w:eastAsia="仿宋_GB2312"/>
                <w:sz w:val="24"/>
                <w:b/>
              </w:rPr>
              <w:t>三</w:t>
            </w:r>
            <w:r>
              <w:rPr>
                <w:rFonts w:ascii="仿宋_GB2312" w:hAnsi="仿宋_GB2312" w:cs="仿宋_GB2312" w:eastAsia="仿宋_GB2312"/>
                <w:sz w:val="24"/>
                <w:b/>
              </w:rPr>
              <w:t>、成果内容</w:t>
            </w:r>
          </w:p>
          <w:p>
            <w:pPr>
              <w:pStyle w:val="null3"/>
              <w:ind w:firstLine="480"/>
              <w:jc w:val="both"/>
            </w:pPr>
            <w:r>
              <w:rPr>
                <w:rFonts w:ascii="仿宋_GB2312" w:hAnsi="仿宋_GB2312" w:cs="仿宋_GB2312" w:eastAsia="仿宋_GB2312"/>
                <w:sz w:val="24"/>
              </w:rPr>
              <w:t>各种图件纸质成果</w:t>
            </w:r>
            <w:r>
              <w:rPr>
                <w:rFonts w:ascii="仿宋_GB2312" w:hAnsi="仿宋_GB2312" w:cs="仿宋_GB2312" w:eastAsia="仿宋_GB2312"/>
                <w:sz w:val="24"/>
              </w:rPr>
              <w:t>、</w:t>
            </w:r>
            <w:r>
              <w:rPr>
                <w:rFonts w:ascii="仿宋_GB2312" w:hAnsi="仿宋_GB2312" w:cs="仿宋_GB2312" w:eastAsia="仿宋_GB2312"/>
                <w:sz w:val="24"/>
              </w:rPr>
              <w:t>坐标成果文件</w:t>
            </w:r>
            <w:r>
              <w:rPr>
                <w:rFonts w:ascii="仿宋_GB2312" w:hAnsi="仿宋_GB2312" w:cs="仿宋_GB2312" w:eastAsia="仿宋_GB2312"/>
                <w:sz w:val="24"/>
              </w:rPr>
              <w:t>、</w:t>
            </w:r>
            <w:r>
              <w:rPr>
                <w:rFonts w:ascii="仿宋_GB2312" w:hAnsi="仿宋_GB2312" w:cs="仿宋_GB2312" w:eastAsia="仿宋_GB2312"/>
                <w:sz w:val="24"/>
              </w:rPr>
              <w:t>所需成果的数据格式</w:t>
            </w:r>
            <w:r>
              <w:rPr>
                <w:rFonts w:ascii="仿宋_GB2312" w:hAnsi="仿宋_GB2312" w:cs="仿宋_GB2312" w:eastAsia="仿宋_GB2312"/>
                <w:sz w:val="24"/>
              </w:rPr>
              <w:t>及数据库</w:t>
            </w:r>
            <w:r>
              <w:rPr>
                <w:rFonts w:ascii="仿宋_GB2312" w:hAnsi="仿宋_GB2312" w:cs="仿宋_GB2312" w:eastAsia="仿宋_GB2312"/>
                <w:sz w:val="24"/>
              </w:rPr>
              <w:t>文件</w:t>
            </w:r>
            <w:r>
              <w:rPr>
                <w:rFonts w:ascii="仿宋_GB2312" w:hAnsi="仿宋_GB2312" w:cs="仿宋_GB2312" w:eastAsia="仿宋_GB2312"/>
                <w:sz w:val="24"/>
              </w:rPr>
              <w:t>等。</w:t>
            </w:r>
          </w:p>
          <w:p>
            <w:pPr>
              <w:pStyle w:val="null3"/>
              <w:jc w:val="both"/>
            </w:pPr>
            <w:r>
              <w:rPr>
                <w:rFonts w:ascii="仿宋_GB2312" w:hAnsi="仿宋_GB2312" w:cs="仿宋_GB2312" w:eastAsia="仿宋_GB2312"/>
                <w:sz w:val="24"/>
                <w:b/>
              </w:rPr>
              <w:t>四、商务要求</w:t>
            </w:r>
          </w:p>
          <w:p>
            <w:pPr>
              <w:pStyle w:val="null3"/>
              <w:jc w:val="both"/>
            </w:pPr>
            <w:r>
              <w:rPr>
                <w:rFonts w:ascii="仿宋_GB2312" w:hAnsi="仿宋_GB2312" w:cs="仿宋_GB2312" w:eastAsia="仿宋_GB2312"/>
                <w:sz w:val="24"/>
              </w:rPr>
              <w:t xml:space="preserve">   1、服务期限：合同签订之日起12个月。</w:t>
            </w:r>
          </w:p>
          <w:p>
            <w:pPr>
              <w:pStyle w:val="null3"/>
              <w:jc w:val="both"/>
            </w:pPr>
            <w:r>
              <w:rPr>
                <w:rFonts w:ascii="仿宋_GB2312" w:hAnsi="仿宋_GB2312" w:cs="仿宋_GB2312" w:eastAsia="仿宋_GB2312"/>
                <w:sz w:val="24"/>
              </w:rPr>
              <w:t xml:space="preserve">   2、服务地点：采购人指定地点。</w:t>
            </w:r>
          </w:p>
          <w:p>
            <w:pPr>
              <w:pStyle w:val="null3"/>
              <w:jc w:val="both"/>
            </w:pPr>
            <w:r>
              <w:rPr>
                <w:rFonts w:ascii="仿宋_GB2312" w:hAnsi="仿宋_GB2312" w:cs="仿宋_GB2312" w:eastAsia="仿宋_GB2312"/>
                <w:sz w:val="24"/>
              </w:rPr>
              <w:t xml:space="preserve">   3、质量标准：</w:t>
            </w:r>
            <w:r>
              <w:rPr>
                <w:rFonts w:ascii="仿宋_GB2312" w:hAnsi="仿宋_GB2312" w:cs="仿宋_GB2312" w:eastAsia="仿宋_GB2312"/>
                <w:sz w:val="24"/>
              </w:rPr>
              <w:t>符合国家、行业及地方相关要求达到合格标准并通过审批。</w:t>
            </w:r>
          </w:p>
          <w:p>
            <w:pPr>
              <w:pStyle w:val="null3"/>
              <w:jc w:val="both"/>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按项目需求配备相应人员。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按项目需求配备相关设施设备。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按采购人要求执行。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合同签订之日起12个月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新城区，采购人指定地点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提交成果文件，通过审批。</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进度款，签订合同后，达到付款条件起10个工作日内，支付合同总金额的30.0%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进度款，规划成果通过西安市自然资源与规划局新城分局审议后，达到付款条件起10个工作日内，支付合同总金额的30.0%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进度款，规划成果通过西安市自然资源与规划局审议后，达到付款条件起10个工作日内，支付合同总金额的20.0%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进度款，规划成果通过审批后，达到付款条件起10个工作日内，支付合同总金额的20.0%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双方因履行本合同而发生的争议，应协商、调解解决。任何一方均可向甲方所在地人民法院提起诉讼。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标的所属行业：据《工业和信息化部、国家统计局、国家发展和改革委员会财政部关于印发中小企业划型标准规定的通知》(工信部联企业(2011)300号)对中小企业的划分标准的规定，本项目采购标对应的所属行业为其他未列明行业：从业人员300人以下的为中小微型企业。其中，从业人员100人及以上的为中型企业；从业人员10人及以上的为小型企业；从业人员10人以下的为微型企业。 2、为顺利推进政府采购电子化交易平台应用工作，供应商需要在线提交所有通过电子化交易平台实施的政府采购项目的响应文件，投标时供应商无需提供纸质版响应文件。成交人在领取成交通知书前将纸质版响应文件正本1份、副本1份打印盖章提交至招标代理公司处（陕西省西安市经开区凤城五路世融嘉轩5号楼27层招标部），以便采购人进行留存备案等工作，成交人应保持响应文件纸质版内容与电子版（系统上传）内容完全一致，否则将承担一切法律责任。纸质响应文件一律采用书籍（胶装）方式装订，建议双面打印。</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供应商具有独立承担民事责任能力的法人、事业法人、其他组织或自然人。企业法人应提供合法有效的标识有统一社会信用代码的营业执照；事业法人应提供事业单位法人证书；其他组织应提供合法登记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供应商须提供2024年至今任意一年经审计的财务报告（成立时间至提交投标文件截止时间不足一年的可提供成立后任意时段的资产负债表）或其基本存款账户开户银行出具的资信证明及基本存款账户开户许可证；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提供2025年6月1日至今任意一个月的社会保障资金缴存单据或社保机构开具的社会保险参保缴费情况证明，依法不需要缴纳社会保障资金的单位应提供相关证明材料；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提供2025年6月1日至今任意一个月的纳税证明或完税证明，依法免税或无需缴纳税收的供应商应提供相关证明材料；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供应商应具有行政主管部门颁发的城乡规划编制乙级(含乙级)以上资质；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法定代表人直接参加投标的，须提供法定代表人身份证明；法定代表人授权他人参加投标的，须提供法定代表人授权委托书；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官网中列入失信被执行人、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供应商承诺及声明.docx 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响应文件加盖供应商公章并经法定代表人或其委托代理人签字或盖章。由委托代理人签字或盖章的在响应文件中须同时提交有效响应文件签署授权委托书。</w:t>
            </w:r>
          </w:p>
        </w:tc>
        <w:tc>
          <w:tcPr>
            <w:tcW w:type="dxa" w:w="1661"/>
          </w:tcPr>
          <w:p>
            <w:pPr>
              <w:pStyle w:val="null3"/>
            </w:pPr>
            <w:r>
              <w:rPr>
                <w:rFonts w:ascii="仿宋_GB2312" w:hAnsi="仿宋_GB2312" w:cs="仿宋_GB2312" w:eastAsia="仿宋_GB2312"/>
              </w:rPr>
              <w:t>投标方案.docx 中小企业声明函 商务应答表 服务内容及服务要求应答表 报价表 资格证明文件.docx 响应文件封面 分项报价表.docx 残疾人福利性单位声明函 标的清单 供应商承诺及声明.docx 其他资料.docx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投标报价符合唯一性要求： 开标一览表填写符合要求； 计量单位、报价货币均符合磋商文件要求； 未超出采购预算或采购文件规定的最高限价。</w:t>
            </w:r>
          </w:p>
        </w:tc>
        <w:tc>
          <w:tcPr>
            <w:tcW w:type="dxa" w:w="1661"/>
          </w:tcPr>
          <w:p>
            <w:pPr>
              <w:pStyle w:val="null3"/>
            </w:pPr>
            <w:r>
              <w:rPr>
                <w:rFonts w:ascii="仿宋_GB2312" w:hAnsi="仿宋_GB2312" w:cs="仿宋_GB2312" w:eastAsia="仿宋_GB2312"/>
              </w:rPr>
              <w:t>响应文件封面 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合同签订之日起12个月</w:t>
            </w:r>
          </w:p>
        </w:tc>
        <w:tc>
          <w:tcPr>
            <w:tcW w:type="dxa" w:w="1661"/>
          </w:tcPr>
          <w:p>
            <w:pPr>
              <w:pStyle w:val="null3"/>
            </w:pPr>
            <w:r>
              <w:rPr>
                <w:rFonts w:ascii="仿宋_GB2312" w:hAnsi="仿宋_GB2312" w:cs="仿宋_GB2312" w:eastAsia="仿宋_GB2312"/>
              </w:rPr>
              <w:t>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90日历日（从提交响应文件的截止之日起算）</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是否联合体投标</w:t>
            </w:r>
          </w:p>
        </w:tc>
        <w:tc>
          <w:tcPr>
            <w:tcW w:type="dxa" w:w="3322"/>
          </w:tcPr>
          <w:p>
            <w:pPr>
              <w:pStyle w:val="null3"/>
            </w:pPr>
            <w:r>
              <w:rPr>
                <w:rFonts w:ascii="仿宋_GB2312" w:hAnsi="仿宋_GB2312" w:cs="仿宋_GB2312" w:eastAsia="仿宋_GB2312"/>
              </w:rPr>
              <w:t>不允许联合体，提供非联合体声明</w:t>
            </w:r>
          </w:p>
        </w:tc>
        <w:tc>
          <w:tcPr>
            <w:tcW w:type="dxa" w:w="1661"/>
          </w:tcPr>
          <w:p>
            <w:pPr>
              <w:pStyle w:val="null3"/>
            </w:pPr>
            <w:r>
              <w:rPr>
                <w:rFonts w:ascii="仿宋_GB2312" w:hAnsi="仿宋_GB2312" w:cs="仿宋_GB2312" w:eastAsia="仿宋_GB2312"/>
              </w:rPr>
              <w:t>供应商承诺及声明.docx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响应文件响应内容的完整性、响应性</w:t>
            </w:r>
          </w:p>
        </w:tc>
        <w:tc>
          <w:tcPr>
            <w:tcW w:type="dxa" w:w="3322"/>
          </w:tcPr>
          <w:p>
            <w:pPr>
              <w:pStyle w:val="null3"/>
            </w:pPr>
            <w:r>
              <w:rPr>
                <w:rFonts w:ascii="仿宋_GB2312" w:hAnsi="仿宋_GB2312" w:cs="仿宋_GB2312" w:eastAsia="仿宋_GB2312"/>
              </w:rPr>
              <w:t>响应文件内容完整。实质性条款全部响应。无采购人不能接受的附加条件</w:t>
            </w:r>
          </w:p>
        </w:tc>
        <w:tc>
          <w:tcPr>
            <w:tcW w:type="dxa" w:w="1661"/>
          </w:tcPr>
          <w:p>
            <w:pPr>
              <w:pStyle w:val="null3"/>
            </w:pPr>
            <w:r>
              <w:rPr>
                <w:rFonts w:ascii="仿宋_GB2312" w:hAnsi="仿宋_GB2312" w:cs="仿宋_GB2312" w:eastAsia="仿宋_GB2312"/>
              </w:rPr>
              <w:t>响应文件封面 投标方案.docx 分项报价表.docx 商务应答表 供应商承诺及声明.docx 标的清单 服务内容及服务要求应答表 报价表 响应函 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其他事项</w:t>
            </w:r>
          </w:p>
        </w:tc>
        <w:tc>
          <w:tcPr>
            <w:tcW w:type="dxa" w:w="3322"/>
          </w:tcPr>
          <w:p>
            <w:pPr>
              <w:pStyle w:val="null3"/>
            </w:pPr>
            <w:r>
              <w:rPr>
                <w:rFonts w:ascii="仿宋_GB2312" w:hAnsi="仿宋_GB2312" w:cs="仿宋_GB2312" w:eastAsia="仿宋_GB2312"/>
              </w:rPr>
              <w:t>没有不符合采购文件规定的被视为无效响应的其他条款</w:t>
            </w:r>
          </w:p>
        </w:tc>
        <w:tc>
          <w:tcPr>
            <w:tcW w:type="dxa" w:w="1661"/>
          </w:tcPr>
          <w:p>
            <w:pPr>
              <w:pStyle w:val="null3"/>
            </w:pPr>
            <w:r>
              <w:rPr>
                <w:rFonts w:ascii="仿宋_GB2312" w:hAnsi="仿宋_GB2312" w:cs="仿宋_GB2312" w:eastAsia="仿宋_GB2312"/>
              </w:rPr>
              <w:t>投标方案.docx 分项报价表.docx 商务应答表 标的清单 服务内容及服务要求应答表 供应商承诺及声明.docx 报价表 响应函 资格证明文件.docx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1、评审内容 针对本项目的实施方案，包含：①背景及区位研究②上位规划传导③现状调研分析④实施详细规划。 2、评审标准 ①完整性：方案必须全面，对评审内容中的各项要求有详细描述； ②可实施性：切合本项目实际情况，提出步骤清晰、合理的方案； ③针对性：方案能够紧扣项目实际情况，内容科学合理。 3、赋分标准（满分 30分） ①项目的总体框架及计划：每完全满足一个评审标准得2.5分，满分7.5分； ②规划思路：每完全满足一个评审标准得 2.5分，满分7.5分； ③各技术思路及方法：每完全满足一个评审标准得 2.5分，满分7.5分； ④预期成果：每完全满足一个评审标准得 2.5分，满分7.5分。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服务保障措施</w:t>
            </w:r>
          </w:p>
        </w:tc>
        <w:tc>
          <w:tcPr>
            <w:tcW w:type="dxa" w:w="2492"/>
          </w:tcPr>
          <w:p>
            <w:pPr>
              <w:pStyle w:val="null3"/>
            </w:pPr>
            <w:r>
              <w:rPr>
                <w:rFonts w:ascii="仿宋_GB2312" w:hAnsi="仿宋_GB2312" w:cs="仿宋_GB2312" w:eastAsia="仿宋_GB2312"/>
              </w:rPr>
              <w:t>1、评审内容 针对本项目的服务保障措施，包含：①进度保障措施②质量保障措施。 2、评审标准 ①完整性：方案必须全面，对评审内容中的各项要求有详细描述； ②可实施性：切合本项目实际情况，提出步骤清晰、合理的方案； ③针对性：方案能够紧扣项目实际情况，内容科学合理。 3、赋分标准（满分 12分） ①进度保障措施：每完全满足一个评审标准得 2分，满分6分； ②质量保障措施：每完全满足一个评审标准得2分，满分6分。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1、拟派项目负责人具有国家注册城乡规划师和高级职称得 5分，不满足要求或未提供不得分。 说明：提供负责人注册证书、职称证等复印件并加盖公章，2025年至今(任意3个月)参保证明，依法不需要缴纳社会保障资金的，提供相应证明文件，否则不得分。 2、项目组团队(不含项目负责人)，具备高级工程师及以上职称，同时具备国家注册城乡规划师资格的每人得3分，只具备高级工程师职称或只具备国家注册城乡规划师资格的每人得2分，具备中级工程师职称的每人得1分，满分18分。提供相应证明文件，否则不得分。 3、项目组团队相关技术人员专业（规划、交通、给排水、建筑）配备齐全得8分。每少提供一个专业扣2分。提供相应证明文件，否则不得分。</w:t>
            </w:r>
          </w:p>
        </w:tc>
        <w:tc>
          <w:tcPr>
            <w:tcW w:type="dxa" w:w="831"/>
          </w:tcPr>
          <w:p>
            <w:pPr>
              <w:pStyle w:val="null3"/>
              <w:jc w:val="right"/>
            </w:pPr>
            <w:r>
              <w:rPr>
                <w:rFonts w:ascii="仿宋_GB2312" w:hAnsi="仿宋_GB2312" w:cs="仿宋_GB2312" w:eastAsia="仿宋_GB2312"/>
              </w:rPr>
              <w:t>31.0000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1、承诺确保项目能按规定要求完成审议、审批得1分； 2、承诺成果文件编制符合国家相关法律法规和行业的规范、标准及技术规程得1分； 3、承诺后续服务具有可延续性得0.5分； 4、承诺针对本项目的信息安全保密措施得0.5分。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供应商自2025年1月1日至今的类似项目，每提供一份业绩合同得2分，满分为14分，不得重复累计。注：以合同签订时间为准，供应商应在响应文件中提供业绩合同复印件或扫描件关键页且加盖单位公章。</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价格分采用低价优先法计算，即满足竞争性磋商文件要求且最终报价最低的磋商报价作为评标基准价，其价格分为满分。其他供应商的价格分统一按照下列公式计算： 报价得分=（评标基准价/磋商报价）×价格权重×100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本项目不专门面向中小企业采购，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分项报价表.docx</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详见附件：供应商承诺及声明.docx</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详见附件：合同附件.docx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