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版本号：0617-2614GZ192520260730001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园区提升设施设施购置及维护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0617-2614GZ1925</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园区提升设施设施购置及维护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0617-2614GZ1925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园区提升设施设施购置及维护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体育训练中心项目，位于西安国际港务区港务西路，外立面维修（含真石漆、玻璃幕墙、铝板幕墙）、屋顶屋面维修（含水泥屋面、钢砖屋面）、室外管道维修（含雨污水管道、井盖）、室外维修（含道沿、透水砖铺装、石材铺装）、品质提升（含墙面瓷砖、地面自流平）等施工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采购包1（园区提升设施设施购置及维）：属于专门面向中小企业采购。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1、具有建筑工程施工总承包三级或以上资质：具有建筑工程施工总承包三级或以上资质，提供资质复印件</w:t>
      </w:r>
    </w:p>
    <w:p>
      <w:pPr>
        <w:pStyle w:val="null3"/>
      </w:pPr>
      <w:r>
        <w:rPr>
          <w:rFonts w:ascii="仿宋_GB2312" w:hAnsi="仿宋_GB2312" w:cs="仿宋_GB2312" w:eastAsia="仿宋_GB2312"/>
        </w:rPr>
        <w:t>2、安全生产许可证：具有有效的安全生产许可证，提供安全生产许可证复印件</w:t>
      </w:r>
    </w:p>
    <w:p>
      <w:pPr>
        <w:pStyle w:val="null3"/>
      </w:pPr>
      <w:r>
        <w:rPr>
          <w:rFonts w:ascii="仿宋_GB2312" w:hAnsi="仿宋_GB2312" w:cs="仿宋_GB2312" w:eastAsia="仿宋_GB2312"/>
        </w:rPr>
        <w:t>3、拟派项目经理资质和专业要求：项目经理具有建筑工程专业二级或以上注册建造师资格（在本单位注册）、有效的安全生产考核合格证书（建安B证）（在本单位注册）、提供项目经理无在建项目承诺书</w:t>
      </w:r>
    </w:p>
    <w:p>
      <w:pPr>
        <w:pStyle w:val="null3"/>
      </w:pPr>
      <w:r>
        <w:rPr>
          <w:rFonts w:ascii="仿宋_GB2312" w:hAnsi="仿宋_GB2312" w:cs="仿宋_GB2312" w:eastAsia="仿宋_GB2312"/>
        </w:rPr>
        <w:t>4、备案要求：供应商基本信息及拟派项目经理基本信息在“陕西省住房和城乡建设厅”可查询。</w:t>
      </w:r>
    </w:p>
    <w:p>
      <w:pPr>
        <w:pStyle w:val="null3"/>
      </w:pPr>
      <w:r>
        <w:rPr>
          <w:rFonts w:ascii="仿宋_GB2312" w:hAnsi="仿宋_GB2312" w:cs="仿宋_GB2312" w:eastAsia="仿宋_GB2312"/>
        </w:rPr>
        <w:t>5、企业信用：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7、不接受联合体磋商：不接受联合体磋商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曹迎春、范龙飞（项目负责人）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029-85238494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一、参照《陕西省建设工程施工合同》；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1,149,400.00</w:t>
      </w:r>
    </w:p>
    <w:p>
      <w:pPr>
        <w:pStyle w:val="null3"/>
      </w:pPr>
      <w:r>
        <w:rPr>
          <w:rFonts w:ascii="仿宋_GB2312" w:hAnsi="仿宋_GB2312" w:cs="仿宋_GB2312" w:eastAsia="仿宋_GB2312"/>
        </w:rPr>
        <w:t>采购包最高限价（元）: 1,149,400.00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园区提升设施设备购置及维护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1,149,400.00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标的名称：园区提升设施设备购置及维护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施工范围</w:t>
            </w:r>
          </w:p>
          <w:p>
            <w:pPr>
              <w:pStyle w:val="null3"/>
            </w:pPr>
            <w:r>
              <w:rPr>
                <w:rFonts w:ascii="仿宋_GB2312" w:hAnsi="仿宋_GB2312" w:cs="仿宋_GB2312" w:eastAsia="仿宋_GB2312"/>
                <w:sz w:val="20"/>
              </w:rPr>
              <w:t>具体以工程量清单为准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二、质量要求</w:t>
            </w:r>
          </w:p>
          <w:p>
            <w:pPr>
              <w:pStyle w:val="null3"/>
            </w:pPr>
            <w:r>
              <w:rPr>
                <w:rFonts w:ascii="仿宋_GB2312" w:hAnsi="仿宋_GB2312" w:cs="仿宋_GB2312" w:eastAsia="仿宋_GB2312"/>
                <w:sz w:val="20"/>
              </w:rPr>
              <w:t>满足国家现行施工验收规范合格标准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三、工期</w:t>
            </w:r>
          </w:p>
          <w:p>
            <w:pPr>
              <w:pStyle w:val="null3"/>
            </w:pPr>
            <w:r>
              <w:rPr>
                <w:rFonts w:ascii="仿宋_GB2312" w:hAnsi="仿宋_GB2312" w:cs="仿宋_GB2312" w:eastAsia="仿宋_GB2312"/>
                <w:sz w:val="20"/>
              </w:rPr>
              <w:t>90日历天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color w:val="000000"/>
              </w:rPr>
              <w:t>四、款项结算：</w:t>
            </w:r>
          </w:p>
          <w:p>
            <w:pPr>
              <w:pStyle w:val="null3"/>
              <w:ind w:firstLine="400"/>
              <w:jc w:val="left"/>
            </w:pPr>
            <w:r>
              <w:rPr>
                <w:rFonts w:ascii="仿宋_GB2312" w:hAnsi="仿宋_GB2312" w:cs="仿宋_GB2312" w:eastAsia="仿宋_GB2312"/>
                <w:sz w:val="20"/>
                <w:color w:val="000000"/>
              </w:rPr>
              <w:t xml:space="preserve">1、中标公示期结束后，须在3个自然日内正式签订施工合同。  </w:t>
            </w:r>
          </w:p>
          <w:p>
            <w:pPr>
              <w:pStyle w:val="null3"/>
              <w:ind w:firstLine="400"/>
              <w:jc w:val="left"/>
            </w:pPr>
            <w:r>
              <w:rPr>
                <w:rFonts w:ascii="仿宋_GB2312" w:hAnsi="仿宋_GB2312" w:cs="仿宋_GB2312" w:eastAsia="仿宋_GB2312"/>
                <w:sz w:val="20"/>
                <w:color w:val="000000"/>
              </w:rPr>
              <w:t xml:space="preserve">2、预付款支付条款：合同签订后，甲方应在5个工作日内向乙方支付合同总金额的60%作为工程项目预付款，以确保工程顺利启动。  </w:t>
            </w:r>
          </w:p>
          <w:p>
            <w:pPr>
              <w:pStyle w:val="null3"/>
              <w:ind w:firstLine="400"/>
              <w:jc w:val="left"/>
            </w:pPr>
            <w:r>
              <w:rPr>
                <w:rFonts w:ascii="仿宋_GB2312" w:hAnsi="仿宋_GB2312" w:cs="仿宋_GB2312" w:eastAsia="仿宋_GB2312"/>
                <w:sz w:val="20"/>
                <w:color w:val="000000"/>
              </w:rPr>
              <w:t xml:space="preserve">3、进度款支付安排：依据施工进度的实际完成情况，按阶段支付合同总金额的30%作为进度款项，具体支付节点由双方协商确定。  </w:t>
            </w:r>
          </w:p>
          <w:p>
            <w:pPr>
              <w:pStyle w:val="null3"/>
              <w:ind w:firstLine="400"/>
              <w:jc w:val="left"/>
            </w:pPr>
            <w:r>
              <w:rPr>
                <w:rFonts w:ascii="仿宋_GB2312" w:hAnsi="仿宋_GB2312" w:cs="仿宋_GB2312" w:eastAsia="仿宋_GB2312"/>
                <w:sz w:val="20"/>
                <w:color w:val="000000"/>
              </w:rPr>
              <w:t xml:space="preserve">4、尾款结算方式：乙方须严格按照甲方的要求完成所有施工内容，待工程经甲方竣工验收合格后，甲方应在5日内结清剩余10%的尾款。  </w:t>
            </w:r>
          </w:p>
          <w:p>
            <w:pPr>
              <w:pStyle w:val="null3"/>
              <w:ind w:firstLine="400"/>
              <w:jc w:val="left"/>
            </w:pPr>
            <w:r>
              <w:rPr>
                <w:rFonts w:ascii="仿宋_GB2312" w:hAnsi="仿宋_GB2312" w:cs="仿宋_GB2312" w:eastAsia="仿宋_GB2312"/>
                <w:sz w:val="20"/>
                <w:color w:val="000000"/>
              </w:rPr>
              <w:t>5、票据要求：在甲方支付每笔工程款项前，乙方均须提前开具与支付金额等额的增值税专用发票，以符合财务及税务管理规范。</w:t>
            </w:r>
          </w:p>
          <w:p>
            <w:pPr>
              <w:pStyle w:val="null3"/>
              <w:ind w:firstLine="400"/>
              <w:jc w:val="left"/>
            </w:pPr>
            <w:r>
              <w:rPr>
                <w:rFonts w:ascii="仿宋_GB2312" w:hAnsi="仿宋_GB2312" w:cs="仿宋_GB2312" w:eastAsia="仿宋_GB2312"/>
                <w:sz w:val="20"/>
                <w:color w:val="000000"/>
              </w:rPr>
              <w:t>款项结算以此处为准。</w:t>
            </w:r>
          </w:p>
          <w:p>
            <w:pPr>
              <w:pStyle w:val="null3"/>
              <w:ind w:firstLine="400"/>
              <w:jc w:val="left"/>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五、其他要求：</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响应人应具备完成本工程工期、、质量、安全、文明施工等计划的能力和措施办法。</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质量</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达到国家施工质量验收规范</w:t>
            </w:r>
            <w:r>
              <w:rPr>
                <w:rFonts w:ascii="仿宋_GB2312" w:hAnsi="仿宋_GB2312" w:cs="仿宋_GB2312" w:eastAsia="仿宋_GB2312"/>
                <w:sz w:val="20"/>
                <w:color w:val="000000"/>
              </w:rPr>
              <w:t>“合格”标准，并编制完善、合理且具备可行性的技术组织措施以确保工程质量。</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安全</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确保施工期间无重大安全事故，现场特殊工程必须全部持有效证件上岗操作，并编制完善、合理且具备可行性的安全生产技术组织措施。</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文明施工</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达到陕西省文明工地施工要求。施工人员必须佩戴安全帽；现场垃圾及时清理、定点堆放；施工过程中必须按照文明工地要求进行施工；</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4）严禁使用国家明令淘汰的机械设备进场，所有机械设备在进场及施工前均须进行调试、检查，以保障施工安全。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六、报价要求：</w:t>
            </w:r>
          </w:p>
          <w:p>
            <w:pPr>
              <w:pStyle w:val="null3"/>
            </w:pPr>
            <w:r>
              <w:rPr>
                <w:rFonts w:ascii="仿宋_GB2312" w:hAnsi="仿宋_GB2312" w:cs="仿宋_GB2312" w:eastAsia="仿宋_GB2312"/>
                <w:sz w:val="20"/>
              </w:rPr>
              <w:t>供应商二次报价只报磋商总报价，供应商工程量清单相应综合单价应按照：工程量清单最终综合单价</w:t>
            </w:r>
            <w:r>
              <w:rPr>
                <w:rFonts w:ascii="仿宋_GB2312" w:hAnsi="仿宋_GB2312" w:cs="仿宋_GB2312" w:eastAsia="仿宋_GB2312"/>
                <w:sz w:val="20"/>
              </w:rPr>
              <w:t>=一次报价中工程量清单综合单价×（二次报价磋商总报价/一次报价磋商总报价）；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★1、本项目为固定单价合同，交钥匙工程。 ★2、本项目付款方式为： 1.中标公示期结束后，须在3个自然日内正式签订施工合同。 2.预付款支付条款：合同签订后，甲方应在5个工作日内向乙方支付合同总金额的60%作为工程项目预付款，以确保工程顺利启动。 3.进度款支付安排：依据施工进度的实际完成情况，按阶段支付合同总金额的30%作为进度款项，具体支付节点由双方协商确定。 4.尾款结算方式：乙方须严格按照甲方的要求完成所有施工内容，待工程经甲方竣工验收合格后，甲方应在5日内结清剩余10%的尾款。 5.票据要求：在甲方支付每笔工程款项前，乙方均须提前开具与支付金额等额的增值税专用发票，以符合财务及税务管理规范。 ★3、本项目工期：90日历天。 ★4、质量标准：满足国家现行施工验收规范合格标准。 ★5、保修期：本项目质保期为2年，防水工程五年，保修期自验收合格并开具质量保证书之日起计算。 ★6、违约责任及解决争议的方法：依据《中华人民共和国民法典》、《中华人民共和国政府采购法》的相关条款和本合同约定执行。 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 （1）乙方赔偿甲方解除合同的全部损失（包括但不限于重新采购产生的费用以及其它由此造成的甲方对第三方的违约损失等）； （2）乙方支付甲方违约金，违约金计算方法：以合同总价为基数，支付甲方合同总价的30%为违约金。同时，对乙方的违约行为报监管机构进行相应的处罚。 2.若乙方未按照本合同第约定的时间响应并排除故障的，每超过一天，扣除乙方合同总价款的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 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 4.在合同期限内，乙方不得擅自转包、分包本合同项下的合同义务，否则甲方有权单方解除本合同并有权要求乙方按照本条第1款的规定承担根本违约责任。 本合同在履行过程中发生的争议，由甲、乙双方当事人协商解决，协商不成的任意一方可向甲方所在地有管辖权的人民法院提起诉讼。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磋商截止时间前6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企业所得税）（在法规范围内不需提供的应出具书面说明和证明文件）；/或具有依法缴纳税收的诚信声明。 以上二种形式的资料提供任何一种即可。 4）具有依法缴纳社会保障资金的良好记录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 以上二种形式的资料提供任何一种即可。 5）参加政府采购活动前3年内在经营活动中没有重大违法记录的书面声明。 6）法定代表人身份证明文件及法人代表授权书。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 提供2025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具有建筑工程施工总承包三级或以上资质</w:t>
            </w:r>
          </w:p>
        </w:tc>
        <w:tc>
          <w:tcPr>
            <w:tcW w:type="dxa" w:w="3322"/>
          </w:tcPr>
          <w:p>
            <w:pPr>
              <w:pStyle w:val="null3"/>
            </w:pPr>
            <w:r>
              <w:rPr>
                <w:rFonts w:ascii="仿宋_GB2312" w:hAnsi="仿宋_GB2312" w:cs="仿宋_GB2312" w:eastAsia="仿宋_GB2312"/>
              </w:rPr>
              <w:t>具有建筑工程施工总承包三级或以上资质，提供资质复印件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具有有效的安全生产许可证，提供安全生产许可证复印件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项目经理具有建筑工程专业二级或以上注册建造师资格（在本单位注册）、有效的安全生产考核合格证书（建安B证）（在本单位注册）、提供项目经理无在建项目承诺书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备案要求</w:t>
            </w:r>
          </w:p>
        </w:tc>
        <w:tc>
          <w:tcPr>
            <w:tcW w:type="dxa" w:w="3322"/>
          </w:tcPr>
          <w:p>
            <w:pPr>
              <w:pStyle w:val="null3"/>
            </w:pPr>
            <w:r>
              <w:rPr>
                <w:rFonts w:ascii="仿宋_GB2312" w:hAnsi="仿宋_GB2312" w:cs="仿宋_GB2312" w:eastAsia="仿宋_GB2312"/>
              </w:rPr>
              <w:t>供应商基本信息及拟派项目经理基本信息在“陕西省住房和城乡建设厅”可查询。</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存在下列情形之一的磋商小组可以认为供应商的报价明显低于其他供应商报价： (1)报价低于全部通过初步审查供应商报价平均值50%的，即报价&lt;全部通过初步审查供应商报价平均值×50%； (2)报价低于通过初步审查的次低报价供应商报价50%的，即报价&lt;通过初步审查的次低报价供应商报价×50%； (3)报价低于磋商项目最高限价45%的，即报价&lt;磋商项目最高限价×45%； (4)磋商小组认为供应商报价过低，有可能影响产品质量或者不能诚信履约的其他情形。 2.供应商通过项目电子化交易系统在磋商小组要求的合理时间(30分钟)内提交说明，否则无效。</w:t>
            </w:r>
          </w:p>
        </w:tc>
        <w:tc>
          <w:tcPr>
            <w:tcW w:type="dxa" w:w="1661"/>
          </w:tcPr>
          <w:p>
            <w:pPr>
              <w:pStyle w:val="null3"/>
            </w:pPr>
            <w:r>
              <w:rPr>
                <w:rFonts w:ascii="仿宋_GB2312" w:hAnsi="仿宋_GB2312" w:cs="仿宋_GB2312" w:eastAsia="仿宋_GB2312"/>
              </w:rPr>
              <w:t>技术商务部分.docx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响应文件封面 技术商务部分.docx 已标价工程量清单 中小企业声明函 残疾人福利性单位声明函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技术商务部分.docx 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技术商务部分.docx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技术商务部分.docx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技术商务部分.docx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所有提交的证件、资质、文件与印章一致</w:t>
            </w:r>
          </w:p>
        </w:tc>
        <w:tc>
          <w:tcPr>
            <w:tcW w:type="dxa" w:w="1661"/>
          </w:tcPr>
          <w:p>
            <w:pPr>
              <w:pStyle w:val="null3"/>
            </w:pPr>
            <w:r>
              <w:rPr>
                <w:rFonts w:ascii="仿宋_GB2312" w:hAnsi="仿宋_GB2312" w:cs="仿宋_GB2312" w:eastAsia="仿宋_GB2312"/>
              </w:rPr>
              <w:t>响应文件封面 技术商务部分.docx 已标价工程量清单 中小企业声明函 残疾人福利性单位声明函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商务、技术要求及合同条款响应</w:t>
            </w:r>
          </w:p>
        </w:tc>
        <w:tc>
          <w:tcPr>
            <w:tcW w:type="dxa" w:w="3322"/>
          </w:tcPr>
          <w:p>
            <w:pPr>
              <w:pStyle w:val="null3"/>
            </w:pPr>
            <w:r>
              <w:rPr>
                <w:rFonts w:ascii="仿宋_GB2312" w:hAnsi="仿宋_GB2312" w:cs="仿宋_GB2312" w:eastAsia="仿宋_GB2312"/>
              </w:rPr>
              <w:t>响应磋商文件中商务、技术要求及合同条款内容，合同条款未含有采购人不能接受的附加条件。</w:t>
            </w:r>
          </w:p>
        </w:tc>
        <w:tc>
          <w:tcPr>
            <w:tcW w:type="dxa" w:w="1661"/>
          </w:tcPr>
          <w:p>
            <w:pPr>
              <w:pStyle w:val="null3"/>
            </w:pPr>
            <w:r>
              <w:rPr>
                <w:rFonts w:ascii="仿宋_GB2312" w:hAnsi="仿宋_GB2312" w:cs="仿宋_GB2312" w:eastAsia="仿宋_GB2312"/>
              </w:rPr>
              <w:t>响应文件封面 技术商务部分.docx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响应文件封面 技术商务部分.docx 已标价工程量清单 中小企业声明函 残疾人福利性单位声明函 报价函 标的清单 响应函 资格证明文件.docx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技术方案及措施。方案包含以下内容：①施工方法②技术措施③施工总体组织④施工方案。注：各项内容全面详细、阐述条理清晰详尽、符合本项目采购需求，能有效保障本项目实施的得12分；每有一个模块缺项扣3分；每个模块中内容存在缺陷的，扣0.1-1.5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提供安全、文明施工措施。包含以下内容：①安全、文明施工管理制度；②安全、文明组织机构③环境保护文明施工措施。注：各项内容全面详细、阐述条理清晰详尽、符合本项目采购需求，能有效保障本项目实施的得9分；每有一个模块缺项扣3分；每个模块中内容存在缺陷的，扣0.1-1.5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提供工程质量保障措施。方案包含以下内容：①质量保障体系②质量岗位职责③对材料的质量控制制度④工程质量监督管理措施⑤报告交付管理措施⑥应急保障措施。注：各项内容全面详细、阐述条理清晰详尽、符合本项目采购需求，能有效保障本项目实施的得12分；每有一个模块缺项扣2分；每个模块中内容存在缺陷的，扣0.1-1.5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供应商针对本项目提供工程进度的保障措施。包含以下内容：①工程进度保障措施方案，②劳动力安排计划，③施工进度网络图或施工进度表④施工进度计划检查方案。注：各项内容全面详细、阐述条理清晰详尽、符合本项目采购需求，能有效保障本项目实施的得8分；每有一个模块缺项扣2分；每个模块中内容存在缺陷的，扣0.1-1.5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提供施工机械配置和材料投入计划。包含以下内容：①材料投入计划②机械设备配备计划③施工材料及机械设备管理方案。注：各项内容全面详细、阐述条理清晰详尽、符合本项目采购需求，能有效保障本项目实施的得9分；每有一个模块缺项扣3分；每个模块中内容存在缺陷的，扣0.1-1.5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提供项目组织机构及人员配置清单（至少包含施工员、质量员、安全员、材料员，资料员）。1、人员安排合理，人员数量能保证项目顺利实施，能详细列明人员清单并附完整人员证明材料，对各岗位安排及职责划分明确，管理制度健全计10分；2、有人员清单，但证明材料不完善，有各岗位安排及职责划分的计8分；3、有人员清单及岗位安排计6分；4、人员配置有缺失计4分；5、其他不满足情形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拟投入的材料中每有一项为节能产品经国家认证的得0.5分，每有一项为环境标志产品经国家认证的得0.5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最终磋商报价最低的磋商报价为评标基准价，其价格分为满分。价格分按照下列公式计算。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