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E137C5">
      <w:pPr>
        <w:jc w:val="center"/>
        <w:rPr>
          <w:rFonts w:ascii="黑体" w:hAnsi="黑体" w:eastAsia="黑体" w:cs="黑体"/>
          <w:color w:val="000000" w:themeColor="text1"/>
          <w:sz w:val="28"/>
          <w:szCs w:val="28"/>
          <w:lang w:eastAsia="zh-CN"/>
          <w14:textFill>
            <w14:solidFill>
              <w14:schemeClr w14:val="tx1"/>
            </w14:solidFill>
          </w14:textFill>
        </w:rPr>
      </w:pPr>
      <w:r>
        <w:rPr>
          <w:rFonts w:hint="eastAsia" w:ascii="黑体" w:hAnsi="黑体" w:eastAsia="黑体" w:cs="黑体"/>
          <w:color w:val="000000" w:themeColor="text1"/>
          <w:sz w:val="28"/>
          <w:szCs w:val="28"/>
          <w:lang w:eastAsia="zh-CN"/>
          <w14:textFill>
            <w14:solidFill>
              <w14:schemeClr w14:val="tx1"/>
            </w14:solidFill>
          </w14:textFill>
        </w:rPr>
        <w:t>设备购置合同</w:t>
      </w:r>
    </w:p>
    <w:p w14:paraId="32F38FE4">
      <w:pPr>
        <w:rPr>
          <w:rFonts w:asciiTheme="minorEastAsia" w:hAnsiTheme="minorEastAsia" w:eastAsiaTheme="minorEastAsia" w:cstheme="minorEastAsia"/>
          <w:color w:val="000000" w:themeColor="text1"/>
          <w:lang w:eastAsia="zh-CN"/>
          <w14:textFill>
            <w14:solidFill>
              <w14:schemeClr w14:val="tx1"/>
            </w14:solidFill>
          </w14:textFill>
        </w:rPr>
      </w:pPr>
    </w:p>
    <w:p w14:paraId="1A414DA4">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陕西职业技术学院(甲方)与 </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(乙方)就甲方购置的</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设备，经双方协商达成如下合同条款：</w:t>
      </w:r>
    </w:p>
    <w:p w14:paraId="68954D99">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1.合同内容</w:t>
      </w:r>
    </w:p>
    <w:p w14:paraId="010BB386">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在甲方组织的关于</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采购招投标活动中，经评标确定乙方为供货单位。乙方按本合同中确定的设备名称、型号与规格、产地、数量及配套内容进行供货，详细配置见《设备购置清单》；乙方按时将货物运送到甲方指定的地点，负责到货设备的安装与调试，达到正常使用；乙方负责为甲方培训操作、维护人员，质保期内负责指导设备的操作使用和保养维修，做好售后服务工作。甲方在乙方完成合同明确规定的责任和义务后，按合同要求付给乙方相应的设备货款。</w:t>
      </w:r>
    </w:p>
    <w:p w14:paraId="323E4B28">
      <w:pPr>
        <w:spacing w:line="36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1.1 设备购置清单(币种：人民币)</w:t>
      </w:r>
    </w:p>
    <w:tbl>
      <w:tblPr>
        <w:tblStyle w:val="7"/>
        <w:tblW w:w="8937" w:type="dxa"/>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1"/>
        <w:gridCol w:w="1458"/>
        <w:gridCol w:w="1776"/>
        <w:gridCol w:w="925"/>
        <w:gridCol w:w="1130"/>
        <w:gridCol w:w="1090"/>
        <w:gridCol w:w="1420"/>
        <w:gridCol w:w="617"/>
      </w:tblGrid>
      <w:tr w14:paraId="370CF9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521" w:type="dxa"/>
            <w:vAlign w:val="center"/>
          </w:tcPr>
          <w:p w14:paraId="2AB512FF">
            <w:pPr>
              <w:jc w:val="center"/>
              <w:rPr>
                <w:rFonts w:asciiTheme="minorEastAsia" w:hAnsiTheme="minorEastAsia" w:eastAsiaTheme="minorEastAsia" w:cstheme="minorEastAsia"/>
                <w:b/>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z w:val="22"/>
                <w:szCs w:val="22"/>
                <w14:textFill>
                  <w14:solidFill>
                    <w14:schemeClr w14:val="tx1"/>
                  </w14:solidFill>
                </w14:textFill>
              </w:rPr>
              <w:t>序号</w:t>
            </w:r>
          </w:p>
        </w:tc>
        <w:tc>
          <w:tcPr>
            <w:tcW w:w="1458" w:type="dxa"/>
            <w:vAlign w:val="center"/>
          </w:tcPr>
          <w:p w14:paraId="07D5542A">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设备名称</w:t>
            </w:r>
          </w:p>
        </w:tc>
        <w:tc>
          <w:tcPr>
            <w:tcW w:w="1776" w:type="dxa"/>
            <w:vAlign w:val="center"/>
          </w:tcPr>
          <w:p w14:paraId="0C9E045E">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品牌、规格、型号</w:t>
            </w:r>
          </w:p>
        </w:tc>
        <w:tc>
          <w:tcPr>
            <w:tcW w:w="925" w:type="dxa"/>
            <w:vAlign w:val="center"/>
          </w:tcPr>
          <w:p w14:paraId="64F0CBD7">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数量</w:t>
            </w:r>
          </w:p>
          <w:p w14:paraId="689F7405">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(台、套)</w:t>
            </w:r>
          </w:p>
        </w:tc>
        <w:tc>
          <w:tcPr>
            <w:tcW w:w="1130" w:type="dxa"/>
            <w:vAlign w:val="center"/>
          </w:tcPr>
          <w:p w14:paraId="11664D87">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单价</w:t>
            </w:r>
          </w:p>
          <w:p w14:paraId="430E796F">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(万元)</w:t>
            </w:r>
          </w:p>
        </w:tc>
        <w:tc>
          <w:tcPr>
            <w:tcW w:w="1090" w:type="dxa"/>
            <w:vAlign w:val="center"/>
          </w:tcPr>
          <w:p w14:paraId="6BD806B2">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合计</w:t>
            </w:r>
          </w:p>
          <w:p w14:paraId="7A8519C3">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(万元)</w:t>
            </w:r>
          </w:p>
        </w:tc>
        <w:tc>
          <w:tcPr>
            <w:tcW w:w="1420" w:type="dxa"/>
            <w:vAlign w:val="center"/>
          </w:tcPr>
          <w:p w14:paraId="38858A7C">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生产商</w:t>
            </w:r>
          </w:p>
        </w:tc>
        <w:tc>
          <w:tcPr>
            <w:tcW w:w="617" w:type="dxa"/>
            <w:vAlign w:val="center"/>
          </w:tcPr>
          <w:p w14:paraId="1968DA19">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备注</w:t>
            </w:r>
          </w:p>
        </w:tc>
      </w:tr>
      <w:tr w14:paraId="5602D2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521" w:type="dxa"/>
            <w:vAlign w:val="center"/>
          </w:tcPr>
          <w:p w14:paraId="14458800">
            <w:pPr>
              <w:jc w:val="center"/>
              <w:rPr>
                <w:rFonts w:asciiTheme="minorEastAsia" w:hAnsiTheme="minorEastAsia" w:eastAsiaTheme="minorEastAsia" w:cstheme="minorEastAsia"/>
                <w:color w:val="000000" w:themeColor="text1"/>
                <w:sz w:val="22"/>
                <w:szCs w:val="22"/>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1</w:t>
            </w:r>
          </w:p>
        </w:tc>
        <w:tc>
          <w:tcPr>
            <w:tcW w:w="1458" w:type="dxa"/>
            <w:vAlign w:val="center"/>
          </w:tcPr>
          <w:p w14:paraId="4755C95E">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776" w:type="dxa"/>
            <w:vAlign w:val="center"/>
          </w:tcPr>
          <w:p w14:paraId="37129149">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925" w:type="dxa"/>
            <w:vAlign w:val="center"/>
          </w:tcPr>
          <w:p w14:paraId="57EF4EB8">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130" w:type="dxa"/>
            <w:vAlign w:val="center"/>
          </w:tcPr>
          <w:p w14:paraId="4DCBA5E2">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090" w:type="dxa"/>
            <w:vAlign w:val="center"/>
          </w:tcPr>
          <w:p w14:paraId="0A902BB5">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420" w:type="dxa"/>
            <w:vAlign w:val="center"/>
          </w:tcPr>
          <w:p w14:paraId="5AB4CBF4">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617" w:type="dxa"/>
            <w:vAlign w:val="center"/>
          </w:tcPr>
          <w:p w14:paraId="50E61817">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r>
      <w:tr w14:paraId="0D292C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521" w:type="dxa"/>
            <w:vAlign w:val="center"/>
          </w:tcPr>
          <w:p w14:paraId="4A39FC9F">
            <w:pPr>
              <w:jc w:val="center"/>
              <w:rPr>
                <w:rFonts w:asciiTheme="minorEastAsia" w:hAnsiTheme="minorEastAsia" w:eastAsiaTheme="minorEastAsia" w:cstheme="minorEastAsia"/>
                <w:color w:val="000000" w:themeColor="text1"/>
                <w:sz w:val="22"/>
                <w:szCs w:val="22"/>
                <w:lang w:eastAsia="zh-CN"/>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eastAsia="zh-CN"/>
                <w14:textFill>
                  <w14:solidFill>
                    <w14:schemeClr w14:val="tx1"/>
                  </w14:solidFill>
                </w14:textFill>
              </w:rPr>
              <w:t>2</w:t>
            </w:r>
          </w:p>
        </w:tc>
        <w:tc>
          <w:tcPr>
            <w:tcW w:w="1458" w:type="dxa"/>
            <w:vAlign w:val="center"/>
          </w:tcPr>
          <w:p w14:paraId="2D823FDD">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776" w:type="dxa"/>
            <w:vAlign w:val="center"/>
          </w:tcPr>
          <w:p w14:paraId="05542B02">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925" w:type="dxa"/>
            <w:vAlign w:val="center"/>
          </w:tcPr>
          <w:p w14:paraId="6B73931A">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130" w:type="dxa"/>
            <w:vAlign w:val="center"/>
          </w:tcPr>
          <w:p w14:paraId="1CAC1425">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090" w:type="dxa"/>
            <w:vAlign w:val="center"/>
          </w:tcPr>
          <w:p w14:paraId="62223B69">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420" w:type="dxa"/>
            <w:vAlign w:val="center"/>
          </w:tcPr>
          <w:p w14:paraId="348D10A8">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617" w:type="dxa"/>
            <w:vAlign w:val="center"/>
          </w:tcPr>
          <w:p w14:paraId="57BAB930">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r>
      <w:tr w14:paraId="63FF53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7" w:hRule="atLeast"/>
        </w:trPr>
        <w:tc>
          <w:tcPr>
            <w:tcW w:w="521" w:type="dxa"/>
            <w:vAlign w:val="center"/>
          </w:tcPr>
          <w:p w14:paraId="67F2C82C">
            <w:pPr>
              <w:jc w:val="center"/>
              <w:rPr>
                <w:rFonts w:asciiTheme="minorEastAsia" w:hAnsiTheme="minorEastAsia" w:eastAsiaTheme="minorEastAsia" w:cstheme="minorEastAsia"/>
                <w:color w:val="000000" w:themeColor="text1"/>
                <w:sz w:val="22"/>
                <w:szCs w:val="22"/>
                <w:lang w:eastAsia="zh-CN"/>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eastAsia="zh-CN"/>
                <w14:textFill>
                  <w14:solidFill>
                    <w14:schemeClr w14:val="tx1"/>
                  </w14:solidFill>
                </w14:textFill>
              </w:rPr>
              <w:t>...</w:t>
            </w:r>
          </w:p>
        </w:tc>
        <w:tc>
          <w:tcPr>
            <w:tcW w:w="1458" w:type="dxa"/>
            <w:vAlign w:val="center"/>
          </w:tcPr>
          <w:p w14:paraId="6B9A2AE0">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776" w:type="dxa"/>
            <w:vAlign w:val="center"/>
          </w:tcPr>
          <w:p w14:paraId="1CCC15F8">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925" w:type="dxa"/>
            <w:vAlign w:val="center"/>
          </w:tcPr>
          <w:p w14:paraId="400D95A3">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130" w:type="dxa"/>
            <w:vAlign w:val="center"/>
          </w:tcPr>
          <w:p w14:paraId="1D66C04B">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090" w:type="dxa"/>
            <w:vAlign w:val="center"/>
          </w:tcPr>
          <w:p w14:paraId="125BEF83">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420" w:type="dxa"/>
            <w:vAlign w:val="center"/>
          </w:tcPr>
          <w:p w14:paraId="33441B69">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617" w:type="dxa"/>
            <w:vAlign w:val="center"/>
          </w:tcPr>
          <w:p w14:paraId="45D78F47">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r>
      <w:tr w14:paraId="42B49C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trPr>
        <w:tc>
          <w:tcPr>
            <w:tcW w:w="3755" w:type="dxa"/>
            <w:gridSpan w:val="3"/>
            <w:vMerge w:val="restart"/>
            <w:tcBorders>
              <w:bottom w:val="nil"/>
            </w:tcBorders>
          </w:tcPr>
          <w:p w14:paraId="3BF6C36F">
            <w:pPr>
              <w:rPr>
                <w:rFonts w:asciiTheme="minorEastAsia" w:hAnsiTheme="minorEastAsia" w:eastAsiaTheme="minorEastAsia" w:cstheme="minorEastAsia"/>
                <w:color w:val="000000" w:themeColor="text1"/>
                <w:sz w:val="22"/>
                <w:szCs w:val="22"/>
                <w14:textFill>
                  <w14:solidFill>
                    <w14:schemeClr w14:val="tx1"/>
                  </w14:solidFill>
                </w14:textFill>
              </w:rPr>
            </w:pPr>
          </w:p>
          <w:p w14:paraId="1D9165E8">
            <w:pPr>
              <w:rPr>
                <w:rFonts w:asciiTheme="minorEastAsia" w:hAnsiTheme="minorEastAsia" w:eastAsiaTheme="minorEastAsia" w:cstheme="minorEastAsia"/>
                <w:color w:val="000000" w:themeColor="text1"/>
                <w:sz w:val="22"/>
                <w:szCs w:val="22"/>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合计(元)</w:t>
            </w:r>
          </w:p>
        </w:tc>
        <w:tc>
          <w:tcPr>
            <w:tcW w:w="5182" w:type="dxa"/>
            <w:gridSpan w:val="5"/>
            <w:vAlign w:val="center"/>
          </w:tcPr>
          <w:p w14:paraId="6F50AC65">
            <w:pPr>
              <w:jc w:val="both"/>
              <w:rPr>
                <w:rFonts w:asciiTheme="minorEastAsia" w:hAnsiTheme="minorEastAsia" w:eastAsiaTheme="minorEastAsia" w:cstheme="minorEastAsia"/>
                <w:color w:val="000000" w:themeColor="text1"/>
                <w:sz w:val="22"/>
                <w:szCs w:val="22"/>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大写：</w:t>
            </w:r>
          </w:p>
        </w:tc>
      </w:tr>
      <w:tr w14:paraId="62175E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3755" w:type="dxa"/>
            <w:gridSpan w:val="3"/>
            <w:vMerge w:val="continue"/>
            <w:tcBorders>
              <w:top w:val="nil"/>
            </w:tcBorders>
          </w:tcPr>
          <w:p w14:paraId="1EA01D54">
            <w:pP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5182" w:type="dxa"/>
            <w:gridSpan w:val="5"/>
            <w:vAlign w:val="center"/>
          </w:tcPr>
          <w:p w14:paraId="1E7B7048">
            <w:pPr>
              <w:jc w:val="both"/>
              <w:rPr>
                <w:rFonts w:asciiTheme="minorEastAsia" w:hAnsiTheme="minorEastAsia" w:eastAsiaTheme="minorEastAsia" w:cstheme="minorEastAsia"/>
                <w:color w:val="000000" w:themeColor="text1"/>
                <w:sz w:val="22"/>
                <w:szCs w:val="22"/>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小写：</w:t>
            </w:r>
            <w:r>
              <w:rPr>
                <w:rFonts w:hint="eastAsia" w:asciiTheme="minorEastAsia" w:hAnsiTheme="minorEastAsia" w:eastAsiaTheme="minorEastAsia" w:cstheme="minorEastAsia"/>
                <w:color w:val="000000" w:themeColor="text1"/>
                <w:sz w:val="22"/>
                <w:szCs w:val="22"/>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2"/>
                <w:szCs w:val="22"/>
                <w14:textFill>
                  <w14:solidFill>
                    <w14:schemeClr w14:val="tx1"/>
                  </w14:solidFill>
                </w14:textFill>
              </w:rPr>
              <w:t>元</w:t>
            </w:r>
          </w:p>
        </w:tc>
      </w:tr>
    </w:tbl>
    <w:p w14:paraId="354AF315">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 合同总额是指设备到达陕西职业技术学院指定地点、完成验收后的价格，其中已包含货物费(含备品备件费)、包装费、运杂费(含搬运、装卸、保险费等)、工程费、材料费、全部税费、安装调试费、售后服务及培训费等相关费用。</w:t>
      </w:r>
    </w:p>
    <w:p w14:paraId="7C492AC1">
      <w:pPr>
        <w:spacing w:line="380" w:lineRule="exact"/>
        <w:ind w:firstLine="480" w:firstLineChars="200"/>
        <w:rPr>
          <w:ins w:id="0" w:author="卡门" w:date="2026-05-20T16:22:37Z"/>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其中，</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不含税金额____元，增值税税额____元，适用税率____%。</w:t>
      </w:r>
    </w:p>
    <w:p w14:paraId="5F293D4C">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1.3 合同总额为一次性包死价格，不受市场价格的变化和影响，在合同不发生变更时作为付款结算的依据。</w:t>
      </w:r>
    </w:p>
    <w:p w14:paraId="57C0918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 设备的技术参数要求</w:t>
      </w:r>
      <w:bookmarkStart w:id="8" w:name="_GoBack"/>
      <w:bookmarkEnd w:id="8"/>
    </w:p>
    <w:p w14:paraId="4F1E87B4">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1.4.1 本合同条款下提交货物的技术规格要求应等于或优于招投标文件技术规格要求(设备的技术参数和指标详见附件)。若技术规格要求中无相应规定，则应符合相应的国家有关部门最新颁布的相应正式标准。</w:t>
      </w:r>
    </w:p>
    <w:p w14:paraId="6BBDAE2E">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1.4.2 乙方应向甲方提供有关标准的中文文本。</w:t>
      </w:r>
    </w:p>
    <w:p w14:paraId="4A05D30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1.4.3 除非技术规范中另有规定，计量单位均采用中华人民共和国法定计量单位。</w:t>
      </w:r>
    </w:p>
    <w:p w14:paraId="66EE6B5E">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2.包装运输要求</w:t>
      </w:r>
    </w:p>
    <w:p w14:paraId="483E1F32">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设备的运输方式由乙方自行选择，在生产、运输、装卸过程中的任何安全问题与甲方无关。设备运输、装卸费用由乙方承担。乙方应做好设备的安全防护工作，保证甲方收到的是无任何损伤的货物。设备包装必须符合国家标准或行业标准，满足航空、铁路或公路运输以及货物装卸要求，乙方若因自身原因出现任何安全事故，责任均由乙方承担。同时，对于在此过程中由于乙方未尽义务，造成与甲方有关人或物的损伤，乙方应承担全部责任。</w:t>
      </w:r>
    </w:p>
    <w:p w14:paraId="01ED3953">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3.交货时间及交货地点</w:t>
      </w:r>
    </w:p>
    <w:p w14:paraId="3F1E0C83">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3.1 本项目为交钥匙工程，乙方须提供整套合格产品，严格按照安全规范完成设备用电、照明及网络综合布线施工，确保各类设备供电稳定、网络畅通，满足正常运行使用条件，切实做好安全防护相关工作。产品交货、安装地点均为甲方指定地点。</w:t>
      </w:r>
    </w:p>
    <w:p w14:paraId="20D8249C">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3.2 合同签订后</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个工作日内，乙方负责将产品运输到指定地点，并按照验收标准和验收程序完成设备的安装、调试和验收工作。乙方保证运输过程产品包装完好、安装调试及验收时设备外观无划痕，设备质量完好。</w:t>
      </w:r>
    </w:p>
    <w:p w14:paraId="22484C9C">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4.产品质量保证</w:t>
      </w:r>
    </w:p>
    <w:p w14:paraId="5768DB86">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4.1 乙方提供的设备及配套产品，必须是合同规定厂家制造的、合格、全新、未曾使用的产品，产品内部无损坏，外表无磨损，内部包装无破损。</w:t>
      </w:r>
    </w:p>
    <w:p w14:paraId="32D4271B">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4.2 乙方提供的设备及配套产品必须等同于或优于合同技术指标要求，并能按国家标准供应、检测、调试，确保产品技术指标满足合同约定及使用要求。</w:t>
      </w:r>
    </w:p>
    <w:p w14:paraId="04F52868">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4.3 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14:paraId="030D74B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4.4 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缺陷货物。乙方在甲方发出质量异议通知后，未作答复，甲方在通知书中所提出的要求应视为已被乙方接受。</w:t>
      </w:r>
    </w:p>
    <w:p w14:paraId="7E45EC63">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4.5 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力不受影响。</w:t>
      </w:r>
    </w:p>
    <w:p w14:paraId="45C33878">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4.6 产品质量保证期为甲方最终设备验收合格后</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年，设备正常使用寿命为</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年。质量保证期内乙方免费维修，包括设备的零配件及国内不能解决的故障需要返回生产厂维修时所发生的一切费用。须更换的零配件乙方保证原厂原装，如遇系统更新升级，乙方免费负责更新原装正版系统。质保期满后，乙方负责设备的终身维修。甲方如需更换设备的零配件，乙方保证更换的零配件为原厂原装，并只收取零配件的成本费，同时由乙方负责更换调试合格。</w:t>
      </w:r>
    </w:p>
    <w:p w14:paraId="2112482A">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5.技术服务承诺</w:t>
      </w:r>
    </w:p>
    <w:p w14:paraId="2F8BBE2E">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5.1 乙方应严格按照供货时间，及时给甲方供货。</w:t>
      </w:r>
    </w:p>
    <w:p w14:paraId="0678AB0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5.2 乙方负责提供设备相应的技术资料，包括产品合格证、产品保修单、安装使用及维护说明书以及运输装箱清单等，并对所有技术材料的真实性、准确性、先进性、完整性负责。</w:t>
      </w:r>
    </w:p>
    <w:p w14:paraId="2AE4E0CC">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5.3 人员培训：乙方免费为甲方培训设备使用人员，培训内容包括：设备操作、维护、简单维修等。</w:t>
      </w:r>
    </w:p>
    <w:p w14:paraId="11F8236A">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5.4 售后服务：质保期内乙方对甲方提出的服务响应不得超过</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小时，并派人到现场排除故障或制定解决方案。乙方售后服务及维修专线：</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若乙方未在规定时间内响应或维修，甲方有权自行委托第三方维修，所产生的一切费用（包括但不限于维修费、运输费、替代设备租赁费等）均由乙方承担，甲方可直接从应付的任意一笔款项中抵扣，不足部分有权向乙方追偿。”</w:t>
      </w:r>
    </w:p>
    <w:p w14:paraId="752699C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5.5 具体服务详见乙方投标文件中乙方的承诺书。</w:t>
      </w:r>
    </w:p>
    <w:p w14:paraId="1FC24DAF">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6.验收方法及标准</w:t>
      </w:r>
    </w:p>
    <w:p w14:paraId="6E7F511B">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 开箱验收</w:t>
      </w:r>
    </w:p>
    <w:p w14:paraId="7669200E">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6.1.1 产品运抵现场后，双方应及时开箱验收，并制作验收记录，以确认与本合同约定的数量、型号等是否一致。</w:t>
      </w:r>
    </w:p>
    <w:p w14:paraId="3ADB3F72">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6.1.2 乙方应在交货前对产品的质量、规格、数量等进行详细而全面的检验，并出具证明产品符合合同规定的文件。该文件将作为申请付款单据的一部分，但有关质量、规格、数量的检验不应视为最终检验。</w:t>
      </w:r>
    </w:p>
    <w:p w14:paraId="124EF7C5">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6.1.3 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246BB5AE">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6.1.4 开箱验收中如发现产品的数量、规格与合同约定不符，甲方有权拒收产品，乙方应及时按甲方要求免费对拒收产品采取更换或其他必要的补救措施，直至开箱验收合格，方视为乙方完成交货。</w:t>
      </w:r>
    </w:p>
    <w:p w14:paraId="2118564B">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 检验验收</w:t>
      </w:r>
    </w:p>
    <w:p w14:paraId="23FED838">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6.2.1 交货完成后，乙方应及时组装、调试、试运行，按照合同条款规定的试运行完成后，双方及时组织对产品检验验收。合同双方均须派人参加合同要求双方参加的试验、检验。</w:t>
      </w:r>
    </w:p>
    <w:p w14:paraId="33312D99">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6.2.2 在具体实施合同规定的检验验收之前，乙方需提前提交相应的测试计划(包括测试程序、测试内容和检验标准、试验时间安排等)供甲方确认。注：本条甲乙双方协商。</w:t>
      </w:r>
    </w:p>
    <w:p w14:paraId="1F1514B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6.2.3 除需甲方确认的试验验收外，乙方还应对所有检验验收测试的结果、步骤、原始数据等作妥善记录。如甲方要求，乙方应提供这些记录给甲方。</w:t>
      </w:r>
    </w:p>
    <w:p w14:paraId="3403ADD6">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6.2.4 检验测试出现全部或部分未达到本合同所约定的技术指标，甲方有权选择下列任一处理方式：</w:t>
      </w:r>
    </w:p>
    <w:p w14:paraId="35F2031B">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a.重新测试直至合格为止；</w:t>
      </w:r>
    </w:p>
    <w:p w14:paraId="70358F4C">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b.要求乙方对货物进行免费更换，然后重新测试直至合格为止；无论选择何种方式，甲方因此而发生的因乙方原因引起的所有费用均由乙方负担。并承担造成延迟交付的违约责任</w:t>
      </w:r>
    </w:p>
    <w:p w14:paraId="62583EA9">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6.3 使用过程检验</w:t>
      </w:r>
    </w:p>
    <w:p w14:paraId="38309BD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6.3.1 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14:paraId="3AB861E5">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6.3.2 如果合同双方对乙方提供的上述试验结果报告的解释有分歧，双方须于出现分歧后</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天内给对方声明，以陈述己方的观点。声明须附有关证据。分歧应通过协商解决。</w:t>
      </w:r>
    </w:p>
    <w:p w14:paraId="72A9848A">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6.4 所有验收合格，但不能免除乙方应该承担的质保责任。</w:t>
      </w:r>
    </w:p>
    <w:p w14:paraId="6A8A8289">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7.合同款项支付方式</w:t>
      </w:r>
    </w:p>
    <w:p w14:paraId="0C284646">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7.1 履约保证金</w:t>
      </w:r>
    </w:p>
    <w:p w14:paraId="5634BF6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7.1.1 乙方应在收到中标(成交)通知书后、合同签订前</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5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个工作日内，向甲方提交合同总价</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5  </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%的履约保证金；</w:t>
      </w:r>
    </w:p>
    <w:p w14:paraId="794070B3">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7.1.2 履约保证金应使用人民币，按</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银行转账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方式提交；</w:t>
      </w:r>
    </w:p>
    <w:p w14:paraId="48E5B11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7.1.3 设备到货并由甲方验收合格后，在最终验收合格之日起满24个月后，采购人在收到供应商书面申请，经采购人确认供应商履行了合同约定的义务，无违约情形一次性予以无息退还。</w:t>
      </w:r>
    </w:p>
    <w:p w14:paraId="3990F4EA">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7.2 合同款支付</w:t>
      </w:r>
    </w:p>
    <w:p w14:paraId="786D8073">
      <w:pPr>
        <w:spacing w:line="380" w:lineRule="exact"/>
        <w:ind w:firstLine="532"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pacing w:val="13"/>
          <w:kern w:val="0"/>
          <w:sz w:val="24"/>
          <w:szCs w:val="24"/>
          <w:fitText w:val="7200" w:id="1994656954"/>
          <w:lang w:eastAsia="zh-CN"/>
          <w14:textFill>
            <w14:solidFill>
              <w14:schemeClr w14:val="tx1"/>
            </w14:solidFill>
          </w14:textFill>
        </w:rPr>
        <w:t>签订合同后，设备到达指定地点、安装调试完成并验收合格</w:t>
      </w:r>
      <w:r>
        <w:rPr>
          <w:rFonts w:hint="eastAsia" w:asciiTheme="minorEastAsia" w:hAnsiTheme="minorEastAsia" w:eastAsiaTheme="minorEastAsia" w:cstheme="minorEastAsia"/>
          <w:color w:val="000000" w:themeColor="text1"/>
          <w:spacing w:val="22"/>
          <w:kern w:val="0"/>
          <w:sz w:val="24"/>
          <w:szCs w:val="24"/>
          <w:fitText w:val="7200" w:id="1994656954"/>
          <w:lang w:eastAsia="zh-CN"/>
          <w14:textFill>
            <w14:solidFill>
              <w14:schemeClr w14:val="tx1"/>
            </w14:solidFill>
          </w14:textFill>
        </w:rPr>
        <w:t>后</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，支付合同总价的</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100</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w:t>
      </w:r>
    </w:p>
    <w:p w14:paraId="632647F0">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7.3 甲方向乙方付款前时，乙方必须先提供等额的增值税</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专用</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发票，在乙方提供后，方可办理付款手续（税票</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及其相关资料</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办理具体问题与学校财务部门咨询或协商）。若乙方不能按照学校财务部门的要求出具发票，甲方有权不予付款，由此所造成的一切损失由乙方自行承担，如因发票问题使得甲方蒙受损失（包含但不限于罚款、处理费用、声誉影响等）的，乙方应当承担全部责任，并赔偿损失。甲方在确认收到乙方提供的发票后</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ins w:id="1" w:author="卡门" w:date="2026-05-20T16:12:42Z">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w:t>
        </w:r>
      </w:ins>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0</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个工作日内付款。</w:t>
      </w:r>
    </w:p>
    <w:p w14:paraId="0FBB7645">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8.安全生产和文明施工</w:t>
      </w:r>
    </w:p>
    <w:p w14:paraId="147FDF2D">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8.1 现场安全文明施工由乙方编制专项详细方案并严格执行。</w:t>
      </w:r>
    </w:p>
    <w:p w14:paraId="132FFB91">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8.2 乙方必须认真执行省市有关施工安全生产条例和规定以及甲方管理要求，并做好安全管理工作，避免并杜绝安全事故的发生。如发生安全事故，一切责任与后果均由乙方承担，同时，给甲方造成损失，乙方承担甲方相应经济赔偿责任。</w:t>
      </w:r>
    </w:p>
    <w:p w14:paraId="3C61804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8.3 在设备安装施工全过程中，乙方应服从甲方的各项管理，并对乙方施工人员进行安全管理。</w:t>
      </w:r>
    </w:p>
    <w:p w14:paraId="5DC804A4">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8.4 确保现场建筑物及相关设施设备完好无损，如施工过程中出现损坏，乙方负责修复赔偿。</w:t>
      </w:r>
    </w:p>
    <w:p w14:paraId="1E2FD90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8.5 乙方应对安装施工人员相关岗位上岗资格进行审查，并对相关后果负责。</w:t>
      </w:r>
    </w:p>
    <w:p w14:paraId="420D60D1">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9.索赔</w:t>
      </w:r>
    </w:p>
    <w:p w14:paraId="060AC32D">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9.1 产品的质量、规格、型号、数量、性能、产地及零配件等与合同约定不符，或在质量保证期内证实货物存有缺陷，包括潜在的缺陷或使用不符合要求的材料等，甲方有权根据有资质的权威质检机构的检验结果向乙方提出索赔。</w:t>
      </w:r>
    </w:p>
    <w:p w14:paraId="173131C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9.2 在验收合格前，乙方对甲方提出的索赔负有责任，乙方应按照甲方同意的下列一种或多种方式解决索赔事宜：</w:t>
      </w:r>
    </w:p>
    <w:p w14:paraId="6792D8E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9.2.1 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14:paraId="786A8F85">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9.2.2 根据货物低劣程度、损坏程度以及甲方所遭受损失的数额，经甲乙双方商定降低货物的价格，或由有资质的中介机构评估，以降低后的价格或评估价格为准。</w:t>
      </w:r>
    </w:p>
    <w:p w14:paraId="6DA7FB55">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9.2.3 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57AE88D1">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9.3 乙方收到甲方发出的索赔通知之日起</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5</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个工作日内未作答复的，甲方可从合同款或履约保证金中扣回索赔金额，如金额不足以补偿索赔金额，乙方应补足差额部分。</w:t>
      </w:r>
    </w:p>
    <w:p w14:paraId="7E02275E">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10.违约责任</w:t>
      </w:r>
    </w:p>
    <w:p w14:paraId="5FE73278">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10.1 合同生效后，甲乙双方应按合同规定认真全面履约。合同履约责任只涉及合同甲乙双方，不考虑第三方因素。</w:t>
      </w:r>
    </w:p>
    <w:p w14:paraId="2369B84A">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2EC4883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10.3 如乙方产品质量不符合国家标准、行业内控标准或本合同技术附件要求的，甲方有权退货，乙方应退还全部货款，并承担合同总价款</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%的违约金及其他损失。</w:t>
      </w:r>
    </w:p>
    <w:p w14:paraId="192CCD63">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10.4 在合同规定的供货期内乙方未全部交货，除应如数补齐外，还应承担合同总款的</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%违约金。</w:t>
      </w:r>
    </w:p>
    <w:p w14:paraId="4C29E7CF">
      <w:pPr>
        <w:spacing w:line="380" w:lineRule="exact"/>
        <w:ind w:firstLine="480" w:firstLineChars="200"/>
        <w:jc w:val="both"/>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10.5 乙方对货物不按招标文件要求，擅自更换，除恢复原招标产品外，应承担更换部分价款</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%的违约金；乙方如对产品材质、随机配品以次充好，除全部按要求恢复外，应承担此部分价款</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%的违约金。</w:t>
      </w:r>
    </w:p>
    <w:p w14:paraId="2C95EFE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10.6 除不可抗力因素外，乙方对所供产品出现的问题推诿、拖延，</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24</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小时未作出服务响应且乙方没有按照合同规定的时间交货和提供服务，甲方可要求乙方支付违约金。违约金每日按合同总价款的</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5</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‰计收。否则，甲方有权拒绝乙方以后参加学校竞标。</w:t>
      </w:r>
    </w:p>
    <w:p w14:paraId="557BA67E">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11.合同争议的解决</w:t>
      </w:r>
    </w:p>
    <w:p w14:paraId="1968AF6B">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11.1 甲乙双方由于本合同的履行而发生任何争议时，双方可先通过协商解决。</w:t>
      </w:r>
    </w:p>
    <w:p w14:paraId="00C6C4CA">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11.2 任何一方不愿通过协商或通过协商仍不能解决争议，则双方中任何一方均应向甲方所在地人民法院起诉。</w:t>
      </w:r>
    </w:p>
    <w:p w14:paraId="074D64E8">
      <w:pPr>
        <w:spacing w:line="380" w:lineRule="exact"/>
        <w:ind w:firstLine="482" w:firstLineChars="200"/>
        <w:rPr>
          <w:rFonts w:asciiTheme="minorEastAsia" w:hAnsiTheme="minorEastAsia" w:eastAsiaTheme="minorEastAsia" w:cstheme="minorEastAsia"/>
          <w:b/>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color w:val="000000" w:themeColor="text1"/>
          <w:sz w:val="24"/>
          <w:szCs w:val="24"/>
          <w:lang w:eastAsia="zh-CN"/>
          <w14:textFill>
            <w14:solidFill>
              <w14:schemeClr w14:val="tx1"/>
            </w14:solidFill>
          </w14:textFill>
        </w:rPr>
        <w:t>12.违约解除合同</w:t>
      </w:r>
    </w:p>
    <w:p w14:paraId="72A02EC3">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12.1 出现下列情形之一的，视为乙方违约。甲方可向乙方发出书面通知，部分或全部终止合同，同时保留向乙方索赔及追加其违约责任的权利。</w:t>
      </w:r>
    </w:p>
    <w:p w14:paraId="7D25A664">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12.1.1 乙方未能在合同规定的限期或甲方同意延长的限期内，提供全部或部分货物的；</w:t>
      </w:r>
    </w:p>
    <w:p w14:paraId="77A4B8E1">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12.1.2 乙方未能履行合同规定的其它主要义务的；</w:t>
      </w:r>
    </w:p>
    <w:p w14:paraId="73DBFBC2">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12.1.3 乙方在本合同履行过程中有欺诈行为的。</w:t>
      </w:r>
    </w:p>
    <w:p w14:paraId="4ED2890A">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12.2 甲方全部或部分解除合同之后，乙方应承担甲方再次购买类似货物或服务而产生的支出。部分解除合同的，乙方应继续履行合同中未解除的部分。</w:t>
      </w:r>
    </w:p>
    <w:p w14:paraId="7B09FDE5">
      <w:pPr>
        <w:shd w:val="clear" w:color="auto" w:fill="auto"/>
        <w:spacing w:line="380" w:lineRule="exact"/>
        <w:ind w:firstLine="480" w:firstLineChars="200"/>
        <w:outlineLvl w:val="9"/>
        <w:rPr>
          <w:rFonts w:asciiTheme="minorEastAsia" w:hAnsiTheme="minorEastAsia" w:eastAsiaTheme="minorEastAsia" w:cstheme="minorEastAsia"/>
          <w:b w:val="0"/>
          <w:bCs w:val="0"/>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13.</w:t>
      </w:r>
      <w:bookmarkStart w:id="0" w:name="_Toc14186"/>
      <w:bookmarkStart w:id="1" w:name="_Toc495505745"/>
      <w:bookmarkStart w:id="2" w:name="_Toc23280"/>
      <w:bookmarkStart w:id="3" w:name="_Toc26328"/>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不可抗力</w:t>
      </w:r>
      <w:bookmarkEnd w:id="0"/>
      <w:bookmarkEnd w:id="1"/>
      <w:bookmarkEnd w:id="2"/>
      <w:bookmarkEnd w:id="3"/>
    </w:p>
    <w:p w14:paraId="7A947376">
      <w:pPr>
        <w:shd w:val="clear" w:color="auto" w:fill="auto"/>
        <w:spacing w:line="380" w:lineRule="exact"/>
        <w:ind w:firstLine="480" w:firstLineChars="200"/>
        <w:rPr>
          <w:rFonts w:asciiTheme="minorEastAsia" w:hAnsiTheme="minorEastAsia" w:eastAsiaTheme="minorEastAsia" w:cstheme="minorEastAsia"/>
          <w:color w:val="000000" w:themeColor="text1"/>
          <w:kern w:val="0"/>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13.1</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本合同项下的“不可抗力”是指不能预见，不能避免且不能克服的客观情况，使得本合同一方当事人无法履行合同义务，如战争、严重火灾、水灾、风灾和地震属于不可抗力的事故。</w:t>
      </w:r>
    </w:p>
    <w:p w14:paraId="4E2E6B84">
      <w:pPr>
        <w:shd w:val="clear" w:color="auto" w:fill="auto"/>
        <w:spacing w:line="380" w:lineRule="exact"/>
        <w:ind w:firstLine="480" w:firstLineChars="200"/>
        <w:rPr>
          <w:rFonts w:asciiTheme="minorEastAsia" w:hAnsiTheme="minorEastAsia" w:eastAsiaTheme="minorEastAsia" w:cstheme="minorEastAsia"/>
          <w:color w:val="000000" w:themeColor="text1"/>
          <w:kern w:val="0"/>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13.2</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一方因不可抗力不能履行合同或不能完全履行合同的，根据不可抗力的影响，可以部分或全部地免除责任。由于不可抗力原因致使项目开发中断时，项目交付日期及付款日期相应顺延，各方不承担违约责任。</w:t>
      </w:r>
    </w:p>
    <w:p w14:paraId="5E1DFB41">
      <w:pPr>
        <w:shd w:val="clear" w:color="auto" w:fill="auto"/>
        <w:spacing w:line="380" w:lineRule="exact"/>
        <w:ind w:firstLine="480" w:firstLineChars="200"/>
        <w:rPr>
          <w:rFonts w:asciiTheme="minorEastAsia" w:hAnsiTheme="minorEastAsia" w:eastAsiaTheme="minorEastAsia" w:cstheme="minorEastAsia"/>
          <w:color w:val="000000" w:themeColor="text1"/>
          <w:kern w:val="0"/>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13,3</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如不可抗力时间延续120天以上的，各方通过协商达成在合理的时间内继续履行合同，或部分履行合同，或终止合同的履行。</w:t>
      </w:r>
    </w:p>
    <w:p w14:paraId="4542DC12">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13.</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4</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一方迟延履行后发生不可抗力的，不能免除责任。</w:t>
      </w:r>
    </w:p>
    <w:p w14:paraId="0B1A1C2E">
      <w:pPr>
        <w:spacing w:beforeLines="-2147483648" w:afterLines="-2147483648" w:line="380" w:lineRule="exact"/>
        <w:ind w:firstLine="480" w:firstLineChars="200"/>
        <w:rPr>
          <w:rFonts w:asciiTheme="minorEastAsia" w:hAnsiTheme="minorEastAsia" w:eastAsiaTheme="minorEastAsia" w:cstheme="minorEastAsia"/>
          <w:b w:val="0"/>
          <w:bCs w:val="0"/>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14.其它事项</w:t>
      </w:r>
    </w:p>
    <w:p w14:paraId="4B129583">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14.1 合同经双方签字盖章后生效。本合同一式六份，甲方执五份，乙方执一份，执行完毕后自行失效。</w:t>
      </w:r>
    </w:p>
    <w:p w14:paraId="205BFABB">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14.2 下述文件为本合同一部分，并与本合同一起阅读和理解，且具有同等法律效力；合同的附件、投标文件均作为本合同不可分割的内容，且具有同等法律效力。合同的附件由甲方使用单位负责审核并签章。</w:t>
      </w:r>
    </w:p>
    <w:p w14:paraId="55D56BAD">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a.合同附件（设备的具体配置及技术参数）；</w:t>
      </w:r>
    </w:p>
    <w:p w14:paraId="27D27B77">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b.招标文件；</w:t>
      </w:r>
    </w:p>
    <w:p w14:paraId="69C051AF">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c.投标文件；</w:t>
      </w:r>
    </w:p>
    <w:p w14:paraId="45DA14DD">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d.进出口代理协议；</w:t>
      </w:r>
    </w:p>
    <w:p w14:paraId="6D95701A">
      <w:pPr>
        <w:spacing w:line="380" w:lineRule="exact"/>
        <w:ind w:firstLine="480" w:firstLineChars="200"/>
        <w:rPr>
          <w:rFonts w:hint="default"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d.中标通知书。</w:t>
      </w:r>
    </w:p>
    <w:p w14:paraId="49F3856E">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14.3 通知和合同修改;在本合同执行过程中，一方给另一方的通知，都应以书面的形式（信函、传真）发送至对方，对本合同条款进行任何改动或补充，均须由甲乙双方签署书面合同修改签证，方为有效。</w:t>
      </w:r>
    </w:p>
    <w:p w14:paraId="2F00A804">
      <w:pPr>
        <w:shd w:val="clear" w:color="auto" w:fill="auto"/>
        <w:spacing w:line="380" w:lineRule="exact"/>
        <w:ind w:firstLine="480" w:firstLineChars="200"/>
        <w:rPr>
          <w:rFonts w:asciiTheme="minorEastAsia" w:hAnsiTheme="minorEastAsia" w:eastAsiaTheme="minorEastAsia" w:cstheme="minorEastAsia"/>
          <w:color w:val="000000" w:themeColor="text1"/>
          <w:kern w:val="0"/>
          <w:sz w:val="24"/>
          <w:szCs w:val="24"/>
          <w:lang w:eastAsia="zh-CN"/>
          <w14:textFill>
            <w14:solidFill>
              <w14:schemeClr w14:val="tx1"/>
            </w14:solidFill>
          </w14:textFill>
        </w:rPr>
      </w:pPr>
      <w:bookmarkStart w:id="4" w:name="_Toc18101"/>
      <w:bookmarkStart w:id="5" w:name="_Toc495505746"/>
      <w:bookmarkStart w:id="6" w:name="_Toc1081"/>
      <w:bookmarkStart w:id="7" w:name="_Toc11939"/>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1</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w:t>
      </w:r>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.4</w:t>
      </w:r>
      <w:bookmarkEnd w:id="4"/>
      <w:bookmarkEnd w:id="5"/>
      <w:bookmarkEnd w:id="6"/>
      <w:bookmarkEnd w:id="7"/>
      <w:r>
        <w:rPr>
          <w:rFonts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本合同未尽事宜由双方共同协商，另行订立补充协议，补充协议与本协议具有同样的法律效力。如果本合同之附件与本合同规定不符, 以本合同规定为准。</w:t>
      </w:r>
    </w:p>
    <w:p w14:paraId="4F580584">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14.5 本合同履行过程中，双方就本合同项下事宜所发出的任何通知、函件、文件、资料等（以下合称“通知”），均应按本合同双方确认的地址、联系人、联系电话及邮箱送达。各方确认合同所填写地址为有效送达地址，并保证该地址准确、有效。收件方签收当日视为送达。特快专递或挂号信寄出后第</w:t>
      </w:r>
      <w:r>
        <w:rPr>
          <w:rFonts w:asciiTheme="minorEastAsia" w:hAnsiTheme="minorEastAsia" w:eastAsiaTheme="minorEastAsia" w:cstheme="minorEastAsia"/>
          <w:color w:val="000000" w:themeColor="text1"/>
          <w:sz w:val="24"/>
          <w:szCs w:val="24"/>
          <w:lang w:eastAsia="zh-CN"/>
          <w14:textFill>
            <w14:solidFill>
              <w14:schemeClr w14:val="tx1"/>
            </w14:solidFill>
          </w14:textFill>
        </w:rPr>
        <w:t>3</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日（以邮戳为准）视为送达，即使发生拒收、退回等情形。电子邮件自进入收件方指定电子邮箱系统时视为送达（发送成功即视为进入，无论是否阅读）。若采用多种方式，以最早到达时间为准。任何一方变更地址，应提前</w:t>
      </w:r>
      <w:r>
        <w:rPr>
          <w:rFonts w:asciiTheme="minorEastAsia" w:hAnsiTheme="minorEastAsia" w:eastAsiaTheme="minorEastAsia" w:cstheme="minorEastAsia"/>
          <w:color w:val="000000" w:themeColor="text1"/>
          <w:sz w:val="24"/>
          <w:szCs w:val="24"/>
          <w:lang w:eastAsia="zh-CN"/>
          <w14:textFill>
            <w14:solidFill>
              <w14:schemeClr w14:val="tx1"/>
            </w14:solidFill>
          </w14:textFill>
        </w:rPr>
        <w:t>3</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个工作日书面通知对方；否则，原地址仍有效，依此发出的通知一经发出即视为送达，由此产生的后果由未通知方自行承担。</w:t>
      </w:r>
    </w:p>
    <w:p w14:paraId="4C0E3143">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p>
    <w:p w14:paraId="23119F10">
      <w:pPr>
        <w:spacing w:beforeLines="50" w:afterLines="5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合同签订地点：陕西职业技术学院</w:t>
      </w:r>
    </w:p>
    <w:p w14:paraId="786AC5B4">
      <w:pPr>
        <w:spacing w:beforeLines="50" w:afterLines="50"/>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合同签订时间：</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年</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月</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日</w:t>
      </w:r>
    </w:p>
    <w:p w14:paraId="5065E762">
      <w:pPr>
        <w:rPr>
          <w:rFonts w:asciiTheme="minorEastAsia" w:hAnsiTheme="minorEastAsia" w:eastAsiaTheme="minorEastAsia" w:cstheme="minorEastAsia"/>
          <w:color w:val="000000" w:themeColor="text1"/>
          <w:sz w:val="24"/>
          <w:szCs w:val="24"/>
          <w14:textFill>
            <w14:solidFill>
              <w14:schemeClr w14:val="tx1"/>
            </w14:solidFill>
          </w14:textFill>
        </w:rPr>
      </w:pPr>
    </w:p>
    <w:tbl>
      <w:tblPr>
        <w:tblStyle w:val="7"/>
        <w:tblW w:w="901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34"/>
        <w:gridCol w:w="4485"/>
      </w:tblGrid>
      <w:tr w14:paraId="747291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trPr>
        <w:tc>
          <w:tcPr>
            <w:tcW w:w="4534" w:type="dxa"/>
            <w:vAlign w:val="center"/>
          </w:tcPr>
          <w:p w14:paraId="3CD824BA">
            <w:pPr>
              <w:jc w:val="both"/>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甲方(盖章):陕西职业技术学院</w:t>
            </w:r>
          </w:p>
        </w:tc>
        <w:tc>
          <w:tcPr>
            <w:tcW w:w="4485" w:type="dxa"/>
            <w:vAlign w:val="center"/>
          </w:tcPr>
          <w:p w14:paraId="55F2A3DE">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乙方(盖章):</w:t>
            </w:r>
          </w:p>
        </w:tc>
      </w:tr>
      <w:tr w14:paraId="78B0BF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64DC38E3">
            <w:pPr>
              <w:jc w:val="both"/>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地址：西安市灞桥区狄寨路2028号</w:t>
            </w:r>
          </w:p>
        </w:tc>
        <w:tc>
          <w:tcPr>
            <w:tcW w:w="4485" w:type="dxa"/>
            <w:vAlign w:val="center"/>
          </w:tcPr>
          <w:p w14:paraId="5E91A0A4">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地址：</w:t>
            </w:r>
          </w:p>
        </w:tc>
      </w:tr>
      <w:tr w14:paraId="4C4B39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4534" w:type="dxa"/>
            <w:vAlign w:val="center"/>
          </w:tcPr>
          <w:p w14:paraId="59DA5A3C">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法定代表人(签字):</w:t>
            </w:r>
          </w:p>
        </w:tc>
        <w:tc>
          <w:tcPr>
            <w:tcW w:w="4485" w:type="dxa"/>
            <w:vAlign w:val="center"/>
          </w:tcPr>
          <w:p w14:paraId="17CE6F9E">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法定代表人(签字):</w:t>
            </w:r>
          </w:p>
        </w:tc>
      </w:tr>
      <w:tr w14:paraId="629D51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5" w:hRule="atLeast"/>
        </w:trPr>
        <w:tc>
          <w:tcPr>
            <w:tcW w:w="4534" w:type="dxa"/>
            <w:vAlign w:val="center"/>
          </w:tcPr>
          <w:p w14:paraId="506E0449">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委托代理人(签字):</w:t>
            </w:r>
          </w:p>
        </w:tc>
        <w:tc>
          <w:tcPr>
            <w:tcW w:w="4485" w:type="dxa"/>
            <w:vAlign w:val="center"/>
          </w:tcPr>
          <w:p w14:paraId="3BA2759A">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委托代理人(签字)</w:t>
            </w:r>
          </w:p>
        </w:tc>
      </w:tr>
      <w:tr w14:paraId="014D66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42870F6D">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联系人：</w:t>
            </w:r>
          </w:p>
        </w:tc>
        <w:tc>
          <w:tcPr>
            <w:tcW w:w="4485" w:type="dxa"/>
            <w:vAlign w:val="center"/>
          </w:tcPr>
          <w:p w14:paraId="1D17259D">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联系人：</w:t>
            </w:r>
          </w:p>
        </w:tc>
      </w:tr>
      <w:tr w14:paraId="3D0A1C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1" w:hRule="atLeast"/>
        </w:trPr>
        <w:tc>
          <w:tcPr>
            <w:tcW w:w="4534" w:type="dxa"/>
            <w:vAlign w:val="center"/>
          </w:tcPr>
          <w:p w14:paraId="11DB1102">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联系电话：</w:t>
            </w:r>
          </w:p>
        </w:tc>
        <w:tc>
          <w:tcPr>
            <w:tcW w:w="4485" w:type="dxa"/>
            <w:vAlign w:val="center"/>
          </w:tcPr>
          <w:p w14:paraId="03181C55">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联系电话：</w:t>
            </w:r>
          </w:p>
        </w:tc>
      </w:tr>
      <w:tr w14:paraId="07FA5B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4" w:hRule="atLeast"/>
        </w:trPr>
        <w:tc>
          <w:tcPr>
            <w:tcW w:w="4534" w:type="dxa"/>
            <w:vAlign w:val="center"/>
          </w:tcPr>
          <w:p w14:paraId="1E3C3590">
            <w:pPr>
              <w:jc w:val="both"/>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电子邮箱：</w:t>
            </w:r>
          </w:p>
        </w:tc>
        <w:tc>
          <w:tcPr>
            <w:tcW w:w="4485" w:type="dxa"/>
            <w:vAlign w:val="center"/>
          </w:tcPr>
          <w:p w14:paraId="01A61A8E">
            <w:pPr>
              <w:jc w:val="both"/>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电子邮箱：</w:t>
            </w:r>
          </w:p>
        </w:tc>
      </w:tr>
    </w:tbl>
    <w:p w14:paraId="1EF39FCD">
      <w:pPr>
        <w:rPr>
          <w:rFonts w:hint="eastAsia" w:asciiTheme="minorEastAsia" w:hAnsiTheme="minorEastAsia" w:eastAsiaTheme="minorEastAsia" w:cstheme="minorEastAsia"/>
          <w:color w:val="000000" w:themeColor="text1"/>
          <w:lang w:eastAsia="zh-CN"/>
          <w14:textFill>
            <w14:solidFill>
              <w14:schemeClr w14:val="tx1"/>
            </w14:solidFill>
          </w14:textFill>
        </w:rPr>
      </w:pPr>
    </w:p>
    <w:sectPr>
      <w:footerReference r:id="rId3" w:type="default"/>
      <w:pgSz w:w="11900" w:h="16830"/>
      <w:pgMar w:top="1377" w:right="1253" w:bottom="1304" w:left="1524" w:header="0" w:footer="1169" w:gutter="0"/>
      <w:pgNumType w:fmt="numberInDash"/>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7EBF9B">
    <w:pPr>
      <w:spacing w:line="174" w:lineRule="auto"/>
      <w:ind w:left="4435"/>
      <w:rPr>
        <w:rFonts w:ascii="Times New Roman" w:hAnsi="Times New Roman" w:eastAsia="Times New Roman" w:cs="Times New Roman"/>
        <w:sz w:val="15"/>
        <w:szCs w:val="15"/>
      </w:rPr>
    </w:pPr>
    <w:r>
      <w:rPr>
        <w:sz w:val="15"/>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60EDCA">
                          <w:pPr>
                            <w:pStyle w:val="3"/>
                          </w:pPr>
                          <w:r>
                            <w:rPr>
                              <w:sz w:val="20"/>
                              <w:szCs w:val="22"/>
                            </w:rPr>
                            <w:fldChar w:fldCharType="begin"/>
                          </w:r>
                          <w:r>
                            <w:rPr>
                              <w:sz w:val="20"/>
                              <w:szCs w:val="22"/>
                            </w:rPr>
                            <w:instrText xml:space="preserve"> PAGE  \* MERGEFORMAT </w:instrText>
                          </w:r>
                          <w:r>
                            <w:rPr>
                              <w:sz w:val="20"/>
                              <w:szCs w:val="22"/>
                            </w:rPr>
                            <w:fldChar w:fldCharType="separate"/>
                          </w:r>
                          <w:r>
                            <w:rPr>
                              <w:sz w:val="20"/>
                              <w:szCs w:val="22"/>
                            </w:rPr>
                            <w:t>1</w:t>
                          </w:r>
                          <w:r>
                            <w:rPr>
                              <w:sz w:val="20"/>
                              <w:szCs w:val="2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160EDCA">
                    <w:pPr>
                      <w:pStyle w:val="3"/>
                    </w:pPr>
                    <w:r>
                      <w:rPr>
                        <w:sz w:val="20"/>
                        <w:szCs w:val="22"/>
                      </w:rPr>
                      <w:fldChar w:fldCharType="begin"/>
                    </w:r>
                    <w:r>
                      <w:rPr>
                        <w:sz w:val="20"/>
                        <w:szCs w:val="22"/>
                      </w:rPr>
                      <w:instrText xml:space="preserve"> PAGE  \* MERGEFORMAT </w:instrText>
                    </w:r>
                    <w:r>
                      <w:rPr>
                        <w:sz w:val="20"/>
                        <w:szCs w:val="22"/>
                      </w:rPr>
                      <w:fldChar w:fldCharType="separate"/>
                    </w:r>
                    <w:r>
                      <w:rPr>
                        <w:sz w:val="20"/>
                        <w:szCs w:val="22"/>
                      </w:rPr>
                      <w:t>1</w:t>
                    </w:r>
                    <w:r>
                      <w:rPr>
                        <w:sz w:val="20"/>
                        <w:szCs w:val="22"/>
                      </w:rPr>
                      <w:fldChar w:fldCharType="end"/>
                    </w:r>
                  </w:p>
                </w:txbxContent>
              </v:textbox>
            </v:shape>
          </w:pict>
        </mc:Fallback>
      </mc:AlternateConten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卡门">
    <w15:presenceInfo w15:providerId="WPS Office" w15:userId="22227389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ADD"/>
    <w:rsid w:val="00091AE6"/>
    <w:rsid w:val="000C37A4"/>
    <w:rsid w:val="000C3C24"/>
    <w:rsid w:val="000F380C"/>
    <w:rsid w:val="0013590D"/>
    <w:rsid w:val="0016095A"/>
    <w:rsid w:val="001A5E78"/>
    <w:rsid w:val="003511F5"/>
    <w:rsid w:val="004174E0"/>
    <w:rsid w:val="0044229A"/>
    <w:rsid w:val="005A1F4B"/>
    <w:rsid w:val="0062118E"/>
    <w:rsid w:val="006C4ADD"/>
    <w:rsid w:val="00777EB7"/>
    <w:rsid w:val="007C6DE7"/>
    <w:rsid w:val="008B3847"/>
    <w:rsid w:val="008E5CC1"/>
    <w:rsid w:val="00A16822"/>
    <w:rsid w:val="00AB13E3"/>
    <w:rsid w:val="00B33C55"/>
    <w:rsid w:val="00B50900"/>
    <w:rsid w:val="00B53789"/>
    <w:rsid w:val="00BD4DE1"/>
    <w:rsid w:val="00CB1EB5"/>
    <w:rsid w:val="00CD7143"/>
    <w:rsid w:val="00CE3A36"/>
    <w:rsid w:val="00DF6577"/>
    <w:rsid w:val="00FA43DF"/>
    <w:rsid w:val="0E0E1BEC"/>
    <w:rsid w:val="18B2778A"/>
    <w:rsid w:val="1C2B5C7B"/>
    <w:rsid w:val="1C6E45B6"/>
    <w:rsid w:val="1E1B62F5"/>
    <w:rsid w:val="22AD1941"/>
    <w:rsid w:val="25E72643"/>
    <w:rsid w:val="25FA62CC"/>
    <w:rsid w:val="2F974B8C"/>
    <w:rsid w:val="30B73737"/>
    <w:rsid w:val="30C46236"/>
    <w:rsid w:val="37AA2989"/>
    <w:rsid w:val="3CB46D7D"/>
    <w:rsid w:val="528B3483"/>
    <w:rsid w:val="54637566"/>
    <w:rsid w:val="58CB4F3F"/>
    <w:rsid w:val="5BEA0612"/>
    <w:rsid w:val="64F8789F"/>
    <w:rsid w:val="741F2C12"/>
    <w:rsid w:val="757F5473"/>
    <w:rsid w:val="7A521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footer"/>
    <w:basedOn w:val="1"/>
    <w:semiHidden/>
    <w:unhideWhenUsed/>
    <w:qFormat/>
    <w:uiPriority w:val="99"/>
    <w:pPr>
      <w:tabs>
        <w:tab w:val="center" w:pos="4153"/>
        <w:tab w:val="right" w:pos="8306"/>
      </w:tabs>
      <w:snapToGrid w:val="0"/>
      <w:jc w:val="left"/>
    </w:pPr>
    <w:rPr>
      <w:sz w:val="18"/>
    </w:rPr>
  </w:style>
  <w:style w:type="paragraph" w:styleId="4">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rPr>
      <w:rFonts w:ascii="Arial" w:hAnsi="Arial" w:cs="Arial"/>
      <w:kern w:val="0"/>
      <w:sz w:val="20"/>
      <w:szCs w:val="20"/>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7</Pages>
  <Words>6005</Words>
  <Characters>6283</Characters>
  <Lines>48</Lines>
  <Paragraphs>13</Paragraphs>
  <TotalTime>69</TotalTime>
  <ScaleCrop>false</ScaleCrop>
  <LinksUpToDate>false</LinksUpToDate>
  <CharactersWithSpaces>6566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2026-04-23T01:22:00Z</dcterms:created>
  <dc:creator>User</dc:creator>
  <cp:lastModifiedBy>卡门</cp:lastModifiedBy>
  <dcterms:modified xsi:type="dcterms:W3CDTF">2026-05-20T08:23:16Z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eyJoZGlkIjoiZWUwNTEzOTFkNGFmNTIyMWRjNDBlNDEzNTljYzUzYmIiLCJ1c2VySWQiOiIzMjc5MjMxMjUifQ==</vt:lpwstr>
  </property>
  <property fmtid="{D5CDD505-2E9C-101B-9397-08002B2CF9AE}" pid="3" name="KSOProductBuildVer">
    <vt:lpwstr>2052-12.1.0.23542</vt:lpwstr>
  </property>
  <property fmtid="{D5CDD505-2E9C-101B-9397-08002B2CF9AE}" pid="4" name="ICV">
    <vt:lpwstr>B0C84C9EC33F43919B3D32D9B810B171_13</vt:lpwstr>
  </property>
</Properties>
</file>