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版本号：JXRC-26041720260424001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等离子增强型原子层沉积控制系统采购项目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JXRC-260417</w:t>
      </w:r>
      <w:r>
        <w:br/>
      </w:r>
      <w:r>
        <w:br/>
      </w:r>
      <w:r>
        <w:br/>
      </w:r>
    </w:p>
    <w:p>
      <w:pPr>
        <w:pStyle w:val="null3"/>
        <w:jc w:val="center"/>
        <w:outlineLvl w:val="2"/>
      </w:pPr>
      <w:r>
        <w:rPr>
          <w:rFonts w:ascii="仿宋_GB2312" w:hAnsi="仿宋_GB2312" w:cs="仿宋_GB2312" w:eastAsia="仿宋_GB2312"/>
          <w:sz w:val="28"/>
          <w:b/>
        </w:rPr>
        <w:t>西安理工大学</w:t>
      </w:r>
    </w:p>
    <w:p>
      <w:pPr>
        <w:pStyle w:val="null3"/>
        <w:jc w:val="center"/>
        <w:outlineLvl w:val="2"/>
      </w:pPr>
      <w:r>
        <w:rPr>
          <w:rFonts w:ascii="仿宋_GB2312" w:hAnsi="仿宋_GB2312" w:cs="仿宋_GB2312" w:eastAsia="仿宋_GB2312"/>
          <w:sz w:val="28"/>
          <w:b/>
        </w:rPr>
        <w:t>陕西嘉信瑞诚招标有限公司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陕西嘉信瑞诚招标有限公司</w:t>
      </w:r>
      <w:r>
        <w:rPr>
          <w:rFonts w:ascii="仿宋_GB2312" w:hAnsi="仿宋_GB2312" w:cs="仿宋_GB2312" w:eastAsia="仿宋_GB2312"/>
        </w:rPr>
        <w:t>（以下简称“代理机构”）受</w:t>
      </w:r>
      <w:r>
        <w:rPr>
          <w:rFonts w:ascii="仿宋_GB2312" w:hAnsi="仿宋_GB2312" w:cs="仿宋_GB2312" w:eastAsia="仿宋_GB2312"/>
        </w:rPr>
        <w:t>西安理工大学</w:t>
      </w:r>
      <w:r>
        <w:rPr>
          <w:rFonts w:ascii="仿宋_GB2312" w:hAnsi="仿宋_GB2312" w:cs="仿宋_GB2312" w:eastAsia="仿宋_GB2312"/>
        </w:rPr>
        <w:t>委托，拟对</w:t>
      </w:r>
      <w:r>
        <w:rPr>
          <w:rFonts w:ascii="仿宋_GB2312" w:hAnsi="仿宋_GB2312" w:cs="仿宋_GB2312" w:eastAsia="仿宋_GB2312"/>
        </w:rPr>
        <w:t>等离子增强型原子层沉积控制系统采购项目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JXRC-260417</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等离子增强型原子层沉积控制系统采购项目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西安理工大学采购等离子增强型原子层沉积控制系统采购1套；该系统需具有热原子层沉积和等离子体原子层沉积功能，可以对4/6/8英寸晶圆进行有机物、金属氧化物等材料沉积。</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采购包1（等离子增强型原子层沉积控制系统采购项目）：属于专门面向中小企业采购。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其他组织或自然人：企业法人应提供合法有效的标识有统一社会信用代码的营业执照；事业法人应提供事业单位法人证书；其他组织应提供合法登记证明文件；自然人应提供身份证。</w:t>
      </w:r>
    </w:p>
    <w:p>
      <w:pPr>
        <w:pStyle w:val="null3"/>
      </w:pPr>
      <w:r>
        <w:rPr>
          <w:rFonts w:ascii="仿宋_GB2312" w:hAnsi="仿宋_GB2312" w:cs="仿宋_GB2312" w:eastAsia="仿宋_GB2312"/>
        </w:rPr>
        <w:t>2、法定代表人授权书：法定代表人/负责人直接参加的，须递交《法定代表人/负责人身份证明》；法定代表人/负责人授权代表参加的，须递交《法定代表人/负责人授权书》</w:t>
      </w:r>
    </w:p>
    <w:p>
      <w:pPr>
        <w:pStyle w:val="null3"/>
      </w:pPr>
      <w:r>
        <w:rPr>
          <w:rFonts w:ascii="仿宋_GB2312" w:hAnsi="仿宋_GB2312" w:cs="仿宋_GB2312" w:eastAsia="仿宋_GB2312"/>
        </w:rPr>
        <w:t>3、财务状况证明：法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其他组织和自然人提供银行出具的资信证明或财务报表。</w:t>
      </w:r>
    </w:p>
    <w:p>
      <w:pPr>
        <w:pStyle w:val="null3"/>
      </w:pPr>
      <w:r>
        <w:rPr>
          <w:rFonts w:ascii="仿宋_GB2312" w:hAnsi="仿宋_GB2312" w:cs="仿宋_GB2312" w:eastAsia="仿宋_GB2312"/>
        </w:rPr>
        <w:t>4、纳税证明：提供递交投标文件截止时间前一年内已缴存任意一个月的依法缴纳税收的相关凭据，凭据应有税务机关或代收机关的公章或业务专用章。依法免税或无须缴纳税收的供应商，应提供相应证明文件。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5、社保缴纳证明：提供递交投标文件截止时间前一年内任意一个月的社会保障资金缴存单据或社保机构开具的社会保险参保缴费情况证明。依法不需要缴纳社会保障资金的供应商应提供相关文件证明。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6、无重大违法记录声明：参加本次政府采购活动前三年内，在经营活动中没有重大违法记录，提供《无重大违法记录声明》。</w:t>
      </w:r>
    </w:p>
    <w:p>
      <w:pPr>
        <w:pStyle w:val="null3"/>
      </w:pPr>
      <w:r>
        <w:rPr>
          <w:rFonts w:ascii="仿宋_GB2312" w:hAnsi="仿宋_GB2312" w:cs="仿宋_GB2312" w:eastAsia="仿宋_GB2312"/>
        </w:rPr>
        <w:t>7、履约能力声明：提供《具有履行合同所必需的设备和专业技术能力的承诺书》。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西安理工大学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西安市金花南路5号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710048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西安理工大学经办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029-61125883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陕西嘉信瑞诚招标有限公司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西安市南稍门十字东南角大话南门壹中心18层1806室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曲慧、张海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029-81541692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采购包1：1,800,000.00元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开户名称：陕西嘉信瑞诚招标有限公司</w:t>
            </w:r>
          </w:p>
          <w:p>
            <w:pPr>
              <w:pStyle w:val="null3"/>
            </w:pPr>
            <w:r>
              <w:rPr>
                <w:rFonts w:ascii="仿宋_GB2312" w:hAnsi="仿宋_GB2312" w:cs="仿宋_GB2312" w:eastAsia="仿宋_GB2312"/>
              </w:rPr>
              <w:t>开户银行：民生银行西安分行营业部(备注:转账时须附言“260417投标保证金”）</w:t>
            </w:r>
          </w:p>
          <w:p>
            <w:pPr>
              <w:pStyle w:val="null3"/>
            </w:pPr>
            <w:r>
              <w:rPr>
                <w:rFonts w:ascii="仿宋_GB2312" w:hAnsi="仿宋_GB2312" w:cs="仿宋_GB2312" w:eastAsia="仿宋_GB2312"/>
              </w:rPr>
              <w:t>银行账号：632043869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在合同签订前向甲方指定账户交纳履约保证金，履约保证金金额为成交金额的5%（货物类），质保服务期满后，在扣除相关款项后（若有），剩余部分无息返还。如遇下列情况之一者，合同履约保证金不予退还，作为对采购人的赔偿：（1）合同签订后不能按合同时限要求供货的； （2）所供产品与合同不符或验收不合格的； （3）不能按合同履约的。</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代理服务费收费标准：参照《国家计委关于印发&lt;招标代理服务收费管理暂行办法&gt;的通知》（计价格【2002】1980号）报价依据的85%计费标准向中标人/成交人收取。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西安理工大学</w:t>
      </w:r>
      <w:r>
        <w:rPr>
          <w:rFonts w:ascii="仿宋_GB2312" w:hAnsi="仿宋_GB2312" w:cs="仿宋_GB2312" w:eastAsia="仿宋_GB2312"/>
        </w:rPr>
        <w:t>和</w:t>
      </w:r>
      <w:r>
        <w:rPr>
          <w:rFonts w:ascii="仿宋_GB2312" w:hAnsi="仿宋_GB2312" w:cs="仿宋_GB2312" w:eastAsia="仿宋_GB2312"/>
        </w:rPr>
        <w:t>陕西嘉信瑞诚招标有限公司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西安理工大学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陕西嘉信瑞诚招标有限公司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西安理工大学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陕西嘉信瑞诚招标有限公司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详见招标文件及合同文本约定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陕西嘉信瑞诚招标有限公司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联系人：曲慧</w:t>
      </w:r>
    </w:p>
    <w:p>
      <w:pPr>
        <w:pStyle w:val="null3"/>
      </w:pPr>
      <w:r>
        <w:rPr>
          <w:rFonts w:ascii="仿宋_GB2312" w:hAnsi="仿宋_GB2312" w:cs="仿宋_GB2312" w:eastAsia="仿宋_GB2312"/>
        </w:rPr>
        <w:t>联系电话：029-81541692</w:t>
      </w:r>
    </w:p>
    <w:p>
      <w:pPr>
        <w:pStyle w:val="null3"/>
      </w:pPr>
      <w:r>
        <w:rPr>
          <w:rFonts w:ascii="仿宋_GB2312" w:hAnsi="仿宋_GB2312" w:cs="仿宋_GB2312" w:eastAsia="仿宋_GB2312"/>
        </w:rPr>
        <w:t>地址：西安市南稍门十字东南角大话南门壹中心18层1806室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西安理工大学采购等离子增强型原子层沉积控制系统采购1套；该系统需具有热原子层沉积和等离子体原子层沉积功能，可以对4/6/8英寸晶圆进行有机物、金属氧化物等材料沉积。</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1,800,000.00</w:t>
      </w:r>
    </w:p>
    <w:p>
      <w:pPr>
        <w:pStyle w:val="null3"/>
      </w:pPr>
      <w:r>
        <w:rPr>
          <w:rFonts w:ascii="仿宋_GB2312" w:hAnsi="仿宋_GB2312" w:cs="仿宋_GB2312" w:eastAsia="仿宋_GB2312"/>
        </w:rPr>
        <w:t>采购包最高限价（元）: 1,800,000.00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等离子增强型原子层沉积控制系统</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标的名称：等离子增强型原子层沉积控制系统</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1.主要功能：具有热原子层沉积和等离子体原子层沉积功能</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2.独立进气口，金属前驱体源与氧源分开</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rPr>
              <w:t>3.可沉积氧化硅、氮化硅、氮化镓、金属等多种材料。</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4.原子层沉积设备至少包含以下配置：1套原子层沉积系统主机；1套ICP等离子体系统；1套双腔反应腔；1套常温液源输送系统；3套加热源管路；2套载气辅助源输送系统；1套臭氧源系统；1套真空系统</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rPr>
              <w:t>5.设备主机规格</w:t>
            </w:r>
          </w:p>
          <w:p>
            <w:pPr>
              <w:pStyle w:val="null3"/>
            </w:pPr>
            <w:r>
              <w:rPr>
                <w:rFonts w:ascii="仿宋_GB2312" w:hAnsi="仿宋_GB2312" w:cs="仿宋_GB2312" w:eastAsia="仿宋_GB2312"/>
              </w:rPr>
              <w:t>5.1样品载台：≥8英寸，兼容6英寸以下尺寸样品薄膜沉积</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rPr>
              <w:t>5.2设备漏率≤ 5×10-10 Pa·m3/s；</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rPr>
              <w:t>5.3控制方式：PLC+触摸屏</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pPr>
            <w:r>
              <w:rPr>
                <w:rFonts w:ascii="仿宋_GB2312" w:hAnsi="仿宋_GB2312" w:cs="仿宋_GB2312" w:eastAsia="仿宋_GB2312"/>
              </w:rPr>
              <w:t>5.4多种沉积模式：快速模式、充分暴露模式和多元掺杂模式</w:t>
            </w:r>
          </w:p>
        </w:tc>
      </w:tr>
      <w:tr>
        <w:tc>
          <w:tcPr>
            <w:tcW w:type="dxa" w:w="2769"/>
          </w:tcPr>
          <w:p>
            <w:pPr>
              <w:pStyle w:val="null3"/>
            </w:pPr>
            <w:r>
              <w:rPr>
                <w:rFonts w:ascii="仿宋_GB2312" w:hAnsi="仿宋_GB2312" w:cs="仿宋_GB2312" w:eastAsia="仿宋_GB2312"/>
              </w:rPr>
              <w:t>9</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6.反应腔系统：</w:t>
            </w:r>
          </w:p>
          <w:p>
            <w:pPr>
              <w:pStyle w:val="null3"/>
            </w:pPr>
            <w:r>
              <w:rPr>
                <w:rFonts w:ascii="仿宋_GB2312" w:hAnsi="仿宋_GB2312" w:cs="仿宋_GB2312" w:eastAsia="仿宋_GB2312"/>
                <w:sz w:val="24"/>
              </w:rPr>
              <w:t>★6.1双腔(反应腔+真空腔)结构，反应腔可拆卸且可完全取出，真空腔体材质为不锈钢；腔门为传输阀标准口，真空腔带可视窗；</w:t>
            </w:r>
          </w:p>
        </w:tc>
      </w:tr>
      <w:tr>
        <w:tc>
          <w:tcPr>
            <w:tcW w:type="dxa" w:w="2769"/>
          </w:tcPr>
          <w:p>
            <w:pPr>
              <w:pStyle w:val="null3"/>
            </w:pPr>
            <w:r>
              <w:rPr>
                <w:rFonts w:ascii="仿宋_GB2312" w:hAnsi="仿宋_GB2312" w:cs="仿宋_GB2312" w:eastAsia="仿宋_GB2312"/>
              </w:rPr>
              <w:t>10</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▲6.2样品台单独加热，四周辐射加热，室温</w:t>
            </w:r>
            <w:r>
              <w:rPr>
                <w:rFonts w:ascii="仿宋_GB2312" w:hAnsi="仿宋_GB2312" w:cs="仿宋_GB2312" w:eastAsia="仿宋_GB2312"/>
                <w:sz w:val="24"/>
              </w:rPr>
              <w:t>～</w:t>
            </w:r>
            <w:r>
              <w:rPr>
                <w:rFonts w:ascii="仿宋_GB2312" w:hAnsi="仿宋_GB2312" w:cs="仿宋_GB2312" w:eastAsia="仿宋_GB2312"/>
                <w:sz w:val="24"/>
              </w:rPr>
              <w:t xml:space="preserve">500℃，控制精度≤±1 </w:t>
            </w:r>
            <w:r>
              <w:rPr>
                <w:rFonts w:ascii="仿宋_GB2312" w:hAnsi="仿宋_GB2312" w:cs="仿宋_GB2312" w:eastAsia="仿宋_GB2312"/>
                <w:sz w:val="24"/>
                <w:vertAlign w:val="superscript"/>
              </w:rPr>
              <w:t>o</w:t>
            </w:r>
            <w:r>
              <w:rPr>
                <w:rFonts w:ascii="仿宋_GB2312" w:hAnsi="仿宋_GB2312" w:cs="仿宋_GB2312" w:eastAsia="仿宋_GB2312"/>
                <w:sz w:val="24"/>
              </w:rPr>
              <w:t xml:space="preserve">C；，反应腔系统内外双层加热器设计，真空腔加热温度范围室温～300 </w:t>
            </w:r>
            <w:r>
              <w:rPr>
                <w:rFonts w:ascii="仿宋_GB2312" w:hAnsi="仿宋_GB2312" w:cs="仿宋_GB2312" w:eastAsia="仿宋_GB2312"/>
                <w:sz w:val="24"/>
                <w:vertAlign w:val="superscript"/>
              </w:rPr>
              <w:t>o</w:t>
            </w:r>
            <w:r>
              <w:rPr>
                <w:rFonts w:ascii="仿宋_GB2312" w:hAnsi="仿宋_GB2312" w:cs="仿宋_GB2312" w:eastAsia="仿宋_GB2312"/>
                <w:sz w:val="24"/>
              </w:rPr>
              <w:t xml:space="preserve">C，控制精度≤±1 </w:t>
            </w:r>
            <w:r>
              <w:rPr>
                <w:rFonts w:ascii="仿宋_GB2312" w:hAnsi="仿宋_GB2312" w:cs="仿宋_GB2312" w:eastAsia="仿宋_GB2312"/>
                <w:sz w:val="24"/>
                <w:vertAlign w:val="superscript"/>
              </w:rPr>
              <w:t>o</w:t>
            </w:r>
            <w:r>
              <w:rPr>
                <w:rFonts w:ascii="仿宋_GB2312" w:hAnsi="仿宋_GB2312" w:cs="仿宋_GB2312" w:eastAsia="仿宋_GB2312"/>
                <w:sz w:val="24"/>
              </w:rPr>
              <w:t>C；</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pPr>
            <w:r>
              <w:rPr>
                <w:rFonts w:ascii="仿宋_GB2312" w:hAnsi="仿宋_GB2312" w:cs="仿宋_GB2312" w:eastAsia="仿宋_GB2312"/>
              </w:rPr>
              <w:t>6.3反应腔采用喷淋气流模式，反应腔与真空腔室之间压力差可调控，避免前驱体源渗透至真空腔；</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pPr>
            <w:r>
              <w:rPr>
                <w:rFonts w:ascii="仿宋_GB2312" w:hAnsi="仿宋_GB2312" w:cs="仿宋_GB2312" w:eastAsia="仿宋_GB2312"/>
              </w:rPr>
              <w:t>6.4进样方式：样品台电动升降，样品手动转载；</w:t>
            </w:r>
          </w:p>
        </w:tc>
      </w:tr>
      <w:tr>
        <w:tc>
          <w:tcPr>
            <w:tcW w:type="dxa" w:w="2769"/>
          </w:tcPr>
          <w:p>
            <w:pPr>
              <w:pStyle w:val="null3"/>
            </w:pPr>
            <w:r>
              <w:rPr>
                <w:rFonts w:ascii="仿宋_GB2312" w:hAnsi="仿宋_GB2312" w:cs="仿宋_GB2312" w:eastAsia="仿宋_GB2312"/>
              </w:rPr>
              <w:t>13</w:t>
            </w:r>
          </w:p>
        </w:tc>
        <w:tc>
          <w:tcPr>
            <w:tcW w:type="dxa" w:w="2769"/>
          </w:tcPr>
          <w:p/>
        </w:tc>
        <w:tc>
          <w:tcPr>
            <w:tcW w:type="dxa" w:w="2769"/>
          </w:tcPr>
          <w:p>
            <w:pPr>
              <w:pStyle w:val="null3"/>
            </w:pPr>
            <w:r>
              <w:rPr>
                <w:rFonts w:ascii="仿宋_GB2312" w:hAnsi="仿宋_GB2312" w:cs="仿宋_GB2312" w:eastAsia="仿宋_GB2312"/>
              </w:rPr>
              <w:t>7.前驱体源输送系统</w:t>
            </w:r>
          </w:p>
          <w:p>
            <w:pPr>
              <w:pStyle w:val="null3"/>
            </w:pPr>
            <w:r>
              <w:rPr>
                <w:rFonts w:ascii="仿宋_GB2312" w:hAnsi="仿宋_GB2312" w:cs="仿宋_GB2312" w:eastAsia="仿宋_GB2312"/>
              </w:rPr>
              <w:t>7.1反应源与金属前驱体源单独进入反应腔，避免前驱体源交叉污染；反应源和金属前驱体源主管路均配备压力传感器以检测前驱体源压力；</w:t>
            </w:r>
          </w:p>
        </w:tc>
      </w:tr>
      <w:tr>
        <w:tc>
          <w:tcPr>
            <w:tcW w:type="dxa" w:w="2769"/>
          </w:tcPr>
          <w:p>
            <w:pPr>
              <w:pStyle w:val="null3"/>
            </w:pPr>
            <w:r>
              <w:rPr>
                <w:rFonts w:ascii="仿宋_GB2312" w:hAnsi="仿宋_GB2312" w:cs="仿宋_GB2312" w:eastAsia="仿宋_GB2312"/>
              </w:rPr>
              <w:t>14</w:t>
            </w:r>
          </w:p>
        </w:tc>
        <w:tc>
          <w:tcPr>
            <w:tcW w:type="dxa" w:w="2769"/>
          </w:tcPr>
          <w:p/>
        </w:tc>
        <w:tc>
          <w:tcPr>
            <w:tcW w:type="dxa" w:w="2769"/>
          </w:tcPr>
          <w:p>
            <w:pPr>
              <w:pStyle w:val="null3"/>
            </w:pPr>
            <w:r>
              <w:rPr>
                <w:rFonts w:ascii="仿宋_GB2312" w:hAnsi="仿宋_GB2312" w:cs="仿宋_GB2312" w:eastAsia="仿宋_GB2312"/>
              </w:rPr>
              <w:t>7.2配备≥6路前驱体源输送管路，其中加热液源≥3路，常温源≥1路，载气辅助源≥2路；</w:t>
            </w:r>
          </w:p>
        </w:tc>
      </w:tr>
      <w:tr>
        <w:tc>
          <w:tcPr>
            <w:tcW w:type="dxa" w:w="2769"/>
          </w:tcPr>
          <w:p>
            <w:pPr>
              <w:pStyle w:val="null3"/>
            </w:pPr>
            <w:r>
              <w:rPr>
                <w:rFonts w:ascii="仿宋_GB2312" w:hAnsi="仿宋_GB2312" w:cs="仿宋_GB2312" w:eastAsia="仿宋_GB2312"/>
              </w:rPr>
              <w:t>15</w:t>
            </w:r>
          </w:p>
        </w:tc>
        <w:tc>
          <w:tcPr>
            <w:tcW w:type="dxa" w:w="2769"/>
          </w:tcPr>
          <w:p/>
        </w:tc>
        <w:tc>
          <w:tcPr>
            <w:tcW w:type="dxa" w:w="2769"/>
          </w:tcPr>
          <w:p>
            <w:pPr>
              <w:pStyle w:val="null3"/>
            </w:pPr>
            <w:r>
              <w:rPr>
                <w:rFonts w:ascii="仿宋_GB2312" w:hAnsi="仿宋_GB2312" w:cs="仿宋_GB2312" w:eastAsia="仿宋_GB2312"/>
              </w:rPr>
              <w:t>7.3前驱体输送管路加热温度≥250 °C，控制精度≤±1°C；</w:t>
            </w:r>
          </w:p>
        </w:tc>
      </w:tr>
      <w:tr>
        <w:tc>
          <w:tcPr>
            <w:tcW w:type="dxa" w:w="2769"/>
          </w:tcPr>
          <w:p>
            <w:pPr>
              <w:pStyle w:val="null3"/>
            </w:pPr>
            <w:r>
              <w:rPr>
                <w:rFonts w:ascii="仿宋_GB2312" w:hAnsi="仿宋_GB2312" w:cs="仿宋_GB2312" w:eastAsia="仿宋_GB2312"/>
              </w:rPr>
              <w:t>16</w:t>
            </w:r>
          </w:p>
        </w:tc>
        <w:tc>
          <w:tcPr>
            <w:tcW w:type="dxa" w:w="2769"/>
          </w:tcPr>
          <w:p/>
        </w:tc>
        <w:tc>
          <w:tcPr>
            <w:tcW w:type="dxa" w:w="2769"/>
          </w:tcPr>
          <w:p>
            <w:pPr>
              <w:pStyle w:val="null3"/>
            </w:pPr>
            <w:r>
              <w:rPr>
                <w:rFonts w:ascii="仿宋_GB2312" w:hAnsi="仿宋_GB2312" w:cs="仿宋_GB2312" w:eastAsia="仿宋_GB2312"/>
              </w:rPr>
              <w:t>7.4常温源：配备ALD专用阀门(响应≤5ms)、源手动阀、不锈钢源瓶(≥50 mL)；</w:t>
            </w:r>
          </w:p>
        </w:tc>
      </w:tr>
      <w:tr>
        <w:tc>
          <w:tcPr>
            <w:tcW w:type="dxa" w:w="2769"/>
          </w:tcPr>
          <w:p>
            <w:pPr>
              <w:pStyle w:val="null3"/>
            </w:pPr>
            <w:r>
              <w:rPr>
                <w:rFonts w:ascii="仿宋_GB2312" w:hAnsi="仿宋_GB2312" w:cs="仿宋_GB2312" w:eastAsia="仿宋_GB2312"/>
              </w:rPr>
              <w:t>17</w:t>
            </w:r>
          </w:p>
        </w:tc>
        <w:tc>
          <w:tcPr>
            <w:tcW w:type="dxa" w:w="2769"/>
          </w:tcPr>
          <w:p/>
        </w:tc>
        <w:tc>
          <w:tcPr>
            <w:tcW w:type="dxa" w:w="2769"/>
          </w:tcPr>
          <w:p>
            <w:pPr>
              <w:pStyle w:val="null3"/>
            </w:pPr>
            <w:r>
              <w:rPr>
                <w:rFonts w:ascii="仿宋_GB2312" w:hAnsi="仿宋_GB2312" w:cs="仿宋_GB2312" w:eastAsia="仿宋_GB2312"/>
              </w:rPr>
              <w:t>7.5加热源：配备ALD专用阀门(响应≤5ms)、源手动阀(耐温≥200 ℃)、不锈钢源瓶(≥50 mL)，源瓶温度范围RT-200 ℃；</w:t>
            </w:r>
          </w:p>
        </w:tc>
      </w:tr>
      <w:tr>
        <w:tc>
          <w:tcPr>
            <w:tcW w:type="dxa" w:w="2769"/>
          </w:tcPr>
          <w:p>
            <w:pPr>
              <w:pStyle w:val="null3"/>
            </w:pPr>
            <w:r>
              <w:rPr>
                <w:rFonts w:ascii="仿宋_GB2312" w:hAnsi="仿宋_GB2312" w:cs="仿宋_GB2312" w:eastAsia="仿宋_GB2312"/>
              </w:rPr>
              <w:t>18</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★7.6载气辅助源：配备ALD专用阀门(响应≤5ms，最高加热温度≥200℃)、载气脉冲ALD阀门(响应≤5ms，最高加热温度≥200℃)、源手动阀(耐温≥121 ℃)、MFC（量程≥100 sccm)，不锈钢源瓶(≥100 mL)；</w:t>
            </w:r>
          </w:p>
        </w:tc>
      </w:tr>
      <w:tr>
        <w:tc>
          <w:tcPr>
            <w:tcW w:type="dxa" w:w="2769"/>
          </w:tcPr>
          <w:p>
            <w:pPr>
              <w:pStyle w:val="null3"/>
            </w:pPr>
            <w:r>
              <w:rPr>
                <w:rFonts w:ascii="仿宋_GB2312" w:hAnsi="仿宋_GB2312" w:cs="仿宋_GB2312" w:eastAsia="仿宋_GB2312"/>
              </w:rPr>
              <w:t>19</w:t>
            </w:r>
          </w:p>
        </w:tc>
        <w:tc>
          <w:tcPr>
            <w:tcW w:type="dxa" w:w="2769"/>
          </w:tcPr>
          <w:p/>
        </w:tc>
        <w:tc>
          <w:tcPr>
            <w:tcW w:type="dxa" w:w="2769"/>
          </w:tcPr>
          <w:p>
            <w:pPr>
              <w:pStyle w:val="null3"/>
            </w:pPr>
            <w:r>
              <w:rPr>
                <w:rFonts w:ascii="仿宋_GB2312" w:hAnsi="仿宋_GB2312" w:cs="仿宋_GB2312" w:eastAsia="仿宋_GB2312"/>
              </w:rPr>
              <w:t>7.7管路及接头均采用316 EP级电解抛光不锈钢材料，所有气体管路连接处采用金属VCR焊接密封；载气管路采用N2或者Ar气体，通过MFC控制；配备惰性气体自清洗系统，在控制界面中可以设置自动清洗的次数。</w:t>
            </w:r>
          </w:p>
        </w:tc>
      </w:tr>
      <w:tr>
        <w:tc>
          <w:tcPr>
            <w:tcW w:type="dxa" w:w="2769"/>
          </w:tcPr>
          <w:p>
            <w:pPr>
              <w:pStyle w:val="null3"/>
            </w:pPr>
            <w:r>
              <w:rPr>
                <w:rFonts w:ascii="仿宋_GB2312" w:hAnsi="仿宋_GB2312" w:cs="仿宋_GB2312" w:eastAsia="仿宋_GB2312"/>
              </w:rPr>
              <w:t>20</w:t>
            </w:r>
          </w:p>
        </w:tc>
        <w:tc>
          <w:tcPr>
            <w:tcW w:type="dxa" w:w="2769"/>
          </w:tcPr>
          <w:p/>
        </w:tc>
        <w:tc>
          <w:tcPr>
            <w:tcW w:type="dxa" w:w="2769"/>
          </w:tcPr>
          <w:p>
            <w:pPr>
              <w:pStyle w:val="null3"/>
            </w:pPr>
            <w:r>
              <w:rPr>
                <w:rFonts w:ascii="仿宋_GB2312" w:hAnsi="仿宋_GB2312" w:cs="仿宋_GB2312" w:eastAsia="仿宋_GB2312"/>
              </w:rPr>
              <w:t>8.臭氧源系统</w:t>
            </w:r>
          </w:p>
          <w:p>
            <w:pPr>
              <w:pStyle w:val="null3"/>
            </w:pPr>
            <w:r>
              <w:rPr>
                <w:rFonts w:ascii="仿宋_GB2312" w:hAnsi="仿宋_GB2312" w:cs="仿宋_GB2312" w:eastAsia="仿宋_GB2312"/>
              </w:rPr>
              <w:t>8.1配备臭氧发生器、MFC(量程≥200 sccm)；</w:t>
            </w:r>
          </w:p>
        </w:tc>
      </w:tr>
      <w:tr>
        <w:tc>
          <w:tcPr>
            <w:tcW w:type="dxa" w:w="2769"/>
          </w:tcPr>
          <w:p>
            <w:pPr>
              <w:pStyle w:val="null3"/>
            </w:pPr>
            <w:r>
              <w:rPr>
                <w:rFonts w:ascii="仿宋_GB2312" w:hAnsi="仿宋_GB2312" w:cs="仿宋_GB2312" w:eastAsia="仿宋_GB2312"/>
              </w:rPr>
              <w:t>21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▲8.2臭氧发生器产量≥20 g/h，浓度≥150g/m</w:t>
            </w:r>
            <w:r>
              <w:rPr>
                <w:rFonts w:ascii="仿宋_GB2312" w:hAnsi="仿宋_GB2312" w:cs="仿宋_GB2312" w:eastAsia="仿宋_GB2312"/>
                <w:sz w:val="24"/>
                <w:vertAlign w:val="superscript"/>
              </w:rPr>
              <w:t>3</w:t>
            </w:r>
            <w:r>
              <w:rPr>
                <w:rFonts w:ascii="仿宋_GB2312" w:hAnsi="仿宋_GB2312" w:cs="仿宋_GB2312" w:eastAsia="仿宋_GB2312"/>
                <w:sz w:val="24"/>
              </w:rPr>
              <w:t>；</w:t>
            </w:r>
          </w:p>
        </w:tc>
      </w:tr>
      <w:tr>
        <w:tc>
          <w:tcPr>
            <w:tcW w:type="dxa" w:w="2769"/>
          </w:tcPr>
          <w:p>
            <w:pPr>
              <w:pStyle w:val="null3"/>
            </w:pPr>
            <w:r>
              <w:rPr>
                <w:rFonts w:ascii="仿宋_GB2312" w:hAnsi="仿宋_GB2312" w:cs="仿宋_GB2312" w:eastAsia="仿宋_GB2312"/>
              </w:rPr>
              <w:t>22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▲8.3臭氧发生器采用风冷方式，具有尾气处理系统（臭氧破坏器）。无需配备冷却水，尺寸≤510*510*210 mm。</w:t>
            </w:r>
          </w:p>
        </w:tc>
      </w:tr>
      <w:tr>
        <w:tc>
          <w:tcPr>
            <w:tcW w:type="dxa" w:w="2769"/>
          </w:tcPr>
          <w:p>
            <w:pPr>
              <w:pStyle w:val="null3"/>
            </w:pPr>
            <w:r>
              <w:rPr>
                <w:rFonts w:ascii="仿宋_GB2312" w:hAnsi="仿宋_GB2312" w:cs="仿宋_GB2312" w:eastAsia="仿宋_GB2312"/>
              </w:rPr>
              <w:t>23</w:t>
            </w:r>
          </w:p>
        </w:tc>
        <w:tc>
          <w:tcPr>
            <w:tcW w:type="dxa" w:w="2769"/>
          </w:tcPr>
          <w:p/>
        </w:tc>
        <w:tc>
          <w:tcPr>
            <w:tcW w:type="dxa" w:w="2769"/>
          </w:tcPr>
          <w:p>
            <w:pPr>
              <w:pStyle w:val="null3"/>
            </w:pPr>
            <w:r>
              <w:rPr>
                <w:rFonts w:ascii="仿宋_GB2312" w:hAnsi="仿宋_GB2312" w:cs="仿宋_GB2312" w:eastAsia="仿宋_GB2312"/>
              </w:rPr>
              <w:t>9.真空系统：</w:t>
            </w:r>
          </w:p>
          <w:p>
            <w:pPr>
              <w:pStyle w:val="null3"/>
            </w:pPr>
            <w:r>
              <w:rPr>
                <w:rFonts w:ascii="仿宋_GB2312" w:hAnsi="仿宋_GB2312" w:cs="仿宋_GB2312" w:eastAsia="仿宋_GB2312"/>
              </w:rPr>
              <w:t>9.1真空系统由高性能机械泵+分子泵组成，真空泵抽速≥80 m3/h；</w:t>
            </w:r>
          </w:p>
        </w:tc>
      </w:tr>
      <w:tr>
        <w:tc>
          <w:tcPr>
            <w:tcW w:type="dxa" w:w="2769"/>
          </w:tcPr>
          <w:p>
            <w:pPr>
              <w:pStyle w:val="null3"/>
            </w:pPr>
            <w:r>
              <w:rPr>
                <w:rFonts w:ascii="仿宋_GB2312" w:hAnsi="仿宋_GB2312" w:cs="仿宋_GB2312" w:eastAsia="仿宋_GB2312"/>
              </w:rPr>
              <w:t>24</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▲9.2配备分子泵后本底真空≤3.75*10</w:t>
            </w:r>
            <w:r>
              <w:rPr>
                <w:rFonts w:ascii="仿宋_GB2312" w:hAnsi="仿宋_GB2312" w:cs="仿宋_GB2312" w:eastAsia="仿宋_GB2312"/>
                <w:sz w:val="24"/>
                <w:vertAlign w:val="superscript"/>
              </w:rPr>
              <w:t>-6</w:t>
            </w:r>
            <w:r>
              <w:rPr>
                <w:rFonts w:ascii="仿宋_GB2312" w:hAnsi="仿宋_GB2312" w:cs="仿宋_GB2312" w:eastAsia="仿宋_GB2312"/>
                <w:sz w:val="24"/>
              </w:rPr>
              <w:t xml:space="preserve"> </w:t>
            </w:r>
            <w:r>
              <w:rPr>
                <w:rFonts w:ascii="仿宋_GB2312" w:hAnsi="仿宋_GB2312" w:cs="仿宋_GB2312" w:eastAsia="仿宋_GB2312"/>
                <w:sz w:val="24"/>
              </w:rPr>
              <w:t>Torr</w:t>
            </w:r>
          </w:p>
        </w:tc>
      </w:tr>
      <w:tr>
        <w:tc>
          <w:tcPr>
            <w:tcW w:type="dxa" w:w="2769"/>
          </w:tcPr>
          <w:p>
            <w:pPr>
              <w:pStyle w:val="null3"/>
            </w:pPr>
            <w:r>
              <w:rPr>
                <w:rFonts w:ascii="仿宋_GB2312" w:hAnsi="仿宋_GB2312" w:cs="仿宋_GB2312" w:eastAsia="仿宋_GB2312"/>
              </w:rPr>
              <w:t>25</w:t>
            </w:r>
          </w:p>
        </w:tc>
        <w:tc>
          <w:tcPr>
            <w:tcW w:type="dxa" w:w="2769"/>
          </w:tcPr>
          <w:p/>
        </w:tc>
        <w:tc>
          <w:tcPr>
            <w:tcW w:type="dxa" w:w="2769"/>
          </w:tcPr>
          <w:p>
            <w:pPr>
              <w:pStyle w:val="null3"/>
            </w:pPr>
            <w:r>
              <w:rPr>
                <w:rFonts w:ascii="仿宋_GB2312" w:hAnsi="仿宋_GB2312" w:cs="仿宋_GB2312" w:eastAsia="仿宋_GB2312"/>
              </w:rPr>
              <w:t>9.3真空测量：配备压力传感器，检测范围不小于4*10-4-750Torr;</w:t>
            </w:r>
          </w:p>
        </w:tc>
      </w:tr>
      <w:tr>
        <w:tc>
          <w:tcPr>
            <w:tcW w:type="dxa" w:w="2769"/>
          </w:tcPr>
          <w:p>
            <w:pPr>
              <w:pStyle w:val="null3"/>
            </w:pPr>
            <w:r>
              <w:rPr>
                <w:rFonts w:ascii="仿宋_GB2312" w:hAnsi="仿宋_GB2312" w:cs="仿宋_GB2312" w:eastAsia="仿宋_GB2312"/>
              </w:rPr>
              <w:t>26</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▲9.4真空抽气管道可以烘烤温度≥150℃，且真空泵前级需配置热阱，温度≥300</w:t>
            </w:r>
            <w:r>
              <w:rPr>
                <w:rFonts w:ascii="仿宋_GB2312" w:hAnsi="仿宋_GB2312" w:cs="仿宋_GB2312" w:eastAsia="仿宋_GB2312"/>
                <w:sz w:val="24"/>
                <w:vertAlign w:val="superscript"/>
              </w:rPr>
              <w:t xml:space="preserve"> </w:t>
            </w:r>
            <w:r>
              <w:rPr>
                <w:rFonts w:ascii="仿宋_GB2312" w:hAnsi="仿宋_GB2312" w:cs="仿宋_GB2312" w:eastAsia="仿宋_GB2312"/>
                <w:sz w:val="24"/>
                <w:vertAlign w:val="superscript"/>
              </w:rPr>
              <w:t>o</w:t>
            </w:r>
            <w:r>
              <w:rPr>
                <w:rFonts w:ascii="仿宋_GB2312" w:hAnsi="仿宋_GB2312" w:cs="仿宋_GB2312" w:eastAsia="仿宋_GB2312"/>
                <w:sz w:val="24"/>
              </w:rPr>
              <w:t>C，精度≤±1℃；</w:t>
            </w:r>
          </w:p>
        </w:tc>
      </w:tr>
      <w:tr>
        <w:tc>
          <w:tcPr>
            <w:tcW w:type="dxa" w:w="2769"/>
          </w:tcPr>
          <w:p>
            <w:pPr>
              <w:pStyle w:val="null3"/>
            </w:pPr>
            <w:r>
              <w:rPr>
                <w:rFonts w:ascii="仿宋_GB2312" w:hAnsi="仿宋_GB2312" w:cs="仿宋_GB2312" w:eastAsia="仿宋_GB2312"/>
              </w:rPr>
              <w:t>27</w:t>
            </w:r>
          </w:p>
        </w:tc>
        <w:tc>
          <w:tcPr>
            <w:tcW w:type="dxa" w:w="2769"/>
          </w:tcPr>
          <w:p/>
        </w:tc>
        <w:tc>
          <w:tcPr>
            <w:tcW w:type="dxa" w:w="2769"/>
          </w:tcPr>
          <w:p>
            <w:pPr>
              <w:pStyle w:val="null3"/>
            </w:pPr>
            <w:r>
              <w:rPr>
                <w:rFonts w:ascii="仿宋_GB2312" w:hAnsi="仿宋_GB2312" w:cs="仿宋_GB2312" w:eastAsia="仿宋_GB2312"/>
              </w:rPr>
              <w:t>10.控制系统</w:t>
            </w:r>
          </w:p>
          <w:p>
            <w:pPr>
              <w:pStyle w:val="null3"/>
            </w:pPr>
            <w:r>
              <w:rPr>
                <w:rFonts w:ascii="仿宋_GB2312" w:hAnsi="仿宋_GB2312" w:cs="仿宋_GB2312" w:eastAsia="仿宋_GB2312"/>
              </w:rPr>
              <w:t>10.1采用PLC+工业触摸屏方式；触摸屏尺寸≥15.6英寸；</w:t>
            </w:r>
          </w:p>
        </w:tc>
      </w:tr>
      <w:tr>
        <w:tc>
          <w:tcPr>
            <w:tcW w:type="dxa" w:w="2769"/>
          </w:tcPr>
          <w:p>
            <w:pPr>
              <w:pStyle w:val="null3"/>
            </w:pPr>
            <w:r>
              <w:rPr>
                <w:rFonts w:ascii="仿宋_GB2312" w:hAnsi="仿宋_GB2312" w:cs="仿宋_GB2312" w:eastAsia="仿宋_GB2312"/>
              </w:rPr>
              <w:t>28</w:t>
            </w:r>
          </w:p>
        </w:tc>
        <w:tc>
          <w:tcPr>
            <w:tcW w:type="dxa" w:w="2769"/>
          </w:tcPr>
          <w:p/>
        </w:tc>
        <w:tc>
          <w:tcPr>
            <w:tcW w:type="dxa" w:w="2769"/>
          </w:tcPr>
          <w:p>
            <w:pPr>
              <w:pStyle w:val="null3"/>
            </w:pPr>
            <w:r>
              <w:rPr>
                <w:rFonts w:ascii="仿宋_GB2312" w:hAnsi="仿宋_GB2312" w:cs="仿宋_GB2312" w:eastAsia="仿宋_GB2312"/>
              </w:rPr>
              <w:t>10.2等离子体系统与控制界面集成；系统可实现配方编辑、保存、读取等功能；ALD阀门及管路具备自动排空和清洗功能；</w:t>
            </w:r>
          </w:p>
        </w:tc>
      </w:tr>
      <w:tr>
        <w:tc>
          <w:tcPr>
            <w:tcW w:type="dxa" w:w="2769"/>
          </w:tcPr>
          <w:p>
            <w:pPr>
              <w:pStyle w:val="null3"/>
            </w:pPr>
            <w:r>
              <w:rPr>
                <w:rFonts w:ascii="仿宋_GB2312" w:hAnsi="仿宋_GB2312" w:cs="仿宋_GB2312" w:eastAsia="仿宋_GB2312"/>
              </w:rPr>
              <w:t>29</w:t>
            </w:r>
          </w:p>
        </w:tc>
        <w:tc>
          <w:tcPr>
            <w:tcW w:type="dxa" w:w="2769"/>
          </w:tcPr>
          <w:p/>
        </w:tc>
        <w:tc>
          <w:tcPr>
            <w:tcW w:type="dxa" w:w="2769"/>
          </w:tcPr>
          <w:p>
            <w:pPr>
              <w:pStyle w:val="null3"/>
            </w:pPr>
            <w:r>
              <w:rPr>
                <w:rFonts w:ascii="仿宋_GB2312" w:hAnsi="仿宋_GB2312" w:cs="仿宋_GB2312" w:eastAsia="仿宋_GB2312"/>
              </w:rPr>
              <w:t>10.3系统设有管理员界面，可进行温度PID参数自整定、前驱体标签修改等；</w:t>
            </w:r>
          </w:p>
        </w:tc>
      </w:tr>
      <w:tr>
        <w:tc>
          <w:tcPr>
            <w:tcW w:type="dxa" w:w="2769"/>
          </w:tcPr>
          <w:p>
            <w:pPr>
              <w:pStyle w:val="null3"/>
            </w:pPr>
            <w:r>
              <w:rPr>
                <w:rFonts w:ascii="仿宋_GB2312" w:hAnsi="仿宋_GB2312" w:cs="仿宋_GB2312" w:eastAsia="仿宋_GB2312"/>
              </w:rPr>
              <w:t>30</w:t>
            </w:r>
          </w:p>
        </w:tc>
        <w:tc>
          <w:tcPr>
            <w:tcW w:type="dxa" w:w="2769"/>
          </w:tcPr>
          <w:p/>
        </w:tc>
        <w:tc>
          <w:tcPr>
            <w:tcW w:type="dxa" w:w="2769"/>
          </w:tcPr>
          <w:p>
            <w:pPr>
              <w:pStyle w:val="null3"/>
            </w:pPr>
            <w:r>
              <w:rPr>
                <w:rFonts w:ascii="仿宋_GB2312" w:hAnsi="仿宋_GB2312" w:cs="仿宋_GB2312" w:eastAsia="仿宋_GB2312"/>
              </w:rPr>
              <w:t>10.4系统可实时监测动力气体压力值、系统压力值、加热状态、阀门开关状态和镀膜进度，当发生异常时触发报警并做出响应，报警日志可进行回看；</w:t>
            </w:r>
          </w:p>
        </w:tc>
      </w:tr>
      <w:tr>
        <w:tc>
          <w:tcPr>
            <w:tcW w:type="dxa" w:w="2769"/>
          </w:tcPr>
          <w:p>
            <w:pPr>
              <w:pStyle w:val="null3"/>
            </w:pPr>
            <w:r>
              <w:rPr>
                <w:rFonts w:ascii="仿宋_GB2312" w:hAnsi="仿宋_GB2312" w:cs="仿宋_GB2312" w:eastAsia="仿宋_GB2312"/>
              </w:rPr>
              <w:t>31</w:t>
            </w:r>
          </w:p>
        </w:tc>
        <w:tc>
          <w:tcPr>
            <w:tcW w:type="dxa" w:w="2769"/>
          </w:tcPr>
          <w:p>
            <w:pPr>
              <w:pStyle w:val="null3"/>
            </w:pPr>
            <w:r>
              <w:rPr>
                <w:rFonts w:ascii="仿宋_GB2312" w:hAnsi="仿宋_GB2312" w:cs="仿宋_GB2312" w:eastAsia="仿宋_GB2312"/>
              </w:rPr>
              <w:t>▲</w:t>
            </w:r>
          </w:p>
        </w:tc>
        <w:tc>
          <w:tcPr>
            <w:tcW w:type="dxa" w:w="2769"/>
          </w:tcPr>
          <w:p>
            <w:pPr>
              <w:pStyle w:val="null3"/>
              <w:jc w:val="both"/>
            </w:pPr>
            <w:r>
              <w:rPr>
                <w:rFonts w:ascii="仿宋_GB2312" w:hAnsi="仿宋_GB2312" w:cs="仿宋_GB2312" w:eastAsia="仿宋_GB2312"/>
                <w:sz w:val="24"/>
                <w:b/>
              </w:rPr>
              <w:t>11.等离子体源系统</w:t>
            </w:r>
          </w:p>
          <w:p>
            <w:pPr>
              <w:pStyle w:val="null3"/>
            </w:pPr>
            <w:r>
              <w:rPr>
                <w:rFonts w:ascii="仿宋_GB2312" w:hAnsi="仿宋_GB2312" w:cs="仿宋_GB2312" w:eastAsia="仿宋_GB2312"/>
                <w:sz w:val="24"/>
              </w:rPr>
              <w:t>▲11.</w:t>
            </w:r>
            <w:r>
              <w:rPr>
                <w:rFonts w:ascii="仿宋_GB2312" w:hAnsi="仿宋_GB2312" w:cs="仿宋_GB2312" w:eastAsia="仿宋_GB2312"/>
                <w:sz w:val="24"/>
                <w:b/>
              </w:rPr>
              <w:t>1</w:t>
            </w:r>
            <w:r>
              <w:rPr>
                <w:rFonts w:ascii="仿宋_GB2312" w:hAnsi="仿宋_GB2312" w:cs="仿宋_GB2312" w:eastAsia="仿宋_GB2312"/>
                <w:sz w:val="24"/>
              </w:rPr>
              <w:t>电感耦合远程等离子体</w:t>
            </w:r>
            <w:r>
              <w:rPr>
                <w:rFonts w:ascii="仿宋_GB2312" w:hAnsi="仿宋_GB2312" w:cs="仿宋_GB2312" w:eastAsia="仿宋_GB2312"/>
                <w:sz w:val="24"/>
              </w:rPr>
              <w:t>(ICP)发生器，射频功率≥1000W，</w:t>
            </w:r>
            <w:r>
              <w:rPr>
                <w:rFonts w:ascii="仿宋_GB2312" w:hAnsi="仿宋_GB2312" w:cs="仿宋_GB2312" w:eastAsia="仿宋_GB2312"/>
                <w:sz w:val="24"/>
              </w:rPr>
              <w:t>等离子体发生腔独立于反应腔室，与反应腔以标准</w:t>
            </w:r>
            <w:r>
              <w:rPr>
                <w:rFonts w:ascii="仿宋_GB2312" w:hAnsi="仿宋_GB2312" w:cs="仿宋_GB2312" w:eastAsia="仿宋_GB2312"/>
                <w:sz w:val="24"/>
              </w:rPr>
              <w:t>CF100法兰接口连接；等离子源配备喷淋式匀气装置，与样品台距离≥300 mm;</w:t>
            </w:r>
          </w:p>
        </w:tc>
      </w:tr>
      <w:tr>
        <w:tc>
          <w:tcPr>
            <w:tcW w:type="dxa" w:w="2769"/>
          </w:tcPr>
          <w:p>
            <w:pPr>
              <w:pStyle w:val="null3"/>
            </w:pPr>
            <w:r>
              <w:rPr>
                <w:rFonts w:ascii="仿宋_GB2312" w:hAnsi="仿宋_GB2312" w:cs="仿宋_GB2312" w:eastAsia="仿宋_GB2312"/>
              </w:rPr>
              <w:t>32</w:t>
            </w:r>
          </w:p>
        </w:tc>
        <w:tc>
          <w:tcPr>
            <w:tcW w:type="dxa" w:w="2769"/>
          </w:tcPr>
          <w:p/>
        </w:tc>
        <w:tc>
          <w:tcPr>
            <w:tcW w:type="dxa" w:w="2769"/>
          </w:tcPr>
          <w:p>
            <w:pPr>
              <w:pStyle w:val="null3"/>
            </w:pPr>
            <w:r>
              <w:rPr>
                <w:rFonts w:ascii="仿宋_GB2312" w:hAnsi="仿宋_GB2312" w:cs="仿宋_GB2312" w:eastAsia="仿宋_GB2312"/>
              </w:rPr>
              <w:t>11.2独立的等离子体工艺气体系统，等离子体工艺气体≥2路，每路均包含MFC控制，可选O2、N2、NH3或H2 ；</w:t>
            </w:r>
          </w:p>
        </w:tc>
      </w:tr>
      <w:tr>
        <w:tc>
          <w:tcPr>
            <w:tcW w:type="dxa" w:w="2769"/>
          </w:tcPr>
          <w:p>
            <w:pPr>
              <w:pStyle w:val="null3"/>
            </w:pPr>
            <w:r>
              <w:rPr>
                <w:rFonts w:ascii="仿宋_GB2312" w:hAnsi="仿宋_GB2312" w:cs="仿宋_GB2312" w:eastAsia="仿宋_GB2312"/>
              </w:rPr>
              <w:t>33</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24"/>
              </w:rPr>
              <w:t>▲11.3采用13.56 MHz射频电源，功率10-1000W可调，配备自动射频匹配器，匹配时间≤5秒。</w:t>
            </w:r>
          </w:p>
        </w:tc>
      </w:tr>
      <w:tr>
        <w:tc>
          <w:tcPr>
            <w:tcW w:type="dxa" w:w="2769"/>
          </w:tcPr>
          <w:p>
            <w:pPr>
              <w:pStyle w:val="null3"/>
            </w:pPr>
            <w:r>
              <w:rPr>
                <w:rFonts w:ascii="仿宋_GB2312" w:hAnsi="仿宋_GB2312" w:cs="仿宋_GB2312" w:eastAsia="仿宋_GB2312"/>
              </w:rPr>
              <w:t>34</w:t>
            </w:r>
          </w:p>
        </w:tc>
        <w:tc>
          <w:tcPr>
            <w:tcW w:type="dxa" w:w="2769"/>
          </w:tcPr>
          <w:p/>
        </w:tc>
        <w:tc>
          <w:tcPr>
            <w:tcW w:type="dxa" w:w="2769"/>
          </w:tcPr>
          <w:p>
            <w:pPr>
              <w:pStyle w:val="null3"/>
            </w:pPr>
            <w:r>
              <w:rPr>
                <w:rFonts w:ascii="仿宋_GB2312" w:hAnsi="仿宋_GB2312" w:cs="仿宋_GB2312" w:eastAsia="仿宋_GB2312"/>
              </w:rPr>
              <w:t>12.其他</w:t>
            </w:r>
          </w:p>
          <w:p>
            <w:pPr>
              <w:pStyle w:val="null3"/>
            </w:pPr>
            <w:r>
              <w:rPr>
                <w:rFonts w:ascii="仿宋_GB2312" w:hAnsi="仿宋_GB2312" w:cs="仿宋_GB2312" w:eastAsia="仿宋_GB2312"/>
              </w:rPr>
              <w:t>提供备品备件一套、操作说明书1套；提供反应用铝源和镓源各一套；设备生产过程符合ISO9001质量管理体系认证要求。</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合同签订，收到预付款后90个日历日完成供货、安装、调试并交付使用</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西安理工大学金花校区（以采购人指定位置为准）</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合同签订后5个工作日内</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设备运抵甲方指定地点并经甲方初步查验无误后</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设备安装调试完成，经甲方验收合格并签署《验收合格报告》后，乙方开具全额合法有效的增值税专用发票</w:t>
      </w:r>
      <w:r>
        <w:rPr>
          <w:rFonts w:ascii="仿宋_GB2312" w:hAnsi="仿宋_GB2312" w:cs="仿宋_GB2312" w:eastAsia="仿宋_GB2312"/>
        </w:rPr>
        <w:t xml:space="preserve"> ，达到付款条件起 </w:t>
      </w:r>
      <w:r>
        <w:rPr>
          <w:rFonts w:ascii="仿宋_GB2312" w:hAnsi="仿宋_GB2312" w:cs="仿宋_GB2312" w:eastAsia="仿宋_GB2312"/>
        </w:rPr>
        <w:t>9</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招标文件、投标文件及技术澄清文件（函））； （2）验收流程 ①到货初检（采购人、中标人共同参与）： 检查外包装完整性、运输损伤情况； 核对货物型号、数量、规格是否与合同一致； 检查随机文件（合格证、说明书、保修卡等）。 ②安装调试验收 提供并且安排工程技术人员免费进行安装调试及培训验收。 ③性能测试验收（关键指标实测） 厂家须提供氧化铝薄膜的标准工艺配方，前驱体为三甲基铝+水，按以下内容进行现场制备与验收： 薄膜均匀性：在8英寸晶圆上沉积300cycle氧化铝，以晶圆上5个均匀分散点（上、下、左、右、中心5点，边缘5mm除外）进行椭偏仪测试膜厚， 8英寸晶圆上薄膜不均匀性≤2%。6英寸晶圆上薄膜不均匀性≤1%。 ④最终验收 签署《验收报告》，产品保修期自验收合格之日起算，由中标人提供产品保修文件。</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包装标准：中标人提供产品及相关快递服务的包装要求，按照《商品包装政府采购需求标准（试行）》、《快递包装政府采购需求标准（试行）》执行，确保防潮、防震、防锈蚀； 运输方式：中标人自主选择，须购买全程运输保险，保证按期交付。不得断货，因断货造成的损失由中标人负责赔偿； 运输责任：运输由中标人负责，运杂费已包含在合同总价内。包括从货物供应地点运送至交付地点所含的运输费、保险费等； 存放与保管：货物到达采购人指定地点后，中标人应按有关技术规程和采购人要求进行存放和保管。</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保期自验收合格之日起不低于1年，软件提供5年免费升级。质保期自甲方在货物质量验收合格之日起计算。质保期内出现任何非人为故意损坏的质量问题，由乙方包换或包退，并承担调换或退货的全部费用。已购软模块件终身免费升级。 产品质保期内，修理、更换、退货要求 （1）质量标准：中标人的产品质量应当符合国家行业规定的标准，并无任何瑕疵；中标人应按配置清单要求提供原装产品，除人为因素损坏外，对该产品实行三包（即包修、包退、包换），免费提供所有设备正常使用所需的备品备件，且中标人维修所更换的配件和备品备件均为原设备厂家生产； （2）不符约定处理：如交付品种、型号、规格不符合同约定的，由中标人负责退换，由此产生的一切费用及给采购人造成的相关损失由中标人全部承担并赔偿相应损失； （3）不能修理或调换：如不能修理或者不能调换的，按不能交货处理，因此给采购人造成的所有经济损失中标人应予全额赔偿； （4）质保服务：保修期内由中标人免费质保，采购人报修后三日内投标人必须响应，否则将依据有关法律、法规进行追偿。</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中标供应商未按合同约定的交货日期交货的，每逾期一日，向采购人支付逾期交付货物价款的0.1%的违约金，但不超过合同总金额的10%。中标供应商支付逾期交货违约金并不免除其交货的责任。 如中标供应商在政府采购合同规定的交货日期后10天内仍未能交货，则视为中标供应商不能交货，采购人有权解除政府采购合同，中标供应商除退还已收取的货款外，还应向采购人偿付政府采购合同总金额10%的违约金。 中标供应商所交付货物及伴随的工程或服务不符合其投标承诺，存在偷工减料、以次充好情形的，采购人要求更换一次后仍不符合约定的，采购人有权解除政府采购合同，没收履约保证金，并将有关情况上报政府采购监管部门处理。</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一、付款方式（因系统编制受限，招标文件中关于付款方式的描述有不一致的地方以此处为准） 合同签订后5个工作日内，甲方向乙方支付合同总价的40%，设备运抵甲方指定地点并经甲方初步查验无误后7个工作日内，甲方向乙方预付合同总价的30%；设备安装调试完成，经甲方验收合格并签署《验收合格报告》后，乙方开具全额合法有效的增值税专用发票，甲方7个工作日内向乙方支付合同总价的30%。 二、采购标的的安装调试及配套工程、质量保证、售后服务等要求。 （1）安装调试要求 提供并且安排工程技术人员免费进行安装调试。 调试周期：接到甲方通知后7天内进行安装调试； 人员培训：提供相关操作人员培训资料。 （2）配套工程 中标人在发货前1个月提供设备安装条件要求，安装时中标人自备安装工具。实验室条件甲方根据安装条件要求自行完成。 （3）质量保证 合同标的物自项目验收合格之日起质保期一年，在质保期内出现的质量问题，供方负责免费维修、维护或更换；软件终身免费升级。 （4）售后服务 响应时限：提供24小时电话服务，4小时内响应；48小时内到达用户现场。 定期维护：每季度提供预防性维护服务。 （5）专用工具及备件 专用工具：无； 备品备件：1套：带爪垫片（1/4）10个、密封圈（12*2）3个、ALD阀门加热棒（H-ALD）1个、公制精抛光双开口扳手（19mm*21mm）1个、活动扳手（8寸）1个、开口扳手（OWSF27-30）1个、耐高温手套（耐高温手套）1双、内六角扳（DL230109）1套。 三、验收条款： 中标供应商货物经过双方检验认可后，签署验收报告，产品保修期自验收合格之日起算，由中标供应商提供产品保修文件。 当满足以下条件时，采购人才向中标供应商签发货物验收报告： （1）中标供应商已按照合同规定提供了全部产品及完整的技术资料。 （2）货物符合招标文件和投标文件技术规格要求，性能满足要求。 （3）货物具备产品合格证。 四、根据《国务院办公厅关于在政府采购中实施本国产品标准及相关政策的通知 》（国办发〔2025〕34号），政府采购活动中既有本国产品又有非本国产品参与竞争的，依法对本国产品给予价格评审优惠，对本国产品的报价给予20%的价格扣除，用扣除后的价格参与评审。当采购项目或者采购包中含有多种产品，投标人为该采购项目或者采购包提供的符合本国产品标准的产品成本之和占该投标人提供的全部产品成本之和的比例达到80%以上时，依法对该投标人提供的全部产品给予价格评审优惠，即对该投标人提供的全部产品的总报价给予20%的价格扣除，用扣除后的价格参与评审。本项目不允许进口产品进行投标，全部为国产产品，所以不进行价格折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供应商为具有独立承担民事责任能力的法人、其他组织或自然人</w:t>
            </w:r>
          </w:p>
        </w:tc>
        <w:tc>
          <w:tcPr>
            <w:tcW w:type="dxa" w:w="3322"/>
          </w:tcPr>
          <w:p>
            <w:pPr>
              <w:pStyle w:val="null3"/>
            </w:pPr>
            <w:r>
              <w:rPr>
                <w:rFonts w:ascii="仿宋_GB2312" w:hAnsi="仿宋_GB2312" w:cs="仿宋_GB2312" w:eastAsia="仿宋_GB2312"/>
              </w:rPr>
              <w:t>企业法人应提供合法有效的标识有统一社会信用代码的营业执照；事业法人应提供事业单位法人证书；其他组织应提供合法登记证明文件；自然人应提供身份证。</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法定代表人/负责人直接参加的，须递交《法定代表人/负责人身份证明》；法定代表人/负责人授权代表参加的，须递交《法定代表人/负责人授权书》</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法人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其他组织和自然人提供银行出具的资信证明或财务报表。</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纳税证明</w:t>
            </w:r>
          </w:p>
        </w:tc>
        <w:tc>
          <w:tcPr>
            <w:tcW w:type="dxa" w:w="3322"/>
          </w:tcPr>
          <w:p>
            <w:pPr>
              <w:pStyle w:val="null3"/>
            </w:pPr>
            <w:r>
              <w:rPr>
                <w:rFonts w:ascii="仿宋_GB2312" w:hAnsi="仿宋_GB2312" w:cs="仿宋_GB2312" w:eastAsia="仿宋_GB2312"/>
              </w:rPr>
              <w:t>提供递交投标文件截止时间前一年内已缴存任意一个月的依法缴纳税收的相关凭据，凭据应有税务机关或代收机关的公章或业务专用章。依法免税或无须缴纳税收的供应商，应提供相应证明文件。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提供递交投标文件截止时间前一年内任意一个月的社会保障资金缴存单据或社保机构开具的社会保险参保缴费情况证明。依法不需要缴纳社会保障资金的供应商应提供相关文件证明。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参加本次政府采购活动前三年内，在经营活动中没有重大违法记录，提供《无重大违法记录声明》。</w:t>
            </w:r>
          </w:p>
        </w:tc>
        <w:tc>
          <w:tcPr>
            <w:tcW w:type="dxa" w:w="1661"/>
          </w:tcPr>
          <w:p>
            <w:pPr>
              <w:pStyle w:val="null3"/>
            </w:pPr>
            <w:r>
              <w:rPr>
                <w:rFonts w:ascii="仿宋_GB2312" w:hAnsi="仿宋_GB2312" w:cs="仿宋_GB2312" w:eastAsia="仿宋_GB2312"/>
              </w:rPr>
              <w:t>投标人资格</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履约能力声明</w:t>
            </w:r>
          </w:p>
        </w:tc>
        <w:tc>
          <w:tcPr>
            <w:tcW w:type="dxa" w:w="3322"/>
          </w:tcPr>
          <w:p>
            <w:pPr>
              <w:pStyle w:val="null3"/>
            </w:pPr>
            <w:r>
              <w:rPr>
                <w:rFonts w:ascii="仿宋_GB2312" w:hAnsi="仿宋_GB2312" w:cs="仿宋_GB2312" w:eastAsia="仿宋_GB2312"/>
              </w:rPr>
              <w:t>提供《具有履行合同所必需的设备和专业技术能力的承诺书》。</w:t>
            </w:r>
          </w:p>
        </w:tc>
        <w:tc>
          <w:tcPr>
            <w:tcW w:type="dxa" w:w="1661"/>
          </w:tcPr>
          <w:p>
            <w:pPr>
              <w:pStyle w:val="null3"/>
            </w:pPr>
            <w:r>
              <w:rPr>
                <w:rFonts w:ascii="仿宋_GB2312" w:hAnsi="仿宋_GB2312" w:cs="仿宋_GB2312" w:eastAsia="仿宋_GB2312"/>
              </w:rPr>
              <w:t>投标人资格</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 根据《关于推动解决政府采购异常低价问题的通知》（财库〔2026〕2号）政府采购评审中出现下列情形之一的，评审委员会应当启动异常低价投标（响应）审查程序：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启动异常低价投标（响应）审查后，属于前述第①项至第④项情形的,供应商在评审现场30分钟内对投标（响应）价格作出解释，提供项目具体成本测算等与报价合理性相关的书面说明及必要的证明材料，包括但不限于原材料成本、人工成本、制造费用等。属于第③项情形，供应商已随投标（响应）文件一并提交相关书面说明及必要的证明材料的，在评审现场可不再重复提交。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2. 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签章符合招标文件要求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商务响应偏离表 开标一览表 投标方案 技术响应偏离表 中小企业声明函 企业关联关系声明函 投标保证金缴纳凭证 投标函 其他材料 投标人资格 残疾人福利性单位声明函 标的清单 投标人业绩 投标文件封面 投标人基本信息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商务要求响应</w:t>
            </w:r>
          </w:p>
        </w:tc>
        <w:tc>
          <w:tcPr>
            <w:tcW w:type="dxa" w:w="3322"/>
          </w:tcPr>
          <w:p>
            <w:pPr>
              <w:pStyle w:val="null3"/>
            </w:pPr>
            <w:r>
              <w:rPr>
                <w:rFonts w:ascii="仿宋_GB2312" w:hAnsi="仿宋_GB2312" w:cs="仿宋_GB2312" w:eastAsia="仿宋_GB2312"/>
              </w:rPr>
              <w:t>投标人必须满足招标文件的商务要求</w:t>
            </w:r>
          </w:p>
        </w:tc>
        <w:tc>
          <w:tcPr>
            <w:tcW w:type="dxa" w:w="1661"/>
          </w:tcPr>
          <w:p>
            <w:pPr>
              <w:pStyle w:val="null3"/>
            </w:pPr>
            <w:r>
              <w:rPr>
                <w:rFonts w:ascii="仿宋_GB2312" w:hAnsi="仿宋_GB2312" w:cs="仿宋_GB2312" w:eastAsia="仿宋_GB2312"/>
              </w:rPr>
              <w:t>商务响应偏离表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投标报价不得超过采购预算或最高限价</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技术要求响应</w:t>
            </w:r>
          </w:p>
        </w:tc>
        <w:tc>
          <w:tcPr>
            <w:tcW w:type="dxa" w:w="3322"/>
          </w:tcPr>
          <w:p>
            <w:pPr>
              <w:pStyle w:val="null3"/>
            </w:pPr>
            <w:r>
              <w:rPr>
                <w:rFonts w:ascii="仿宋_GB2312" w:hAnsi="仿宋_GB2312" w:cs="仿宋_GB2312" w:eastAsia="仿宋_GB2312"/>
              </w:rPr>
              <w:t>投标人必须满足招标文件中带“★”标识的技术参数</w:t>
            </w:r>
          </w:p>
        </w:tc>
        <w:tc>
          <w:tcPr>
            <w:tcW w:type="dxa" w:w="1661"/>
          </w:tcPr>
          <w:p>
            <w:pPr>
              <w:pStyle w:val="null3"/>
            </w:pPr>
            <w:r>
              <w:rPr>
                <w:rFonts w:ascii="仿宋_GB2312" w:hAnsi="仿宋_GB2312" w:cs="仿宋_GB2312" w:eastAsia="仿宋_GB2312"/>
              </w:rPr>
              <w:t>技术响应偏离表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投标保证金符合第二章投标人须知前附表要求</w:t>
            </w:r>
          </w:p>
        </w:tc>
        <w:tc>
          <w:tcPr>
            <w:tcW w:type="dxa" w:w="1661"/>
          </w:tcPr>
          <w:p>
            <w:pPr>
              <w:pStyle w:val="null3"/>
            </w:pPr>
            <w:r>
              <w:rPr>
                <w:rFonts w:ascii="仿宋_GB2312" w:hAnsi="仿宋_GB2312" w:cs="仿宋_GB2312" w:eastAsia="仿宋_GB2312"/>
              </w:rPr>
              <w:t>投标保证金缴纳凭证</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技术参数评审</w:t>
            </w:r>
          </w:p>
        </w:tc>
        <w:tc>
          <w:tcPr>
            <w:tcW w:type="dxa" w:w="2492"/>
          </w:tcPr>
          <w:p>
            <w:pPr>
              <w:pStyle w:val="null3"/>
            </w:pPr>
            <w:r>
              <w:rPr>
                <w:rFonts w:ascii="仿宋_GB2312" w:hAnsi="仿宋_GB2312" w:cs="仿宋_GB2312" w:eastAsia="仿宋_GB2312"/>
              </w:rPr>
              <w:t>投标产品的技术指标满足或高于招标文件要求的，得满分30分。 1、带“★”标识（共2项）的参数需求为实质性要求，必须响应并满足参数需求。 2、带“▲”号技术指标满分14分（共7项），有一项不满足扣2分； 3、无标识技术参数满分16分（共26项），每有一项负偏离扣0.6分。 注：1.对标“▲”和“★”号技术参数供应商必须提供相关技术参数佐证材料（不限于国家认可的检测机构出具的检测报告或制造商检验报告或产品彩页或官网功能截图等）予以证明其技术参数的响应性。未提供或评审委员会认定所提供材料无法有效证明的将视为不满足本参数要求。 2.对无标识技术参数投标人在投标文件中应尽可能多地提供技术支持资料予以证明其技术指标响应性，并在技术响应偏离表中标注对应页码及位置。</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技术响应偏离表</w:t>
            </w:r>
          </w:p>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一、评审内容 投标人针对本项目提供完整的项目实施方案。内容包含：①供货运输方案；②具有健全的产品安装、调试、试运行及验收方案；③团队人员配置计划；④应急预案。 二、评审标准 1、完整性：方案须全面，对评审内容中的各项要求有详细描述； 2、可实施性：切合本项目实际情况，实施步骤清晰、合理； 3、针对性：方案能够紧扣本项目所采购设备种类等实际情况，内容科学合理。 三、赋分依据（满分12分） ①供供货运输方案：每完全满足一个评审标准得3分，基本满足得1.5分，不满足得0分，满分3分； ②具有健全的产品安装、调试、试运行及验收方案：每完全满足一个评审标准得3分，基本满足得1.5分，不满足得0分，满分3分； ③团队人员配置计划：每完全满足一个评审标准得3分，基本满足得1.5分，不满足得0分，满分3分； ④应急预案：每完全满足一个评审标准得3分，基本满足得1.5分，不满足得0分，满分3分。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质量保证</w:t>
            </w:r>
          </w:p>
        </w:tc>
        <w:tc>
          <w:tcPr>
            <w:tcW w:type="dxa" w:w="2492"/>
          </w:tcPr>
          <w:p>
            <w:pPr>
              <w:pStyle w:val="null3"/>
            </w:pPr>
            <w:r>
              <w:rPr>
                <w:rFonts w:ascii="仿宋_GB2312" w:hAnsi="仿宋_GB2312" w:cs="仿宋_GB2312" w:eastAsia="仿宋_GB2312"/>
              </w:rPr>
              <w:t>一、评审内容 投标人根据项目实际需求，提供质量保证方案。内容包含：①产品性能、使用寿命及效果；②质量保证措施。 二、评审标准 1、完整性：方案须全面，对评审内容中的各项要求有详细描述； 2、可实施性：切合本项目实际情况，实施步骤清晰、合理； 3、针对性：方案能够紧扣本项目所采购设备种类等实际情况，内容科学合理。 三、赋分依据（满分6分） ①产品性能、使用寿命及效果：每完全满足一个评审标准得3分，基本满足得1.5分，不满足得0分，满分3分。 ②质量保证措施：每完全满足一个评审标准得3分，基本满足得1.5分，不满足得0分，满分3分。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设备选型方案</w:t>
            </w:r>
          </w:p>
        </w:tc>
        <w:tc>
          <w:tcPr>
            <w:tcW w:type="dxa" w:w="2492"/>
          </w:tcPr>
          <w:p>
            <w:pPr>
              <w:pStyle w:val="null3"/>
            </w:pPr>
            <w:r>
              <w:rPr>
                <w:rFonts w:ascii="仿宋_GB2312" w:hAnsi="仿宋_GB2312" w:cs="仿宋_GB2312" w:eastAsia="仿宋_GB2312"/>
              </w:rPr>
              <w:t>供应商针对本项目提供具体可行的设备选型方案，包括但不限于：①所投产品型号、功能、技术规格等详细信息描述；②根据所投产品品牌与配置清单，设备配置先进、选型科学合理，从配置完整性、性能稳定性、兼容性、行业使用广泛性等方面描述（投标人须提供证明材料，包括但不限于所投产品使用优势、市场销售情况等）。 设备选型方案思路清晰、科学合理、可行性强、完全满足采购人需求得6分； 设备选型方案思路较清晰、较科学合理、可行性较强、基本满足采购人需求得5分； 设备选型方案思路基本清晰、基本科学合理、可行性较强、基本满足采购人需求得4分； 设备选型方案不太合理完善、可行性不强、不能满足采购人需求得2分；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p>
            <w:pPr>
              <w:pStyle w:val="null3"/>
            </w:pPr>
            <w:r>
              <w:rPr>
                <w:rFonts w:ascii="仿宋_GB2312" w:hAnsi="仿宋_GB2312" w:cs="仿宋_GB2312" w:eastAsia="仿宋_GB2312"/>
              </w:rPr>
              <w:t>其他材料</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一、评审内容 投标人针对本项目提供完整的售后服务方案。内容包含：①售后服务范围；②响应时间及方式；③故障处理及补救措施；④定期回访及维护。 二、评审标准 1、完整性：方案须全面，对评审内容中的各项要求有详细描述； 2、可实施性：切合本项目实际情况，实施步骤清晰、合理； 3、针对性：方案能够紧扣项目实际情况，内容科学合理。 三、赋分依据（满分6分） ①售后服务范围：每完全满足一个评审标准得0.5分，基本满足得0.25分，不满足得0分，满分1.5分； ②响应时间及方式：每完全满足一个评审标准得0.5分，基本满足得0.25分，不满足得0分，满分1.5分； ③故障处理及补救措施：每完全满足一个评审标准得0.5分，基本满足得0.25分，不满足得0分，满分1.5分； ④定期回访及维护：每完全满足一个评审标准得0.5分，基本满足得0.25分，不满足得0分，满分1.5分。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提供投标人或制造商自2023年1月1日至投标文件递交截止时间前所投同类产品业绩(以合同签订时间为准)，需提供清晰有效的完整合同复印件，每提供一份得2分，最多得6分。 未提供得0分。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投标人业绩</w:t>
            </w:r>
          </w:p>
        </w:tc>
      </w:tr>
      <w:tr>
        <w:tc>
          <w:tcPr>
            <w:tcW w:type="dxa" w:w="831"/>
            <w:vMerge/>
          </w:tcPr>
          <w:p/>
        </w:tc>
        <w:tc>
          <w:tcPr>
            <w:tcW w:type="dxa" w:w="1661"/>
          </w:tcPr>
          <w:p>
            <w:pPr>
              <w:pStyle w:val="null3"/>
            </w:pPr>
            <w:r>
              <w:rPr>
                <w:rFonts w:ascii="仿宋_GB2312" w:hAnsi="仿宋_GB2312" w:cs="仿宋_GB2312" w:eastAsia="仿宋_GB2312"/>
              </w:rPr>
              <w:t>质保期延长</w:t>
            </w:r>
          </w:p>
        </w:tc>
        <w:tc>
          <w:tcPr>
            <w:tcW w:type="dxa" w:w="2492"/>
          </w:tcPr>
          <w:p>
            <w:pPr>
              <w:pStyle w:val="null3"/>
            </w:pPr>
            <w:r>
              <w:rPr>
                <w:rFonts w:ascii="仿宋_GB2312" w:hAnsi="仿宋_GB2312" w:cs="仿宋_GB2312" w:eastAsia="仿宋_GB2312"/>
              </w:rPr>
              <w:t>质保期满足招标文件要求（1年）的基础上，每增加一年得1分（产品验收合格后开始计算），最高得2分。提供承诺，无承诺不得分。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商务响应偏离表</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投标人针对本项目提供增值服务，经评标委员会认定的有利于本项目开展的，每提供一项承诺，得1分，满分2分，无承诺不得分。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价格分统一采用低价优先法计算，即满足招标文件要求且投标价格最低的投标报价为评标基准价，其价格分为满分。其他投标人的价格分统一按照下列公式计算：价格分=(评标基准价／投标报价)×30。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详见附件：技术响应偏离表</w:t>
      </w:r>
    </w:p>
    <w:p>
      <w:pPr>
        <w:pStyle w:val="null3"/>
        <w:ind w:firstLine="960"/>
      </w:pPr>
      <w:r>
        <w:rPr>
          <w:rFonts w:ascii="仿宋_GB2312" w:hAnsi="仿宋_GB2312" w:cs="仿宋_GB2312" w:eastAsia="仿宋_GB2312"/>
        </w:rPr>
        <w:t>详见附件：商务响应偏离表</w:t>
      </w:r>
    </w:p>
    <w:p>
      <w:pPr>
        <w:pStyle w:val="null3"/>
        <w:ind w:firstLine="960"/>
      </w:pPr>
      <w:r>
        <w:rPr>
          <w:rFonts w:ascii="仿宋_GB2312" w:hAnsi="仿宋_GB2312" w:cs="仿宋_GB2312" w:eastAsia="仿宋_GB2312"/>
        </w:rPr>
        <w:t>详见附件：投标方案</w:t>
      </w:r>
    </w:p>
    <w:p>
      <w:pPr>
        <w:pStyle w:val="null3"/>
        <w:ind w:firstLine="960"/>
      </w:pPr>
      <w:r>
        <w:rPr>
          <w:rFonts w:ascii="仿宋_GB2312" w:hAnsi="仿宋_GB2312" w:cs="仿宋_GB2312" w:eastAsia="仿宋_GB2312"/>
        </w:rPr>
        <w:t>详见附件：投标人业绩</w:t>
      </w:r>
    </w:p>
    <w:p>
      <w:pPr>
        <w:pStyle w:val="null3"/>
        <w:ind w:firstLine="960"/>
      </w:pPr>
      <w:r>
        <w:rPr>
          <w:rFonts w:ascii="仿宋_GB2312" w:hAnsi="仿宋_GB2312" w:cs="仿宋_GB2312" w:eastAsia="仿宋_GB2312"/>
        </w:rPr>
        <w:t>详见附件：投标人基本信息</w:t>
      </w:r>
    </w:p>
    <w:p>
      <w:pPr>
        <w:pStyle w:val="null3"/>
        <w:ind w:firstLine="960"/>
      </w:pPr>
      <w:r>
        <w:rPr>
          <w:rFonts w:ascii="仿宋_GB2312" w:hAnsi="仿宋_GB2312" w:cs="仿宋_GB2312" w:eastAsia="仿宋_GB2312"/>
        </w:rPr>
        <w:t>详见附件：企业关联关系声明函</w:t>
      </w:r>
    </w:p>
    <w:p>
      <w:pPr>
        <w:pStyle w:val="null3"/>
        <w:ind w:firstLine="960"/>
      </w:pPr>
      <w:r>
        <w:rPr>
          <w:rFonts w:ascii="仿宋_GB2312" w:hAnsi="仿宋_GB2312" w:cs="仿宋_GB2312" w:eastAsia="仿宋_GB2312"/>
        </w:rPr>
        <w:t>详见附件：投标保证金缴纳凭证</w:t>
      </w:r>
    </w:p>
    <w:p>
      <w:pPr>
        <w:pStyle w:val="null3"/>
        <w:ind w:firstLine="960"/>
      </w:pPr>
      <w:r>
        <w:rPr>
          <w:rFonts w:ascii="仿宋_GB2312" w:hAnsi="仿宋_GB2312" w:cs="仿宋_GB2312" w:eastAsia="仿宋_GB2312"/>
        </w:rPr>
        <w:t>详见附件：其他材料</w:t>
      </w:r>
    </w:p>
    <w:p>
      <w:pPr>
        <w:pStyle w:val="null3"/>
        <w:ind w:firstLine="960"/>
      </w:pPr>
      <w:r>
        <w:rPr>
          <w:rFonts w:ascii="仿宋_GB2312" w:hAnsi="仿宋_GB2312" w:cs="仿宋_GB2312" w:eastAsia="仿宋_GB2312"/>
        </w:rPr>
        <w:t>详见附件：投标人资格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详见附件：拟签订合同文本.docx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