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E66B6E">
      <w:pPr>
        <w:pStyle w:val="7"/>
        <w:outlineLvl w:val="2"/>
      </w:pPr>
      <w:r>
        <w:rPr>
          <w:rFonts w:hint="eastAsia" w:ascii="仿宋_GB2312" w:hAnsi="仿宋_GB2312" w:eastAsia="仿宋_GB2312" w:cs="仿宋_GB2312"/>
          <w:b/>
          <w:sz w:val="28"/>
          <w:lang w:val="en-US" w:eastAsia="zh-CN"/>
        </w:rPr>
        <w:t>1.</w:t>
      </w:r>
      <w:r>
        <w:rPr>
          <w:rFonts w:ascii="仿宋_GB2312" w:hAnsi="仿宋_GB2312" w:eastAsia="仿宋_GB2312" w:cs="仿宋_GB2312"/>
          <w:b/>
          <w:sz w:val="28"/>
        </w:rPr>
        <w:t>采购项目概况</w:t>
      </w:r>
    </w:p>
    <w:p w14:paraId="6F074505">
      <w:pPr>
        <w:pStyle w:val="7"/>
        <w:ind w:firstLine="400" w:firstLineChars="200"/>
        <w:outlineLvl w:val="2"/>
        <w:rPr>
          <w:rFonts w:hint="eastAsia" w:ascii="仿宋_GB2312" w:hAnsi="仿宋_GB2312" w:eastAsia="仿宋_GB2312" w:cs="仿宋_GB2312"/>
        </w:rPr>
      </w:pPr>
      <w:r>
        <w:rPr>
          <w:rFonts w:hint="eastAsia" w:ascii="仿宋_GB2312" w:hAnsi="仿宋_GB2312" w:eastAsia="仿宋_GB2312" w:cs="仿宋_GB2312"/>
        </w:rPr>
        <w:t>为保障陕西省交通运行监测中心信息系统安全稳定运行，按照国家数据安全及等级保护相关要求，结合系统业务实际情况及安全现状，依据国家相关信息安全政策及技术标准，对中心信息系统开展数据安全风险评估及等级保护测评工作。</w:t>
      </w:r>
    </w:p>
    <w:p w14:paraId="13D66E1C">
      <w:pPr>
        <w:pStyle w:val="7"/>
        <w:outlineLvl w:val="2"/>
      </w:pPr>
      <w:r>
        <w:rPr>
          <w:rFonts w:hint="eastAsia" w:ascii="仿宋_GB2312" w:hAnsi="仿宋_GB2312" w:eastAsia="仿宋_GB2312" w:cs="仿宋_GB2312"/>
          <w:b/>
          <w:sz w:val="28"/>
          <w:lang w:val="en-US" w:eastAsia="zh-CN"/>
        </w:rPr>
        <w:t>2.</w:t>
      </w:r>
      <w:r>
        <w:rPr>
          <w:rFonts w:ascii="仿宋_GB2312" w:hAnsi="仿宋_GB2312" w:eastAsia="仿宋_GB2312" w:cs="仿宋_GB2312"/>
          <w:b/>
          <w:sz w:val="28"/>
        </w:rPr>
        <w:t>服务内容及服务要求</w:t>
      </w:r>
    </w:p>
    <w:p w14:paraId="1507C9BA">
      <w:pPr>
        <w:pStyle w:val="7"/>
        <w:outlineLvl w:val="2"/>
        <w:rPr>
          <w:rFonts w:ascii="仿宋_GB2312" w:hAnsi="仿宋_GB2312" w:eastAsia="仿宋_GB2312" w:cs="仿宋_GB2312"/>
          <w:b/>
          <w:sz w:val="28"/>
        </w:rPr>
      </w:pPr>
      <w:r>
        <w:rPr>
          <w:rFonts w:ascii="仿宋_GB2312" w:hAnsi="仿宋_GB2312" w:eastAsia="仿宋_GB2312" w:cs="仿宋_GB2312"/>
          <w:b/>
          <w:sz w:val="28"/>
        </w:rPr>
        <w:t>2.1服务内容</w:t>
      </w:r>
    </w:p>
    <w:p w14:paraId="65B90E4F">
      <w:pPr>
        <w:pStyle w:val="7"/>
        <w:rPr>
          <w:rFonts w:hint="eastAsia" w:eastAsia="仿宋_GB2312"/>
          <w:lang w:val="en-US" w:eastAsia="zh-CN"/>
        </w:rPr>
      </w:pPr>
      <w:r>
        <w:rPr>
          <w:rFonts w:ascii="仿宋_GB2312" w:hAnsi="仿宋_GB2312" w:eastAsia="仿宋_GB2312" w:cs="仿宋_GB2312"/>
        </w:rPr>
        <w:t>采购包1：</w:t>
      </w:r>
    </w:p>
    <w:p w14:paraId="419EE587">
      <w:pPr>
        <w:pStyle w:val="7"/>
        <w:rPr>
          <w:rFonts w:hint="eastAsia" w:eastAsia="仿宋_GB2312"/>
          <w:highlight w:val="none"/>
          <w:lang w:eastAsia="zh-CN"/>
        </w:rPr>
      </w:pPr>
      <w:r>
        <w:rPr>
          <w:rFonts w:ascii="仿宋_GB2312" w:hAnsi="仿宋_GB2312" w:eastAsia="仿宋_GB2312" w:cs="仿宋_GB2312"/>
        </w:rPr>
        <w:t>采购包预算金额（元</w:t>
      </w:r>
      <w:r>
        <w:rPr>
          <w:rFonts w:ascii="仿宋_GB2312" w:hAnsi="仿宋_GB2312" w:eastAsia="仿宋_GB2312" w:cs="仿宋_GB2312"/>
          <w:highlight w:val="none"/>
        </w:rPr>
        <w:t xml:space="preserve">）: </w:t>
      </w:r>
      <w:r>
        <w:rPr>
          <w:rFonts w:hint="eastAsia" w:ascii="仿宋_GB2312" w:hAnsi="仿宋_GB2312" w:eastAsia="仿宋_GB2312" w:cs="仿宋_GB2312"/>
          <w:highlight w:val="none"/>
          <w:lang w:eastAsia="zh-CN"/>
        </w:rPr>
        <w:t>610000.00</w:t>
      </w:r>
      <w:bookmarkStart w:id="0" w:name="_GoBack"/>
      <w:bookmarkEnd w:id="0"/>
    </w:p>
    <w:p w14:paraId="4B465F1E">
      <w:pPr>
        <w:pStyle w:val="7"/>
        <w:rPr>
          <w:rFonts w:hint="eastAsia" w:eastAsia="仿宋_GB2312"/>
          <w:highlight w:val="none"/>
          <w:lang w:eastAsia="zh-CN"/>
        </w:rPr>
      </w:pPr>
      <w:r>
        <w:rPr>
          <w:rFonts w:ascii="仿宋_GB2312" w:hAnsi="仿宋_GB2312" w:eastAsia="仿宋_GB2312" w:cs="仿宋_GB2312"/>
          <w:highlight w:val="none"/>
        </w:rPr>
        <w:t xml:space="preserve">采购包最高限价（元）: </w:t>
      </w:r>
      <w:r>
        <w:rPr>
          <w:rFonts w:hint="eastAsia" w:ascii="仿宋_GB2312" w:hAnsi="仿宋_GB2312" w:eastAsia="仿宋_GB2312" w:cs="仿宋_GB2312"/>
          <w:highlight w:val="none"/>
          <w:lang w:eastAsia="zh-CN"/>
        </w:rPr>
        <w:t>610000.00</w:t>
      </w:r>
    </w:p>
    <w:p w14:paraId="1D6C0DE7">
      <w:pPr>
        <w:pStyle w:val="7"/>
      </w:pPr>
      <w:r>
        <w:rPr>
          <w:rFonts w:ascii="仿宋_GB2312" w:hAnsi="仿宋_GB2312" w:eastAsia="仿宋_GB2312" w:cs="仿宋_GB2312"/>
        </w:rPr>
        <w:t>供应商报价不允许超过标的金额</w:t>
      </w:r>
    </w:p>
    <w:p w14:paraId="286E282E">
      <w:pPr>
        <w:pStyle w:val="7"/>
      </w:pPr>
      <w:r>
        <w:rPr>
          <w:rFonts w:ascii="仿宋_GB2312" w:hAnsi="仿宋_GB2312" w:eastAsia="仿宋_GB2312" w:cs="仿宋_GB2312"/>
        </w:rPr>
        <w:t>（招单价的）供应商报价不允许超过标的单价</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06"/>
        <w:gridCol w:w="806"/>
        <w:gridCol w:w="811"/>
        <w:gridCol w:w="1116"/>
        <w:gridCol w:w="806"/>
        <w:gridCol w:w="806"/>
        <w:gridCol w:w="806"/>
        <w:gridCol w:w="807"/>
        <w:gridCol w:w="807"/>
        <w:gridCol w:w="807"/>
      </w:tblGrid>
      <w:tr w14:paraId="77E4F6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6" w:type="dxa"/>
          </w:tcPr>
          <w:p w14:paraId="7BE708CA">
            <w:pPr>
              <w:pStyle w:val="7"/>
            </w:pPr>
            <w:r>
              <w:rPr>
                <w:rFonts w:ascii="仿宋_GB2312" w:hAnsi="仿宋_GB2312" w:eastAsia="仿宋_GB2312" w:cs="仿宋_GB2312"/>
              </w:rPr>
              <w:t>序号</w:t>
            </w:r>
          </w:p>
        </w:tc>
        <w:tc>
          <w:tcPr>
            <w:tcW w:w="806" w:type="dxa"/>
          </w:tcPr>
          <w:p w14:paraId="2A1FC6DE">
            <w:pPr>
              <w:pStyle w:val="7"/>
            </w:pPr>
            <w:r>
              <w:rPr>
                <w:rFonts w:ascii="仿宋_GB2312" w:hAnsi="仿宋_GB2312" w:eastAsia="仿宋_GB2312" w:cs="仿宋_GB2312"/>
              </w:rPr>
              <w:t>标的名称</w:t>
            </w:r>
          </w:p>
        </w:tc>
        <w:tc>
          <w:tcPr>
            <w:tcW w:w="811" w:type="dxa"/>
          </w:tcPr>
          <w:p w14:paraId="2C0785EC">
            <w:pPr>
              <w:pStyle w:val="7"/>
            </w:pPr>
            <w:r>
              <w:rPr>
                <w:rFonts w:ascii="仿宋_GB2312" w:hAnsi="仿宋_GB2312" w:eastAsia="仿宋_GB2312" w:cs="仿宋_GB2312"/>
              </w:rPr>
              <w:t>数量</w:t>
            </w:r>
          </w:p>
        </w:tc>
        <w:tc>
          <w:tcPr>
            <w:tcW w:w="1094" w:type="dxa"/>
          </w:tcPr>
          <w:p w14:paraId="29B43D1E">
            <w:pPr>
              <w:pStyle w:val="7"/>
            </w:pPr>
            <w:r>
              <w:rPr>
                <w:rFonts w:ascii="仿宋_GB2312" w:hAnsi="仿宋_GB2312" w:eastAsia="仿宋_GB2312" w:cs="仿宋_GB2312"/>
              </w:rPr>
              <w:t>标的金额 （元）</w:t>
            </w:r>
          </w:p>
        </w:tc>
        <w:tc>
          <w:tcPr>
            <w:tcW w:w="806" w:type="dxa"/>
          </w:tcPr>
          <w:p w14:paraId="2030C099">
            <w:pPr>
              <w:pStyle w:val="7"/>
            </w:pPr>
            <w:r>
              <w:rPr>
                <w:rFonts w:ascii="仿宋_GB2312" w:hAnsi="仿宋_GB2312" w:eastAsia="仿宋_GB2312" w:cs="仿宋_GB2312"/>
              </w:rPr>
              <w:t>计量单位</w:t>
            </w:r>
          </w:p>
        </w:tc>
        <w:tc>
          <w:tcPr>
            <w:tcW w:w="806" w:type="dxa"/>
          </w:tcPr>
          <w:p w14:paraId="41659582">
            <w:pPr>
              <w:pStyle w:val="7"/>
            </w:pPr>
            <w:r>
              <w:rPr>
                <w:rFonts w:ascii="仿宋_GB2312" w:hAnsi="仿宋_GB2312" w:eastAsia="仿宋_GB2312" w:cs="仿宋_GB2312"/>
              </w:rPr>
              <w:t>所属行业</w:t>
            </w:r>
          </w:p>
        </w:tc>
        <w:tc>
          <w:tcPr>
            <w:tcW w:w="806" w:type="dxa"/>
          </w:tcPr>
          <w:p w14:paraId="712E6C4F">
            <w:pPr>
              <w:pStyle w:val="7"/>
            </w:pPr>
            <w:r>
              <w:rPr>
                <w:rFonts w:ascii="仿宋_GB2312" w:hAnsi="仿宋_GB2312" w:eastAsia="仿宋_GB2312" w:cs="仿宋_GB2312"/>
              </w:rPr>
              <w:t>是否核心产品</w:t>
            </w:r>
          </w:p>
        </w:tc>
        <w:tc>
          <w:tcPr>
            <w:tcW w:w="807" w:type="dxa"/>
          </w:tcPr>
          <w:p w14:paraId="5BF5E2EE">
            <w:pPr>
              <w:pStyle w:val="7"/>
            </w:pPr>
            <w:r>
              <w:rPr>
                <w:rFonts w:ascii="仿宋_GB2312" w:hAnsi="仿宋_GB2312" w:eastAsia="仿宋_GB2312" w:cs="仿宋_GB2312"/>
              </w:rPr>
              <w:t>是否允许进口产品</w:t>
            </w:r>
          </w:p>
        </w:tc>
        <w:tc>
          <w:tcPr>
            <w:tcW w:w="807" w:type="dxa"/>
          </w:tcPr>
          <w:p w14:paraId="1251D64E">
            <w:pPr>
              <w:pStyle w:val="7"/>
            </w:pPr>
            <w:r>
              <w:rPr>
                <w:rFonts w:ascii="仿宋_GB2312" w:hAnsi="仿宋_GB2312" w:eastAsia="仿宋_GB2312" w:cs="仿宋_GB2312"/>
              </w:rPr>
              <w:t>是否属于节能产品</w:t>
            </w:r>
          </w:p>
        </w:tc>
        <w:tc>
          <w:tcPr>
            <w:tcW w:w="807" w:type="dxa"/>
          </w:tcPr>
          <w:p w14:paraId="67F1EA1D">
            <w:pPr>
              <w:pStyle w:val="7"/>
            </w:pPr>
            <w:r>
              <w:rPr>
                <w:rFonts w:ascii="仿宋_GB2312" w:hAnsi="仿宋_GB2312" w:eastAsia="仿宋_GB2312" w:cs="仿宋_GB2312"/>
              </w:rPr>
              <w:t>是否属于环境标志产品</w:t>
            </w:r>
          </w:p>
        </w:tc>
      </w:tr>
      <w:tr w14:paraId="6563EF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6" w:type="dxa"/>
          </w:tcPr>
          <w:p w14:paraId="36ED67BD">
            <w:pPr>
              <w:pStyle w:val="7"/>
              <w:rPr>
                <w:highlight w:val="none"/>
              </w:rPr>
            </w:pPr>
            <w:r>
              <w:rPr>
                <w:rFonts w:ascii="仿宋_GB2312" w:hAnsi="仿宋_GB2312" w:eastAsia="仿宋_GB2312" w:cs="仿宋_GB2312"/>
                <w:highlight w:val="none"/>
              </w:rPr>
              <w:t>1</w:t>
            </w:r>
          </w:p>
        </w:tc>
        <w:tc>
          <w:tcPr>
            <w:tcW w:w="806" w:type="dxa"/>
          </w:tcPr>
          <w:p w14:paraId="4580F9DC">
            <w:pPr>
              <w:pStyle w:val="7"/>
              <w:rPr>
                <w:rFonts w:hint="eastAsia" w:eastAsiaTheme="minorEastAsia"/>
                <w:highlight w:val="none"/>
                <w:lang w:eastAsia="zh-CN"/>
              </w:rPr>
            </w:pPr>
            <w:r>
              <w:rPr>
                <w:rFonts w:hint="eastAsia" w:ascii="仿宋_GB2312" w:hAnsi="仿宋_GB2312" w:eastAsia="仿宋_GB2312" w:cs="仿宋_GB2312"/>
                <w:highlight w:val="none"/>
                <w:lang w:eastAsia="zh-CN"/>
              </w:rPr>
              <w:t>数据安全风险评估及等保测评</w:t>
            </w:r>
          </w:p>
        </w:tc>
        <w:tc>
          <w:tcPr>
            <w:tcW w:w="811" w:type="dxa"/>
          </w:tcPr>
          <w:p w14:paraId="181F3B6A">
            <w:pPr>
              <w:pStyle w:val="7"/>
              <w:jc w:val="right"/>
              <w:rPr>
                <w:highlight w:val="none"/>
              </w:rPr>
            </w:pPr>
            <w:r>
              <w:rPr>
                <w:rFonts w:ascii="仿宋_GB2312" w:hAnsi="仿宋_GB2312" w:eastAsia="仿宋_GB2312" w:cs="仿宋_GB2312"/>
                <w:highlight w:val="none"/>
              </w:rPr>
              <w:t>1.00</w:t>
            </w:r>
          </w:p>
        </w:tc>
        <w:tc>
          <w:tcPr>
            <w:tcW w:w="1094" w:type="dxa"/>
          </w:tcPr>
          <w:p w14:paraId="18B2AECB">
            <w:pPr>
              <w:pStyle w:val="7"/>
              <w:jc w:val="right"/>
              <w:rPr>
                <w:rFonts w:hint="eastAsia" w:eastAsiaTheme="minorEastAsia"/>
                <w:highlight w:val="none"/>
                <w:lang w:eastAsia="zh-CN"/>
              </w:rPr>
            </w:pPr>
            <w:r>
              <w:rPr>
                <w:rFonts w:hint="eastAsia" w:ascii="仿宋_GB2312" w:hAnsi="仿宋_GB2312" w:eastAsia="仿宋_GB2312" w:cs="仿宋_GB2312"/>
                <w:highlight w:val="none"/>
                <w:lang w:eastAsia="zh-CN"/>
              </w:rPr>
              <w:t>610000.00</w:t>
            </w:r>
          </w:p>
        </w:tc>
        <w:tc>
          <w:tcPr>
            <w:tcW w:w="806" w:type="dxa"/>
          </w:tcPr>
          <w:p w14:paraId="3EE41947">
            <w:pPr>
              <w:pStyle w:val="7"/>
              <w:rPr>
                <w:highlight w:val="none"/>
              </w:rPr>
            </w:pPr>
            <w:r>
              <w:rPr>
                <w:rFonts w:ascii="仿宋_GB2312" w:hAnsi="仿宋_GB2312" w:eastAsia="仿宋_GB2312" w:cs="仿宋_GB2312"/>
                <w:highlight w:val="none"/>
              </w:rPr>
              <w:t>项</w:t>
            </w:r>
          </w:p>
        </w:tc>
        <w:tc>
          <w:tcPr>
            <w:tcW w:w="806" w:type="dxa"/>
          </w:tcPr>
          <w:p w14:paraId="239BC288">
            <w:pPr>
              <w:pStyle w:val="7"/>
              <w:rPr>
                <w:highlight w:val="none"/>
              </w:rPr>
            </w:pPr>
            <w:r>
              <w:rPr>
                <w:rFonts w:ascii="仿宋_GB2312" w:hAnsi="仿宋_GB2312" w:eastAsia="仿宋_GB2312" w:cs="仿宋_GB2312"/>
                <w:highlight w:val="none"/>
              </w:rPr>
              <w:t>软件和信息技术服务业</w:t>
            </w:r>
          </w:p>
        </w:tc>
        <w:tc>
          <w:tcPr>
            <w:tcW w:w="806" w:type="dxa"/>
          </w:tcPr>
          <w:p w14:paraId="32387F39">
            <w:pPr>
              <w:pStyle w:val="7"/>
              <w:rPr>
                <w:highlight w:val="none"/>
              </w:rPr>
            </w:pPr>
            <w:r>
              <w:rPr>
                <w:rFonts w:ascii="仿宋_GB2312" w:hAnsi="仿宋_GB2312" w:eastAsia="仿宋_GB2312" w:cs="仿宋_GB2312"/>
                <w:highlight w:val="none"/>
              </w:rPr>
              <w:t>否</w:t>
            </w:r>
          </w:p>
        </w:tc>
        <w:tc>
          <w:tcPr>
            <w:tcW w:w="807" w:type="dxa"/>
          </w:tcPr>
          <w:p w14:paraId="05372450">
            <w:pPr>
              <w:pStyle w:val="7"/>
              <w:rPr>
                <w:highlight w:val="none"/>
              </w:rPr>
            </w:pPr>
            <w:r>
              <w:rPr>
                <w:rFonts w:ascii="仿宋_GB2312" w:hAnsi="仿宋_GB2312" w:eastAsia="仿宋_GB2312" w:cs="仿宋_GB2312"/>
                <w:highlight w:val="none"/>
              </w:rPr>
              <w:t>否</w:t>
            </w:r>
          </w:p>
        </w:tc>
        <w:tc>
          <w:tcPr>
            <w:tcW w:w="807" w:type="dxa"/>
          </w:tcPr>
          <w:p w14:paraId="7C4A8677">
            <w:pPr>
              <w:pStyle w:val="7"/>
            </w:pPr>
            <w:r>
              <w:rPr>
                <w:rFonts w:ascii="仿宋_GB2312" w:hAnsi="仿宋_GB2312" w:eastAsia="仿宋_GB2312" w:cs="仿宋_GB2312"/>
              </w:rPr>
              <w:t>否</w:t>
            </w:r>
          </w:p>
        </w:tc>
        <w:tc>
          <w:tcPr>
            <w:tcW w:w="807" w:type="dxa"/>
          </w:tcPr>
          <w:p w14:paraId="4D0C7113">
            <w:pPr>
              <w:pStyle w:val="7"/>
            </w:pPr>
            <w:r>
              <w:rPr>
                <w:rFonts w:ascii="仿宋_GB2312" w:hAnsi="仿宋_GB2312" w:eastAsia="仿宋_GB2312" w:cs="仿宋_GB2312"/>
              </w:rPr>
              <w:t>否</w:t>
            </w:r>
          </w:p>
        </w:tc>
      </w:tr>
    </w:tbl>
    <w:p w14:paraId="5C83C553">
      <w:pPr>
        <w:pStyle w:val="7"/>
        <w:outlineLvl w:val="2"/>
      </w:pPr>
      <w:r>
        <w:rPr>
          <w:rFonts w:ascii="仿宋_GB2312" w:hAnsi="仿宋_GB2312" w:eastAsia="仿宋_GB2312" w:cs="仿宋_GB2312"/>
          <w:b/>
          <w:sz w:val="28"/>
        </w:rPr>
        <w:t>2.2服务要求</w:t>
      </w:r>
    </w:p>
    <w:p w14:paraId="2CED7D54">
      <w:pPr>
        <w:pStyle w:val="7"/>
      </w:pPr>
      <w:r>
        <w:rPr>
          <w:rFonts w:ascii="仿宋_GB2312" w:hAnsi="仿宋_GB2312" w:eastAsia="仿宋_GB2312" w:cs="仿宋_GB2312"/>
        </w:rPr>
        <w:t>采购包1：</w:t>
      </w:r>
    </w:p>
    <w:p w14:paraId="47131253">
      <w:pPr>
        <w:pStyle w:val="7"/>
        <w:rPr>
          <w:rFonts w:hint="eastAsia" w:eastAsia="仿宋_GB2312"/>
          <w:lang w:eastAsia="zh-CN"/>
        </w:rPr>
      </w:pPr>
      <w:r>
        <w:rPr>
          <w:rFonts w:ascii="仿宋_GB2312" w:hAnsi="仿宋_GB2312" w:eastAsia="仿宋_GB2312" w:cs="仿宋_GB2312"/>
        </w:rPr>
        <w:t>标的名称：</w:t>
      </w:r>
      <w:r>
        <w:rPr>
          <w:rFonts w:hint="eastAsia" w:ascii="仿宋_GB2312" w:hAnsi="仿宋_GB2312" w:eastAsia="仿宋_GB2312" w:cs="仿宋_GB2312"/>
          <w:lang w:eastAsia="zh-CN"/>
        </w:rPr>
        <w:t>数据安全风险评估及等保测评</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99"/>
        <w:gridCol w:w="651"/>
        <w:gridCol w:w="6957"/>
      </w:tblGrid>
      <w:tr w14:paraId="7616D8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9" w:type="dxa"/>
          </w:tcPr>
          <w:p w14:paraId="574F37B0">
            <w:pPr>
              <w:pStyle w:val="7"/>
              <w:rPr>
                <w:rFonts w:hint="eastAsia" w:ascii="仿宋" w:hAnsi="仿宋" w:eastAsia="仿宋" w:cs="仿宋"/>
                <w:sz w:val="20"/>
                <w:szCs w:val="20"/>
                <w:highlight w:val="none"/>
              </w:rPr>
            </w:pPr>
            <w:r>
              <w:rPr>
                <w:rFonts w:hint="eastAsia" w:ascii="仿宋" w:hAnsi="仿宋" w:eastAsia="仿宋" w:cs="仿宋"/>
                <w:sz w:val="20"/>
                <w:szCs w:val="20"/>
                <w:highlight w:val="none"/>
              </w:rPr>
              <w:t>参数性质</w:t>
            </w:r>
          </w:p>
        </w:tc>
        <w:tc>
          <w:tcPr>
            <w:tcW w:w="651" w:type="dxa"/>
          </w:tcPr>
          <w:p w14:paraId="516777B7">
            <w:pPr>
              <w:pStyle w:val="7"/>
              <w:rPr>
                <w:rFonts w:hint="eastAsia" w:ascii="仿宋" w:hAnsi="仿宋" w:eastAsia="仿宋" w:cs="仿宋"/>
                <w:sz w:val="20"/>
                <w:szCs w:val="20"/>
                <w:highlight w:val="none"/>
              </w:rPr>
            </w:pPr>
            <w:r>
              <w:rPr>
                <w:rFonts w:hint="eastAsia" w:ascii="仿宋" w:hAnsi="仿宋" w:eastAsia="仿宋" w:cs="仿宋"/>
                <w:sz w:val="20"/>
                <w:szCs w:val="20"/>
                <w:highlight w:val="none"/>
              </w:rPr>
              <w:t>序号</w:t>
            </w:r>
          </w:p>
        </w:tc>
        <w:tc>
          <w:tcPr>
            <w:tcW w:w="6957" w:type="dxa"/>
          </w:tcPr>
          <w:p w14:paraId="5BF44C2E">
            <w:pPr>
              <w:pStyle w:val="7"/>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 技术参数与性能指标</w:t>
            </w:r>
          </w:p>
        </w:tc>
      </w:tr>
      <w:tr w14:paraId="168204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9" w:type="dxa"/>
          </w:tcPr>
          <w:p w14:paraId="47B1842B">
            <w:pPr>
              <w:rPr>
                <w:rFonts w:hint="eastAsia" w:ascii="仿宋" w:hAnsi="仿宋" w:eastAsia="仿宋" w:cs="仿宋"/>
                <w:sz w:val="20"/>
                <w:szCs w:val="20"/>
                <w:highlight w:val="none"/>
              </w:rPr>
            </w:pPr>
          </w:p>
        </w:tc>
        <w:tc>
          <w:tcPr>
            <w:tcW w:w="651" w:type="dxa"/>
          </w:tcPr>
          <w:p w14:paraId="134C15BC">
            <w:pPr>
              <w:pStyle w:val="7"/>
              <w:rPr>
                <w:rFonts w:hint="eastAsia" w:ascii="仿宋" w:hAnsi="仿宋" w:eastAsia="仿宋" w:cs="仿宋"/>
                <w:sz w:val="20"/>
                <w:szCs w:val="20"/>
                <w:highlight w:val="none"/>
              </w:rPr>
            </w:pPr>
            <w:r>
              <w:rPr>
                <w:rFonts w:hint="eastAsia" w:ascii="仿宋" w:hAnsi="仿宋" w:eastAsia="仿宋" w:cs="仿宋"/>
                <w:sz w:val="20"/>
                <w:szCs w:val="20"/>
                <w:highlight w:val="none"/>
              </w:rPr>
              <w:t>1</w:t>
            </w:r>
          </w:p>
        </w:tc>
        <w:tc>
          <w:tcPr>
            <w:tcW w:w="6957" w:type="dxa"/>
          </w:tcPr>
          <w:p w14:paraId="7C3D0D42">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lang w:val="en-US" w:eastAsia="zh-CN"/>
              </w:rPr>
              <w:t>一</w:t>
            </w:r>
            <w:r>
              <w:rPr>
                <w:rFonts w:hint="eastAsia" w:ascii="仿宋" w:hAnsi="仿宋" w:eastAsia="仿宋" w:cs="仿宋"/>
                <w:sz w:val="20"/>
                <w:szCs w:val="20"/>
                <w:highlight w:val="none"/>
              </w:rPr>
              <w:t>、服务范围</w:t>
            </w:r>
          </w:p>
          <w:p w14:paraId="71BEFC20">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（一）数据安全风险评估服务范围</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
              <w:gridCol w:w="5588"/>
            </w:tblGrid>
            <w:tr w14:paraId="3DF96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vAlign w:val="top"/>
                </w:tcPr>
                <w:p w14:paraId="10051C94">
                  <w:pPr>
                    <w:pStyle w:val="2"/>
                    <w:keepNext w:val="0"/>
                    <w:keepLines w:val="0"/>
                    <w:pageBreakBefore w:val="0"/>
                    <w:widowControl w:val="0"/>
                    <w:numPr>
                      <w:ilvl w:val="0"/>
                      <w:numId w:val="0"/>
                    </w:numPr>
                    <w:kinsoku/>
                    <w:wordWrap/>
                    <w:overflowPunct/>
                    <w:topLinePunct w:val="0"/>
                    <w:autoSpaceDE/>
                    <w:autoSpaceDN/>
                    <w:bidi w:val="0"/>
                    <w:snapToGrid/>
                    <w:spacing w:line="360" w:lineRule="auto"/>
                    <w:ind w:left="0" w:leftChars="0" w:firstLine="0" w:firstLineChars="0"/>
                    <w:jc w:val="center"/>
                    <w:textAlignment w:val="auto"/>
                    <w:rPr>
                      <w:rFonts w:hint="eastAsia" w:ascii="仿宋" w:hAnsi="仿宋" w:eastAsia="仿宋" w:cs="仿宋"/>
                      <w:sz w:val="20"/>
                      <w:szCs w:val="20"/>
                      <w:highlight w:val="none"/>
                      <w:vertAlign w:val="baseline"/>
                    </w:rPr>
                  </w:pPr>
                  <w:r>
                    <w:rPr>
                      <w:rFonts w:hint="eastAsia" w:ascii="仿宋" w:hAnsi="仿宋" w:eastAsia="仿宋" w:cs="仿宋"/>
                      <w:kern w:val="2"/>
                      <w:sz w:val="20"/>
                      <w:szCs w:val="20"/>
                      <w:vertAlign w:val="baseline"/>
                      <w:lang w:val="en-US" w:eastAsia="zh-CN" w:bidi="ar-SA"/>
                    </w:rPr>
                    <w:t>序号</w:t>
                  </w:r>
                </w:p>
              </w:tc>
              <w:tc>
                <w:tcPr>
                  <w:tcW w:w="5588" w:type="dxa"/>
                  <w:vAlign w:val="top"/>
                </w:tcPr>
                <w:p w14:paraId="47320FB4">
                  <w:pPr>
                    <w:pStyle w:val="2"/>
                    <w:keepNext w:val="0"/>
                    <w:keepLines w:val="0"/>
                    <w:pageBreakBefore w:val="0"/>
                    <w:widowControl w:val="0"/>
                    <w:numPr>
                      <w:ilvl w:val="0"/>
                      <w:numId w:val="0"/>
                    </w:numPr>
                    <w:kinsoku/>
                    <w:wordWrap/>
                    <w:overflowPunct/>
                    <w:topLinePunct w:val="0"/>
                    <w:autoSpaceDE/>
                    <w:autoSpaceDN/>
                    <w:bidi w:val="0"/>
                    <w:snapToGrid/>
                    <w:spacing w:line="360" w:lineRule="auto"/>
                    <w:ind w:left="0" w:leftChars="0" w:firstLine="0" w:firstLineChars="0"/>
                    <w:jc w:val="center"/>
                    <w:textAlignment w:val="auto"/>
                    <w:rPr>
                      <w:rFonts w:hint="eastAsia" w:ascii="仿宋" w:hAnsi="仿宋" w:eastAsia="仿宋" w:cs="仿宋"/>
                      <w:sz w:val="20"/>
                      <w:szCs w:val="20"/>
                      <w:highlight w:val="none"/>
                      <w:vertAlign w:val="baseline"/>
                    </w:rPr>
                  </w:pPr>
                  <w:r>
                    <w:rPr>
                      <w:rFonts w:hint="eastAsia" w:ascii="仿宋" w:hAnsi="仿宋" w:eastAsia="仿宋" w:cs="仿宋"/>
                      <w:kern w:val="2"/>
                      <w:sz w:val="20"/>
                      <w:szCs w:val="20"/>
                      <w:lang w:val="en-US" w:eastAsia="zh-CN" w:bidi="ar-SA"/>
                    </w:rPr>
                    <w:t>系统名称</w:t>
                  </w:r>
                </w:p>
              </w:tc>
            </w:tr>
            <w:tr w14:paraId="61ED7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vAlign w:val="top"/>
                </w:tcPr>
                <w:p w14:paraId="5AB2FDF4">
                  <w:pPr>
                    <w:pStyle w:val="2"/>
                    <w:keepNext w:val="0"/>
                    <w:keepLines w:val="0"/>
                    <w:pageBreakBefore w:val="0"/>
                    <w:widowControl w:val="0"/>
                    <w:numPr>
                      <w:ilvl w:val="0"/>
                      <w:numId w:val="0"/>
                    </w:numPr>
                    <w:kinsoku/>
                    <w:wordWrap/>
                    <w:overflowPunct/>
                    <w:topLinePunct w:val="0"/>
                    <w:autoSpaceDE/>
                    <w:autoSpaceDN/>
                    <w:bidi w:val="0"/>
                    <w:snapToGrid/>
                    <w:spacing w:line="360" w:lineRule="auto"/>
                    <w:ind w:left="0" w:leftChars="0" w:firstLine="0" w:firstLineChars="0"/>
                    <w:jc w:val="center"/>
                    <w:textAlignment w:val="auto"/>
                    <w:rPr>
                      <w:rFonts w:hint="eastAsia" w:ascii="仿宋" w:hAnsi="仿宋" w:eastAsia="仿宋" w:cs="仿宋"/>
                      <w:sz w:val="20"/>
                      <w:szCs w:val="20"/>
                      <w:highlight w:val="none"/>
                      <w:vertAlign w:val="baseline"/>
                    </w:rPr>
                  </w:pPr>
                  <w:r>
                    <w:rPr>
                      <w:rFonts w:hint="eastAsia" w:ascii="仿宋" w:hAnsi="仿宋" w:eastAsia="仿宋" w:cs="仿宋"/>
                      <w:kern w:val="2"/>
                      <w:sz w:val="20"/>
                      <w:szCs w:val="20"/>
                      <w:vertAlign w:val="baseline"/>
                      <w:lang w:val="en-US" w:eastAsia="zh-CN" w:bidi="ar-SA"/>
                    </w:rPr>
                    <w:t>1</w:t>
                  </w:r>
                </w:p>
              </w:tc>
              <w:tc>
                <w:tcPr>
                  <w:tcW w:w="5588" w:type="dxa"/>
                  <w:vAlign w:val="top"/>
                </w:tcPr>
                <w:p w14:paraId="6A0E5C11">
                  <w:pPr>
                    <w:pStyle w:val="2"/>
                    <w:keepNext w:val="0"/>
                    <w:keepLines w:val="0"/>
                    <w:pageBreakBefore w:val="0"/>
                    <w:widowControl w:val="0"/>
                    <w:numPr>
                      <w:ilvl w:val="0"/>
                      <w:numId w:val="0"/>
                    </w:numPr>
                    <w:kinsoku/>
                    <w:wordWrap/>
                    <w:overflowPunct/>
                    <w:topLinePunct w:val="0"/>
                    <w:autoSpaceDE/>
                    <w:autoSpaceDN/>
                    <w:bidi w:val="0"/>
                    <w:snapToGrid/>
                    <w:spacing w:line="360" w:lineRule="auto"/>
                    <w:ind w:left="0" w:leftChars="0" w:firstLine="0" w:firstLineChars="0"/>
                    <w:jc w:val="center"/>
                    <w:textAlignment w:val="auto"/>
                    <w:rPr>
                      <w:rFonts w:hint="eastAsia" w:ascii="仿宋" w:hAnsi="仿宋" w:eastAsia="仿宋" w:cs="仿宋"/>
                      <w:sz w:val="20"/>
                      <w:szCs w:val="20"/>
                      <w:highlight w:val="none"/>
                      <w:vertAlign w:val="baseline"/>
                    </w:rPr>
                  </w:pPr>
                  <w:r>
                    <w:rPr>
                      <w:rFonts w:hint="eastAsia" w:ascii="仿宋" w:hAnsi="仿宋" w:eastAsia="仿宋" w:cs="仿宋"/>
                      <w:kern w:val="2"/>
                      <w:sz w:val="20"/>
                      <w:szCs w:val="20"/>
                      <w:lang w:val="en-US" w:eastAsia="zh-CN" w:bidi="ar-SA"/>
                    </w:rPr>
                    <w:t>陕西省公路水路建设与运输市场信用信息管理系统</w:t>
                  </w:r>
                </w:p>
              </w:tc>
            </w:tr>
            <w:tr w14:paraId="4537D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vAlign w:val="top"/>
                </w:tcPr>
                <w:p w14:paraId="23C8EAE0">
                  <w:pPr>
                    <w:pStyle w:val="2"/>
                    <w:keepNext w:val="0"/>
                    <w:keepLines w:val="0"/>
                    <w:pageBreakBefore w:val="0"/>
                    <w:widowControl w:val="0"/>
                    <w:numPr>
                      <w:ilvl w:val="0"/>
                      <w:numId w:val="0"/>
                    </w:numPr>
                    <w:kinsoku/>
                    <w:wordWrap/>
                    <w:overflowPunct/>
                    <w:topLinePunct w:val="0"/>
                    <w:autoSpaceDE/>
                    <w:autoSpaceDN/>
                    <w:bidi w:val="0"/>
                    <w:snapToGrid/>
                    <w:spacing w:line="360" w:lineRule="auto"/>
                    <w:ind w:left="0" w:leftChars="0" w:firstLine="0" w:firstLineChars="0"/>
                    <w:jc w:val="center"/>
                    <w:textAlignment w:val="auto"/>
                    <w:rPr>
                      <w:rFonts w:hint="eastAsia" w:ascii="仿宋" w:hAnsi="仿宋" w:eastAsia="仿宋" w:cs="仿宋"/>
                      <w:sz w:val="20"/>
                      <w:szCs w:val="20"/>
                      <w:highlight w:val="none"/>
                      <w:vertAlign w:val="baseline"/>
                    </w:rPr>
                  </w:pPr>
                  <w:r>
                    <w:rPr>
                      <w:rFonts w:hint="eastAsia" w:ascii="仿宋" w:hAnsi="仿宋" w:eastAsia="仿宋" w:cs="仿宋"/>
                      <w:kern w:val="2"/>
                      <w:sz w:val="20"/>
                      <w:szCs w:val="20"/>
                      <w:vertAlign w:val="baseline"/>
                      <w:lang w:val="en-US" w:eastAsia="zh-CN" w:bidi="ar-SA"/>
                    </w:rPr>
                    <w:t>2</w:t>
                  </w:r>
                </w:p>
              </w:tc>
              <w:tc>
                <w:tcPr>
                  <w:tcW w:w="5588" w:type="dxa"/>
                  <w:vAlign w:val="top"/>
                </w:tcPr>
                <w:p w14:paraId="74CB80AF">
                  <w:pPr>
                    <w:pStyle w:val="2"/>
                    <w:keepNext w:val="0"/>
                    <w:keepLines w:val="0"/>
                    <w:pageBreakBefore w:val="0"/>
                    <w:widowControl w:val="0"/>
                    <w:numPr>
                      <w:ilvl w:val="0"/>
                      <w:numId w:val="0"/>
                    </w:numPr>
                    <w:kinsoku/>
                    <w:wordWrap/>
                    <w:overflowPunct/>
                    <w:topLinePunct w:val="0"/>
                    <w:autoSpaceDE/>
                    <w:autoSpaceDN/>
                    <w:bidi w:val="0"/>
                    <w:snapToGrid/>
                    <w:spacing w:line="360" w:lineRule="auto"/>
                    <w:ind w:left="0" w:leftChars="0" w:firstLine="0" w:firstLineChars="0"/>
                    <w:jc w:val="center"/>
                    <w:textAlignment w:val="auto"/>
                    <w:rPr>
                      <w:rFonts w:hint="eastAsia" w:ascii="仿宋" w:hAnsi="仿宋" w:eastAsia="仿宋" w:cs="仿宋"/>
                      <w:sz w:val="20"/>
                      <w:szCs w:val="20"/>
                      <w:highlight w:val="none"/>
                      <w:vertAlign w:val="baseline"/>
                    </w:rPr>
                  </w:pPr>
                  <w:r>
                    <w:rPr>
                      <w:rFonts w:hint="eastAsia" w:ascii="仿宋" w:hAnsi="仿宋" w:eastAsia="仿宋" w:cs="仿宋"/>
                      <w:kern w:val="2"/>
                      <w:sz w:val="20"/>
                      <w:szCs w:val="20"/>
                      <w:lang w:val="en-US" w:eastAsia="zh-CN" w:bidi="ar-SA"/>
                    </w:rPr>
                    <w:t>陕西省交通地理信息共享服务平台</w:t>
                  </w:r>
                </w:p>
              </w:tc>
            </w:tr>
            <w:tr w14:paraId="70388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vAlign w:val="top"/>
                </w:tcPr>
                <w:p w14:paraId="105603A3">
                  <w:pPr>
                    <w:pStyle w:val="2"/>
                    <w:keepNext w:val="0"/>
                    <w:keepLines w:val="0"/>
                    <w:pageBreakBefore w:val="0"/>
                    <w:widowControl w:val="0"/>
                    <w:numPr>
                      <w:ilvl w:val="0"/>
                      <w:numId w:val="0"/>
                    </w:numPr>
                    <w:kinsoku/>
                    <w:wordWrap/>
                    <w:overflowPunct/>
                    <w:topLinePunct w:val="0"/>
                    <w:autoSpaceDE/>
                    <w:autoSpaceDN/>
                    <w:bidi w:val="0"/>
                    <w:snapToGrid/>
                    <w:spacing w:line="360" w:lineRule="auto"/>
                    <w:ind w:left="0" w:leftChars="0" w:firstLine="0" w:firstLineChars="0"/>
                    <w:jc w:val="center"/>
                    <w:textAlignment w:val="auto"/>
                    <w:rPr>
                      <w:rFonts w:hint="eastAsia" w:ascii="仿宋" w:hAnsi="仿宋" w:eastAsia="仿宋" w:cs="仿宋"/>
                      <w:sz w:val="20"/>
                      <w:szCs w:val="20"/>
                      <w:highlight w:val="none"/>
                      <w:vertAlign w:val="baseline"/>
                    </w:rPr>
                  </w:pPr>
                  <w:r>
                    <w:rPr>
                      <w:rFonts w:hint="eastAsia" w:ascii="仿宋" w:hAnsi="仿宋" w:eastAsia="仿宋" w:cs="仿宋"/>
                      <w:kern w:val="2"/>
                      <w:sz w:val="20"/>
                      <w:szCs w:val="20"/>
                      <w:vertAlign w:val="baseline"/>
                      <w:lang w:val="en-US" w:eastAsia="zh-CN" w:bidi="ar-SA"/>
                    </w:rPr>
                    <w:t>3</w:t>
                  </w:r>
                </w:p>
              </w:tc>
              <w:tc>
                <w:tcPr>
                  <w:tcW w:w="5588" w:type="dxa"/>
                  <w:vAlign w:val="top"/>
                </w:tcPr>
                <w:p w14:paraId="5A438DB7">
                  <w:pPr>
                    <w:pStyle w:val="2"/>
                    <w:keepNext w:val="0"/>
                    <w:keepLines w:val="0"/>
                    <w:pageBreakBefore w:val="0"/>
                    <w:widowControl w:val="0"/>
                    <w:numPr>
                      <w:ilvl w:val="0"/>
                      <w:numId w:val="0"/>
                    </w:numPr>
                    <w:kinsoku/>
                    <w:wordWrap/>
                    <w:overflowPunct/>
                    <w:topLinePunct w:val="0"/>
                    <w:autoSpaceDE/>
                    <w:autoSpaceDN/>
                    <w:bidi w:val="0"/>
                    <w:snapToGrid/>
                    <w:spacing w:line="360" w:lineRule="auto"/>
                    <w:ind w:left="0" w:leftChars="0" w:firstLine="0" w:firstLineChars="0"/>
                    <w:jc w:val="center"/>
                    <w:textAlignment w:val="auto"/>
                    <w:rPr>
                      <w:rFonts w:hint="eastAsia" w:ascii="仿宋" w:hAnsi="仿宋" w:eastAsia="仿宋" w:cs="仿宋"/>
                      <w:sz w:val="20"/>
                      <w:szCs w:val="20"/>
                      <w:highlight w:val="none"/>
                      <w:vertAlign w:val="baseline"/>
                    </w:rPr>
                  </w:pPr>
                  <w:r>
                    <w:rPr>
                      <w:rFonts w:hint="eastAsia" w:ascii="仿宋" w:hAnsi="仿宋" w:eastAsia="仿宋" w:cs="仿宋"/>
                      <w:kern w:val="2"/>
                      <w:sz w:val="20"/>
                      <w:szCs w:val="20"/>
                      <w:lang w:val="en-US" w:eastAsia="zh-CN" w:bidi="ar-SA"/>
                    </w:rPr>
                    <w:t>陕西省交通数据中心数据共享交换系统</w:t>
                  </w:r>
                </w:p>
              </w:tc>
            </w:tr>
            <w:tr w14:paraId="3060E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vAlign w:val="top"/>
                </w:tcPr>
                <w:p w14:paraId="0F1A322A">
                  <w:pPr>
                    <w:pStyle w:val="2"/>
                    <w:keepNext w:val="0"/>
                    <w:keepLines w:val="0"/>
                    <w:pageBreakBefore w:val="0"/>
                    <w:widowControl w:val="0"/>
                    <w:numPr>
                      <w:ilvl w:val="0"/>
                      <w:numId w:val="0"/>
                    </w:numPr>
                    <w:kinsoku/>
                    <w:wordWrap/>
                    <w:overflowPunct/>
                    <w:topLinePunct w:val="0"/>
                    <w:autoSpaceDE/>
                    <w:autoSpaceDN/>
                    <w:bidi w:val="0"/>
                    <w:snapToGrid/>
                    <w:spacing w:line="360" w:lineRule="auto"/>
                    <w:ind w:left="0" w:leftChars="0" w:firstLine="0" w:firstLineChars="0"/>
                    <w:jc w:val="center"/>
                    <w:textAlignment w:val="auto"/>
                    <w:rPr>
                      <w:rFonts w:hint="eastAsia" w:ascii="仿宋" w:hAnsi="仿宋" w:eastAsia="仿宋" w:cs="仿宋"/>
                      <w:sz w:val="20"/>
                      <w:szCs w:val="20"/>
                      <w:highlight w:val="none"/>
                      <w:vertAlign w:val="baseline"/>
                    </w:rPr>
                  </w:pPr>
                  <w:r>
                    <w:rPr>
                      <w:rFonts w:hint="eastAsia" w:ascii="仿宋" w:hAnsi="仿宋" w:eastAsia="仿宋" w:cs="仿宋"/>
                      <w:kern w:val="2"/>
                      <w:sz w:val="20"/>
                      <w:szCs w:val="20"/>
                      <w:vertAlign w:val="baseline"/>
                      <w:lang w:val="en-US" w:eastAsia="zh-CN" w:bidi="ar-SA"/>
                    </w:rPr>
                    <w:t>4</w:t>
                  </w:r>
                </w:p>
              </w:tc>
              <w:tc>
                <w:tcPr>
                  <w:tcW w:w="5588" w:type="dxa"/>
                  <w:vAlign w:val="top"/>
                </w:tcPr>
                <w:p w14:paraId="2A894F9E">
                  <w:pPr>
                    <w:pStyle w:val="2"/>
                    <w:keepNext w:val="0"/>
                    <w:keepLines w:val="0"/>
                    <w:pageBreakBefore w:val="0"/>
                    <w:widowControl w:val="0"/>
                    <w:numPr>
                      <w:ilvl w:val="0"/>
                      <w:numId w:val="0"/>
                    </w:numPr>
                    <w:kinsoku/>
                    <w:wordWrap/>
                    <w:overflowPunct/>
                    <w:topLinePunct w:val="0"/>
                    <w:autoSpaceDE/>
                    <w:autoSpaceDN/>
                    <w:bidi w:val="0"/>
                    <w:snapToGrid/>
                    <w:spacing w:line="360" w:lineRule="auto"/>
                    <w:ind w:left="0" w:leftChars="0" w:firstLine="0" w:firstLineChars="0"/>
                    <w:jc w:val="center"/>
                    <w:textAlignment w:val="auto"/>
                    <w:rPr>
                      <w:rFonts w:hint="eastAsia" w:ascii="仿宋" w:hAnsi="仿宋" w:eastAsia="仿宋" w:cs="仿宋"/>
                      <w:sz w:val="20"/>
                      <w:szCs w:val="20"/>
                      <w:highlight w:val="none"/>
                      <w:vertAlign w:val="baseline"/>
                    </w:rPr>
                  </w:pPr>
                  <w:r>
                    <w:rPr>
                      <w:rFonts w:hint="eastAsia" w:ascii="仿宋" w:hAnsi="仿宋" w:eastAsia="仿宋" w:cs="仿宋"/>
                      <w:kern w:val="2"/>
                      <w:sz w:val="20"/>
                      <w:szCs w:val="20"/>
                      <w:lang w:val="en-US" w:eastAsia="zh-CN" w:bidi="ar-SA"/>
                    </w:rPr>
                    <w:t>陕西省交通运行监测调度平台</w:t>
                  </w:r>
                </w:p>
              </w:tc>
            </w:tr>
            <w:tr w14:paraId="2B47F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vAlign w:val="top"/>
                </w:tcPr>
                <w:p w14:paraId="2CE9E678">
                  <w:pPr>
                    <w:pStyle w:val="2"/>
                    <w:keepNext w:val="0"/>
                    <w:keepLines w:val="0"/>
                    <w:pageBreakBefore w:val="0"/>
                    <w:widowControl w:val="0"/>
                    <w:numPr>
                      <w:ilvl w:val="0"/>
                      <w:numId w:val="0"/>
                    </w:numPr>
                    <w:kinsoku/>
                    <w:wordWrap/>
                    <w:overflowPunct/>
                    <w:topLinePunct w:val="0"/>
                    <w:autoSpaceDE/>
                    <w:autoSpaceDN/>
                    <w:bidi w:val="0"/>
                    <w:snapToGrid/>
                    <w:spacing w:line="360" w:lineRule="auto"/>
                    <w:ind w:left="0" w:leftChars="0" w:firstLine="0" w:firstLineChars="0"/>
                    <w:jc w:val="center"/>
                    <w:textAlignment w:val="auto"/>
                    <w:rPr>
                      <w:rFonts w:hint="eastAsia" w:ascii="仿宋" w:hAnsi="仿宋" w:eastAsia="仿宋" w:cs="仿宋"/>
                      <w:sz w:val="20"/>
                      <w:szCs w:val="20"/>
                      <w:highlight w:val="none"/>
                      <w:vertAlign w:val="baseline"/>
                    </w:rPr>
                  </w:pPr>
                  <w:r>
                    <w:rPr>
                      <w:rFonts w:hint="eastAsia" w:ascii="仿宋" w:hAnsi="仿宋" w:eastAsia="仿宋" w:cs="仿宋"/>
                      <w:kern w:val="2"/>
                      <w:sz w:val="20"/>
                      <w:szCs w:val="20"/>
                      <w:vertAlign w:val="baseline"/>
                      <w:lang w:val="en-US" w:eastAsia="zh-CN" w:bidi="ar-SA"/>
                    </w:rPr>
                    <w:t>5</w:t>
                  </w:r>
                </w:p>
              </w:tc>
              <w:tc>
                <w:tcPr>
                  <w:tcW w:w="5588" w:type="dxa"/>
                  <w:vAlign w:val="top"/>
                </w:tcPr>
                <w:p w14:paraId="564041FF">
                  <w:pPr>
                    <w:pStyle w:val="2"/>
                    <w:keepNext w:val="0"/>
                    <w:keepLines w:val="0"/>
                    <w:pageBreakBefore w:val="0"/>
                    <w:widowControl w:val="0"/>
                    <w:numPr>
                      <w:ilvl w:val="0"/>
                      <w:numId w:val="0"/>
                    </w:numPr>
                    <w:kinsoku/>
                    <w:wordWrap/>
                    <w:overflowPunct/>
                    <w:topLinePunct w:val="0"/>
                    <w:autoSpaceDE/>
                    <w:autoSpaceDN/>
                    <w:bidi w:val="0"/>
                    <w:snapToGrid/>
                    <w:spacing w:line="360" w:lineRule="auto"/>
                    <w:ind w:left="0" w:leftChars="0" w:firstLine="0" w:firstLineChars="0"/>
                    <w:jc w:val="center"/>
                    <w:textAlignment w:val="auto"/>
                    <w:rPr>
                      <w:rFonts w:hint="eastAsia" w:ascii="仿宋" w:hAnsi="仿宋" w:eastAsia="仿宋" w:cs="仿宋"/>
                      <w:sz w:val="20"/>
                      <w:szCs w:val="20"/>
                      <w:highlight w:val="none"/>
                      <w:vertAlign w:val="baseline"/>
                    </w:rPr>
                  </w:pPr>
                  <w:r>
                    <w:rPr>
                      <w:rFonts w:hint="eastAsia" w:ascii="仿宋" w:hAnsi="仿宋" w:eastAsia="仿宋" w:cs="仿宋"/>
                      <w:kern w:val="2"/>
                      <w:sz w:val="20"/>
                      <w:szCs w:val="20"/>
                      <w:lang w:val="en-US" w:eastAsia="zh-CN" w:bidi="ar-SA"/>
                    </w:rPr>
                    <w:t>陕西省交通运输行政执法综合管理信息系统</w:t>
                  </w:r>
                </w:p>
              </w:tc>
            </w:tr>
          </w:tbl>
          <w:p w14:paraId="4755E857">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（二）等保评测服务范围</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83"/>
              <w:gridCol w:w="4648"/>
            </w:tblGrid>
            <w:tr w14:paraId="56871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83" w:type="dxa"/>
                  <w:vAlign w:val="top"/>
                </w:tcPr>
                <w:p w14:paraId="191AD746">
                  <w:pPr>
                    <w:pStyle w:val="2"/>
                    <w:numPr>
                      <w:ilvl w:val="0"/>
                      <w:numId w:val="0"/>
                    </w:numPr>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安全等级</w:t>
                  </w:r>
                </w:p>
              </w:tc>
              <w:tc>
                <w:tcPr>
                  <w:tcW w:w="4648" w:type="dxa"/>
                  <w:vAlign w:val="top"/>
                </w:tcPr>
                <w:p w14:paraId="12C9533E">
                  <w:pPr>
                    <w:pStyle w:val="2"/>
                    <w:numPr>
                      <w:ilvl w:val="0"/>
                      <w:numId w:val="0"/>
                    </w:numPr>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系统名称</w:t>
                  </w:r>
                </w:p>
              </w:tc>
            </w:tr>
            <w:tr w14:paraId="3A105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83" w:type="dxa"/>
                  <w:vMerge w:val="restart"/>
                  <w:vAlign w:val="center"/>
                </w:tcPr>
                <w:p w14:paraId="39B9C2CD">
                  <w:pPr>
                    <w:pStyle w:val="2"/>
                    <w:numPr>
                      <w:ilvl w:val="0"/>
                      <w:numId w:val="0"/>
                    </w:numPr>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第三级</w:t>
                  </w:r>
                </w:p>
              </w:tc>
              <w:tc>
                <w:tcPr>
                  <w:tcW w:w="4648" w:type="dxa"/>
                  <w:vAlign w:val="top"/>
                </w:tcPr>
                <w:p w14:paraId="57143AD1">
                  <w:pPr>
                    <w:pStyle w:val="2"/>
                    <w:numPr>
                      <w:ilvl w:val="0"/>
                      <w:numId w:val="0"/>
                    </w:numPr>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陕西省交通运输云平台</w:t>
                  </w:r>
                </w:p>
              </w:tc>
            </w:tr>
            <w:tr w14:paraId="6FF80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83" w:type="dxa"/>
                  <w:vMerge w:val="continue"/>
                  <w:vAlign w:val="top"/>
                </w:tcPr>
                <w:p w14:paraId="5E245441">
                  <w:pPr>
                    <w:pStyle w:val="2"/>
                    <w:numPr>
                      <w:ilvl w:val="0"/>
                      <w:numId w:val="0"/>
                    </w:numPr>
                    <w:rPr>
                      <w:rFonts w:hint="eastAsia" w:ascii="仿宋" w:hAnsi="仿宋" w:eastAsia="仿宋" w:cs="仿宋"/>
                      <w:sz w:val="20"/>
                      <w:szCs w:val="20"/>
                      <w:highlight w:val="none"/>
                      <w:lang w:val="en-US" w:eastAsia="zh-CN"/>
                    </w:rPr>
                  </w:pPr>
                </w:p>
              </w:tc>
              <w:tc>
                <w:tcPr>
                  <w:tcW w:w="4648" w:type="dxa"/>
                  <w:vAlign w:val="top"/>
                </w:tcPr>
                <w:p w14:paraId="42A59BA4">
                  <w:pPr>
                    <w:pStyle w:val="2"/>
                    <w:numPr>
                      <w:ilvl w:val="0"/>
                      <w:numId w:val="0"/>
                    </w:numPr>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陕西省交通运行监测调度平台</w:t>
                  </w:r>
                </w:p>
              </w:tc>
            </w:tr>
            <w:tr w14:paraId="2DB25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83" w:type="dxa"/>
                  <w:vMerge w:val="restart"/>
                  <w:vAlign w:val="center"/>
                </w:tcPr>
                <w:p w14:paraId="7BEE8D98">
                  <w:pPr>
                    <w:pStyle w:val="2"/>
                    <w:numPr>
                      <w:ilvl w:val="0"/>
                      <w:numId w:val="0"/>
                    </w:numPr>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第二级</w:t>
                  </w:r>
                </w:p>
              </w:tc>
              <w:tc>
                <w:tcPr>
                  <w:tcW w:w="4648" w:type="dxa"/>
                  <w:vAlign w:val="top"/>
                </w:tcPr>
                <w:p w14:paraId="429B85F2">
                  <w:pPr>
                    <w:pStyle w:val="2"/>
                    <w:numPr>
                      <w:ilvl w:val="0"/>
                      <w:numId w:val="0"/>
                    </w:numPr>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态势感知及监测预警信息平台</w:t>
                  </w:r>
                </w:p>
              </w:tc>
            </w:tr>
            <w:tr w14:paraId="130C1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83" w:type="dxa"/>
                  <w:vMerge w:val="continue"/>
                  <w:vAlign w:val="top"/>
                </w:tcPr>
                <w:p w14:paraId="7512F7B4">
                  <w:pPr>
                    <w:pStyle w:val="2"/>
                    <w:numPr>
                      <w:ilvl w:val="0"/>
                      <w:numId w:val="0"/>
                    </w:numPr>
                    <w:rPr>
                      <w:rFonts w:hint="eastAsia" w:ascii="仿宋" w:hAnsi="仿宋" w:eastAsia="仿宋" w:cs="仿宋"/>
                      <w:sz w:val="20"/>
                      <w:szCs w:val="20"/>
                      <w:highlight w:val="none"/>
                      <w:lang w:val="en-US" w:eastAsia="zh-CN"/>
                    </w:rPr>
                  </w:pPr>
                </w:p>
              </w:tc>
              <w:tc>
                <w:tcPr>
                  <w:tcW w:w="4648" w:type="dxa"/>
                  <w:vAlign w:val="top"/>
                </w:tcPr>
                <w:p w14:paraId="4033F6E3">
                  <w:pPr>
                    <w:pStyle w:val="2"/>
                    <w:numPr>
                      <w:ilvl w:val="0"/>
                      <w:numId w:val="0"/>
                    </w:numPr>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陕西省交通运输厅政务协同平台系统</w:t>
                  </w:r>
                </w:p>
              </w:tc>
            </w:tr>
            <w:tr w14:paraId="3BEDD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83" w:type="dxa"/>
                  <w:vMerge w:val="continue"/>
                  <w:vAlign w:val="top"/>
                </w:tcPr>
                <w:p w14:paraId="4C37765C">
                  <w:pPr>
                    <w:pStyle w:val="2"/>
                    <w:numPr>
                      <w:ilvl w:val="0"/>
                      <w:numId w:val="0"/>
                    </w:numPr>
                    <w:rPr>
                      <w:rFonts w:hint="eastAsia" w:ascii="仿宋" w:hAnsi="仿宋" w:eastAsia="仿宋" w:cs="仿宋"/>
                      <w:sz w:val="20"/>
                      <w:szCs w:val="20"/>
                      <w:highlight w:val="none"/>
                      <w:lang w:val="en-US" w:eastAsia="zh-CN"/>
                    </w:rPr>
                  </w:pPr>
                </w:p>
              </w:tc>
              <w:tc>
                <w:tcPr>
                  <w:tcW w:w="4648" w:type="dxa"/>
                  <w:vAlign w:val="top"/>
                </w:tcPr>
                <w:p w14:paraId="3871B0C8">
                  <w:pPr>
                    <w:pStyle w:val="2"/>
                    <w:numPr>
                      <w:ilvl w:val="0"/>
                      <w:numId w:val="0"/>
                    </w:numPr>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陕西省交通运输密钥管理与安全认证中心</w:t>
                  </w:r>
                </w:p>
              </w:tc>
            </w:tr>
          </w:tbl>
          <w:p w14:paraId="6C7258B8">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lang w:val="en-US" w:eastAsia="zh-CN"/>
              </w:rPr>
              <w:t>二</w:t>
            </w:r>
            <w:r>
              <w:rPr>
                <w:rFonts w:hint="eastAsia" w:ascii="仿宋" w:hAnsi="仿宋" w:eastAsia="仿宋" w:cs="仿宋"/>
                <w:sz w:val="20"/>
                <w:szCs w:val="20"/>
                <w:highlight w:val="none"/>
              </w:rPr>
              <w:t>、服务依据</w:t>
            </w:r>
          </w:p>
          <w:p w14:paraId="05B4F04B">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数据安全风险评估及等保评测包括但不限于：</w:t>
            </w:r>
          </w:p>
          <w:p w14:paraId="4D35817D">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1．《中华人民共和国网络安全法》</w:t>
            </w:r>
          </w:p>
          <w:p w14:paraId="4BB75503">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2．《中华人民共和国数据安全法》</w:t>
            </w:r>
          </w:p>
          <w:p w14:paraId="756A2486">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3．《中华人民共和国个人信息保护法》</w:t>
            </w:r>
          </w:p>
          <w:p w14:paraId="16EE1295">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4．《信息安全技术 网络安全等级保护基本要求》（GB/T22239-2019）</w:t>
            </w:r>
          </w:p>
          <w:p w14:paraId="449ACEA6">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5．《信息安全技术 网络安全等级保护测评要求》（GB∕T 28448-2019）</w:t>
            </w:r>
          </w:p>
          <w:p w14:paraId="37DF0243">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6．《信息安全技术 网络安全等级保护测评过程指南》（GB∕T 28449-2018）</w:t>
            </w:r>
          </w:p>
          <w:p w14:paraId="340BC2DC">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7．《信息安全技术信息安全风险评估方法》GB/T20984-2022</w:t>
            </w:r>
          </w:p>
          <w:p w14:paraId="143FBDF2">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8．《网络数据安全管理条例》</w:t>
            </w:r>
          </w:p>
          <w:p w14:paraId="244D5F0C">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9．《公路水路交通运输数据分类分级指南》</w:t>
            </w:r>
          </w:p>
          <w:p w14:paraId="3066E1AC">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10．《交通运输数据安全风险评估指南》（JT／T1547-2025）</w:t>
            </w:r>
          </w:p>
          <w:p w14:paraId="5C97F679">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11．《交通运输数据安全分级和保护要求》</w:t>
            </w:r>
          </w:p>
          <w:p w14:paraId="762B2504">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lang w:val="en-US" w:eastAsia="zh-CN"/>
              </w:rPr>
              <w:t>三</w:t>
            </w:r>
            <w:r>
              <w:rPr>
                <w:rFonts w:hint="eastAsia" w:ascii="仿宋" w:hAnsi="仿宋" w:eastAsia="仿宋" w:cs="仿宋"/>
                <w:sz w:val="20"/>
                <w:szCs w:val="20"/>
                <w:highlight w:val="none"/>
              </w:rPr>
              <w:t>、服务内容</w:t>
            </w:r>
          </w:p>
          <w:p w14:paraId="077C80E0">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（一）数据安全风险评估服务内容</w:t>
            </w:r>
          </w:p>
          <w:p w14:paraId="18AD6A06">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针对陕西省交通运行监测中心的5个系统，采用人员访谈、文档审核、安全核查、技术测试等方式，对数据处理活动、数据安全管理、数据安全技术和个人信息保护等四个维度进行评估。</w:t>
            </w:r>
          </w:p>
          <w:p w14:paraId="04A27AD3">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（二）等保测评服务内容</w:t>
            </w:r>
          </w:p>
          <w:p w14:paraId="40B49CFE">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根据网络安全等级保护相关要求，通过访谈、文档查阅、实地勘看、配置核查、工具测试、漏洞扫描等方式，对信息系统在管理和技术两大方面进行测评，内容包括但不限于安全管理制度、安全管理机构、安全管理人员、安全建设管理、安全运维管理、安全物理环境、安全通信网络、安全区域边界、安全计算环境、安全管理中心等方面，同时，协助采购人完成网络安全整改，通过等级保护测评。</w:t>
            </w:r>
          </w:p>
          <w:p w14:paraId="201CB588">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1.安全管理制度</w:t>
            </w:r>
          </w:p>
          <w:p w14:paraId="6FD480FB">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通过访谈、文档查阅的方式，核查安全管理要求、安全管理策略、管理操作规程等安全管理制度，发现缺失管理制度；核查是否指定或授权专门的部门或人员负责安全管理制度的制定和发布以及制定发布、修订的程序符合性。</w:t>
            </w:r>
          </w:p>
          <w:p w14:paraId="6797BC03">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2.安全管理机构</w:t>
            </w:r>
          </w:p>
          <w:p w14:paraId="15FA858B">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通过访谈、文档查阅的方式，核查采购人安全管理机构的职能部门、人员配备是否满足要求；核查系统变更、重要操作、系统接入等重要事项的授权审批机制；核查沟通和合作、审核和检查等方面存在的问题，提出整改措施建议。</w:t>
            </w:r>
          </w:p>
          <w:p w14:paraId="2A8CDB6F">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3.安全管理人员</w:t>
            </w:r>
          </w:p>
          <w:p w14:paraId="76443185">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对系统关键岗位人员背景审查资料、人员录用、离职离岗管理措施进行核查；通过访谈、文档查阅的方式，核查安全管理人员意识教育和培训有关资料；通过工具测试、人工分析等方式，检测外部人员访问管理措施有效性，提出安全整改措施建议。</w:t>
            </w:r>
          </w:p>
          <w:p w14:paraId="3BD96126">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4.安全建设管理</w:t>
            </w:r>
          </w:p>
          <w:p w14:paraId="5A27B792">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核查系统定级备案、安全建设方案、产品采购和使用清单、软件开发、项目实施、系统交付、项目验收等相关资料；通过工具测试、漏洞扫描等方式，发现系统存在的软件应用、中间件、数据库等方面安全漏洞，提出安全整改措施建议。</w:t>
            </w:r>
          </w:p>
          <w:p w14:paraId="123E6FD4">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5.安全运维管理</w:t>
            </w:r>
          </w:p>
          <w:p w14:paraId="2A8293D8">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通过访谈、文档查阅的方式，核查系统资产清单、介质管理记录、设备运维记录、重要事项变更、漏洞隐患处置跟踪表单等管理措施过程记录；通过配置核查、工具测试等方式，发现配置管理、密码管理、备份与恢复管理、漏洞和风险管理等方面存在的安全漏洞，提出完善措施建议。</w:t>
            </w:r>
          </w:p>
          <w:p w14:paraId="358448B4">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6.安全物理环境</w:t>
            </w:r>
          </w:p>
          <w:p w14:paraId="21434186">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对系统机房安全管理措施进行核查，查阅机房人员出入、设备出入登记记录，实地勘看门禁系统、防盗防破坏、防雷、防火、防水防潮、防静电、电力供应等物理环境，提出安全物理环境保障措施整改建议。</w:t>
            </w:r>
          </w:p>
          <w:p w14:paraId="0DDA5F4A">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7.安全通信网络</w:t>
            </w:r>
          </w:p>
          <w:p w14:paraId="1D9583BA">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根据业务应用重要程度，查阅系统网络拓扑图，实地勘看网络架构，分析现有网络架构、分区分域的合理性，核查网络分区分域管理措施是否有效落实，提出优化措施建议；核查系统数据通信传输现有保障措施，验证是否满足可信验证；核查通信网络设备隔离措施有效性和合理性，发现存在安全隐患的隔离措施，提出安全整改建议。</w:t>
            </w:r>
          </w:p>
          <w:p w14:paraId="457C0CC5">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8.安全区域边界</w:t>
            </w:r>
          </w:p>
          <w:p w14:paraId="63678DD5">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根据系统业务实际情况和网络接入关系，通过配置核查、人工分析的方式，核查边界访问控制、高危端口、共享端口、准入控制、流量监测等安全策略设置的合理性，发现系统网络边界、区域边界的不合理策略，检测出系统存在的高危隐患，提出完善优化的可行性整改措施。</w:t>
            </w:r>
          </w:p>
          <w:p w14:paraId="42CB02FD">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9.安全计算环境</w:t>
            </w:r>
          </w:p>
          <w:p w14:paraId="653005BB">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对网络设备、安全设备、服务器、终端、应用系统等资产的用户权限、账户口令、登录失败、连接超时、入侵防范等安全策略进行核查，发现不合理安全配置策略；对系统资产进行漏洞扫描，发现系统安全漏洞，并在测试评估后，提出整改措施建议；核查系统设备是否均保留了日志审计记录，且留存记录是否满足要求。</w:t>
            </w:r>
          </w:p>
          <w:p w14:paraId="46AACE9A">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10.安全管理中心</w:t>
            </w:r>
          </w:p>
          <w:p w14:paraId="718588AF">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通过访谈交流、文档查阅、配置核查的方式，对系统管理员、审计管理员、安全管理员的权限分配进行检查，发现不合理资源权限划分；核查安全管理产品及产品配置的安全策略有效性，评估运维操作行为的规范性，分析系统集中管控措施，对系统监测手段提出针对性意见建议。</w:t>
            </w:r>
          </w:p>
          <w:p w14:paraId="1327CC0F">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（三）服务交付成果</w:t>
            </w:r>
          </w:p>
          <w:p w14:paraId="48B3865C">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在本次数据安全风险评估及等级保护测评项目中，服务商须提交主要成果文档包含如下：</w:t>
            </w:r>
          </w:p>
          <w:p w14:paraId="2313684A">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1．《数据安全风险评估报告》（每系统2份纸质版，1份电子版）；</w:t>
            </w:r>
          </w:p>
          <w:p w14:paraId="132482DF">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2．《信息系统安全等级保护定级备案证明》；</w:t>
            </w:r>
          </w:p>
          <w:p w14:paraId="0451ADD1">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3．《信息系统安全等级保护测评方案》（每系统2份纸质版，1份电子版）；</w:t>
            </w:r>
          </w:p>
          <w:p w14:paraId="7143BD4D">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4．《信息系统安全等级保护测评报告》（每系统2份纸质版，1份电子版）；</w:t>
            </w:r>
          </w:p>
          <w:p w14:paraId="2A653F01">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5．《信息系统安全渗透测试报告》（可包含在测评报告中）；</w:t>
            </w:r>
          </w:p>
          <w:p w14:paraId="21615CF1">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6．不在以上范围内，项目期间</w:t>
            </w:r>
            <w:r>
              <w:rPr>
                <w:rFonts w:hint="eastAsia" w:ascii="仿宋" w:hAnsi="仿宋" w:eastAsia="仿宋" w:cs="仿宋"/>
                <w:sz w:val="20"/>
                <w:szCs w:val="20"/>
                <w:highlight w:val="none"/>
                <w:lang w:eastAsia="zh-CN"/>
              </w:rPr>
              <w:t>采购人</w:t>
            </w:r>
            <w:r>
              <w:rPr>
                <w:rFonts w:hint="eastAsia" w:ascii="仿宋" w:hAnsi="仿宋" w:eastAsia="仿宋" w:cs="仿宋"/>
                <w:sz w:val="20"/>
                <w:szCs w:val="20"/>
                <w:highlight w:val="none"/>
              </w:rPr>
              <w:t>要求的其他材料。</w:t>
            </w:r>
          </w:p>
          <w:p w14:paraId="082295D9">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lang w:val="en-US" w:eastAsia="zh-CN"/>
              </w:rPr>
              <w:t>四</w:t>
            </w:r>
            <w:r>
              <w:rPr>
                <w:rFonts w:hint="eastAsia" w:ascii="仿宋" w:hAnsi="仿宋" w:eastAsia="仿宋" w:cs="仿宋"/>
                <w:sz w:val="20"/>
                <w:szCs w:val="20"/>
                <w:highlight w:val="none"/>
              </w:rPr>
              <w:t>、服务要求</w:t>
            </w:r>
          </w:p>
          <w:p w14:paraId="03D02A09">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（一）测评人员要求</w:t>
            </w:r>
          </w:p>
          <w:p w14:paraId="4770D481">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本项目的测评人员需具有1年或1年以上测评工作经验，项目经理和质量负责人</w:t>
            </w:r>
            <w:r>
              <w:rPr>
                <w:rFonts w:hint="eastAsia" w:ascii="仿宋" w:hAnsi="仿宋" w:eastAsia="仿宋" w:cs="仿宋"/>
                <w:sz w:val="20"/>
                <w:szCs w:val="20"/>
                <w:highlight w:val="none"/>
                <w:lang w:val="en-US" w:eastAsia="zh-CN"/>
              </w:rPr>
              <w:t>需</w:t>
            </w:r>
            <w:r>
              <w:rPr>
                <w:rFonts w:hint="eastAsia" w:ascii="仿宋" w:hAnsi="仿宋" w:eastAsia="仿宋" w:cs="仿宋"/>
                <w:sz w:val="20"/>
                <w:szCs w:val="20"/>
                <w:highlight w:val="none"/>
              </w:rPr>
              <w:t>具备</w:t>
            </w:r>
            <w:r>
              <w:rPr>
                <w:rFonts w:hint="eastAsia" w:ascii="仿宋" w:hAnsi="仿宋" w:eastAsia="仿宋" w:cs="仿宋"/>
                <w:sz w:val="20"/>
                <w:szCs w:val="20"/>
                <w:highlight w:val="none"/>
                <w:lang w:val="en-US" w:eastAsia="zh-CN"/>
              </w:rPr>
              <w:t>3年以上测评从业经历</w:t>
            </w:r>
            <w:r>
              <w:rPr>
                <w:rFonts w:hint="eastAsia" w:ascii="仿宋" w:hAnsi="仿宋" w:eastAsia="仿宋" w:cs="仿宋"/>
                <w:sz w:val="20"/>
                <w:szCs w:val="20"/>
                <w:highlight w:val="none"/>
              </w:rPr>
              <w:t>，并提供人员管理及配备方案，并确保人员稳定。如需更换测评人员，须由采购</w:t>
            </w:r>
            <w:r>
              <w:rPr>
                <w:rFonts w:hint="eastAsia" w:ascii="仿宋" w:hAnsi="仿宋" w:eastAsia="仿宋" w:cs="仿宋"/>
                <w:sz w:val="20"/>
                <w:szCs w:val="20"/>
                <w:highlight w:val="none"/>
                <w:lang w:val="en-US" w:eastAsia="zh-CN"/>
              </w:rPr>
              <w:t>人</w:t>
            </w:r>
            <w:r>
              <w:rPr>
                <w:rFonts w:hint="eastAsia" w:ascii="仿宋" w:hAnsi="仿宋" w:eastAsia="仿宋" w:cs="仿宋"/>
                <w:sz w:val="20"/>
                <w:szCs w:val="20"/>
                <w:highlight w:val="none"/>
              </w:rPr>
              <w:t>同意。</w:t>
            </w:r>
          </w:p>
          <w:p w14:paraId="0E5769CF">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（二）人员配备</w:t>
            </w:r>
          </w:p>
          <w:p w14:paraId="1DD2A24B">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供应商必须为本项目成立本地化等级保护测评小组，由测评小组组长统一负责，测评小组组长具有一定的技术及管理知识和经验，能容易地与客户沟通，能很好的执行与完成测评工作，并根据适当情况增加测评人员。供应商应按等级保护测评要求制定测评过程中产生的文档，做到科学、规范、详尽、统一。</w:t>
            </w:r>
          </w:p>
          <w:p w14:paraId="49FEC85F">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（三）保密责任与赔偿承诺</w:t>
            </w:r>
          </w:p>
          <w:p w14:paraId="2AB87A4C">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1．服务商应严格遵守陕西省交通运行监测中心单位有关保密的相关规定，不得泄露陕西省交通运行监测中心的任何机密；</w:t>
            </w:r>
          </w:p>
          <w:p w14:paraId="0594CF41">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2．在技术服务期间，服务商对接触到的有关陕西省交通运行监测中心单位工作活动、商业活动、技术情报和技术资料等文件进行保密。</w:t>
            </w:r>
          </w:p>
          <w:p w14:paraId="7C366396">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3．在测评服务期间，如果出现因服务商责任，未能在承诺时间内恢复业务运行，陕西省交通运行监测中心有权请第三方进行解决处理，由此所产生的一切费用由服务商承担。</w:t>
            </w:r>
          </w:p>
          <w:p w14:paraId="1609E0A9">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4．测评服务期间，服务商不符合或达不到合同中要求的技术服务标准，陕西省交通运行监测中心可以提前终止或解除合同。</w:t>
            </w:r>
          </w:p>
          <w:p w14:paraId="50724D84">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（四）技术方案内容及要求</w:t>
            </w:r>
          </w:p>
          <w:p w14:paraId="79809189">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1．响应文件对测评准备（现状调研）、方案编制、现场测评、报告编制等内容进行详细描述；</w:t>
            </w:r>
          </w:p>
          <w:p w14:paraId="679CA308">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2．响应文件中明确服务内容及方法；</w:t>
            </w:r>
          </w:p>
          <w:p w14:paraId="0A33861A">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3．明确合理的实施周期和进度表；</w:t>
            </w:r>
          </w:p>
          <w:p w14:paraId="76CEDA03">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4．提供整个测评项目实施过程中的风险防范措施，并明确保密责任与赔偿承诺。</w:t>
            </w:r>
          </w:p>
          <w:p w14:paraId="441FB553">
            <w:pPr>
              <w:pStyle w:val="2"/>
              <w:numPr>
                <w:ilvl w:val="0"/>
                <w:numId w:val="0"/>
              </w:numPr>
              <w:rPr>
                <w:rFonts w:hint="eastAsia" w:ascii="仿宋" w:hAnsi="仿宋" w:eastAsia="仿宋" w:cs="仿宋"/>
                <w:sz w:val="20"/>
                <w:szCs w:val="20"/>
                <w:highlight w:val="none"/>
              </w:rPr>
            </w:pPr>
            <w:r>
              <w:rPr>
                <w:rFonts w:hint="eastAsia" w:ascii="仿宋" w:hAnsi="仿宋" w:eastAsia="仿宋" w:cs="仿宋"/>
                <w:sz w:val="20"/>
                <w:szCs w:val="20"/>
                <w:highlight w:val="none"/>
              </w:rPr>
              <w:t>5．服务承诺及保障措施。</w:t>
            </w:r>
          </w:p>
        </w:tc>
      </w:tr>
    </w:tbl>
    <w:p w14:paraId="40EAEE1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opperplate Gothic Bold">
    <w:panose1 w:val="020E0705020206020404"/>
    <w:charset w:val="00"/>
    <w:family w:val="swiss"/>
    <w:pitch w:val="default"/>
    <w:sig w:usb0="00000003" w:usb1="00000000" w:usb2="00000000" w:usb3="00000000" w:csb0="2000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BFF62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6">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jc w:val="left"/>
    </w:pPr>
    <w:rPr>
      <w:rFonts w:ascii="Copperplate Gothic Bold" w:hAnsi="Copperplate Gothic Bold"/>
      <w:sz w:val="28"/>
    </w:rPr>
  </w:style>
  <w:style w:type="paragraph" w:styleId="3">
    <w:name w:val="Body Text 2"/>
    <w:basedOn w:val="1"/>
    <w:qFormat/>
    <w:uiPriority w:val="0"/>
    <w:pPr>
      <w:jc w:val="center"/>
    </w:pPr>
    <w:rPr>
      <w:b/>
      <w:bCs/>
      <w:sz w:val="72"/>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2026-06-10T07:30:00Z</dcterms:created>
  <dc:creator>pc</dc:creator>
  <cp:lastModifiedBy>肖肖</cp:lastModifiedBy>
  <dcterms:modified xsi:type="dcterms:W3CDTF">2026-06-10T07:30:46Z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eyJoZGlkIjoiMjRmYjg0N2M1ODc3ODUwZjJhZjcwZDM5MTYzMGM2OWIiLCJ1c2VySWQiOiI0MzM4MTU0MzAifQ==</vt:lpwstr>
  </property>
  <property fmtid="{D5CDD505-2E9C-101B-9397-08002B2CF9AE}" pid="4" name="ICV">
    <vt:lpwstr>FD12A76D7FCE425E99931D935FDA396D_12</vt:lpwstr>
  </property>
</Properties>
</file>