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版本号：ZX2026-03-53(二次)20260511001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全国12315平台（陕西受理端）维保项目(二次)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ZX2026-03-53(二次)</w:t>
      </w:r>
      <w:r>
        <w:br/>
      </w:r>
      <w:r>
        <w:br/>
      </w:r>
      <w:r>
        <w:br/>
      </w:r>
    </w:p>
    <w:p>
      <w:pPr>
        <w:pStyle w:val="null3"/>
        <w:jc w:val="center"/>
        <w:outlineLvl w:val="2"/>
      </w:pPr>
      <w:r>
        <w:rPr>
          <w:rFonts w:ascii="仿宋_GB2312" w:hAnsi="仿宋_GB2312" w:cs="仿宋_GB2312" w:eastAsia="仿宋_GB2312"/>
          <w:sz w:val="28"/>
          <w:b/>
        </w:rPr>
        <w:t>陕西省市场监督管理局</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陕西省市场监督管理局</w:t>
      </w:r>
      <w:r>
        <w:rPr>
          <w:rFonts w:ascii="仿宋_GB2312" w:hAnsi="仿宋_GB2312" w:cs="仿宋_GB2312" w:eastAsia="仿宋_GB2312"/>
        </w:rPr>
        <w:t>委托，拟对</w:t>
      </w:r>
      <w:r>
        <w:rPr>
          <w:rFonts w:ascii="仿宋_GB2312" w:hAnsi="仿宋_GB2312" w:cs="仿宋_GB2312" w:eastAsia="仿宋_GB2312"/>
        </w:rPr>
        <w:t>全国12315平台（陕西受理端）维保项目(二次)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ZX2026-03-53(二次)</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全国12315平台（陕西受理端）维保项目(二次)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全国12315平台（陕西受理端）维保项目，具体内容详见磋商文件第3章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采购包1（全国12315平台（陕西受理端）维保项目）：属于专门面向中小企业采购。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1、法定代表人授权委托书：法定代表人参加磋商的，须出示身份证；法定代表人授权本单位他人参加磋商的，须提供法定代表人授权委托书。</w:t>
      </w:r>
    </w:p>
    <w:p>
      <w:pPr>
        <w:pStyle w:val="null3"/>
      </w:pPr>
      <w:r>
        <w:rPr>
          <w:rFonts w:ascii="仿宋_GB2312" w:hAnsi="仿宋_GB2312" w:cs="仿宋_GB2312" w:eastAsia="仿宋_GB2312"/>
        </w:rPr>
        <w:t>2、本项目不接受联合体磋商，不允许分包：本项目不接受联合体磋商，不允许分包。供应商应提供《非联合体不分包投标声明》。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陕西省市场监督管理局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西安市二环北路东段739号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汪老师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029-86138665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梁文龙 马演 王宇轩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采购包1：255,000.00元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采购包1保证金金额：4,353.00元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代理服务费收费标准：定额6000元。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陕西省市场监督管理局</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陕西省市场监督管理局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陕西省市场监督管理局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按照采购文件、响应文件以及合同要求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联系人：马演 梁文龙</w:t>
      </w:r>
    </w:p>
    <w:p>
      <w:pPr>
        <w:pStyle w:val="null3"/>
      </w:pPr>
      <w:r>
        <w:rPr>
          <w:rFonts w:ascii="仿宋_GB2312" w:hAnsi="仿宋_GB2312" w:cs="仿宋_GB2312" w:eastAsia="仿宋_GB2312"/>
        </w:rPr>
        <w:t>联系电话：029-88110800转8028（1731831774@qq.com）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全国12315平台（陕西受理端）维保项目。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255,000.00</w:t>
      </w:r>
    </w:p>
    <w:p>
      <w:pPr>
        <w:pStyle w:val="null3"/>
      </w:pPr>
      <w:r>
        <w:rPr>
          <w:rFonts w:ascii="仿宋_GB2312" w:hAnsi="仿宋_GB2312" w:cs="仿宋_GB2312" w:eastAsia="仿宋_GB2312"/>
        </w:rPr>
        <w:t>采购包最高限价（元）: 255,000.00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全国12315平台（陕西受理端）维保项目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标的名称：全国12315平台（陕西受理端）维保项目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一.项目背景</w:t>
            </w:r>
          </w:p>
          <w:p>
            <w:pPr>
              <w:pStyle w:val="null3"/>
            </w:pPr>
            <w:r>
              <w:rPr>
                <w:rFonts w:ascii="仿宋_GB2312" w:hAnsi="仿宋_GB2312" w:cs="仿宋_GB2312" w:eastAsia="仿宋_GB2312"/>
              </w:rPr>
              <w:t xml:space="preserve">  为贯彻落实《中共中央办公厅、国务院办公厅关于深化市场监管综合行政执法改革的指导意见》，推进12315、12365、12331、12358、12330市场监管热线和信息化平台整合，建立统一、权威、高效的12315行政执法体系，2019年2月，国家市场监督管理总局发布《市场监管总局关于整合建设12315行政执法体系更好服务市场监管执法的意见》（国市监网监【2019】46号文件，以下简称“意见”）。按照意见的总体目标：到2020年底，基本建立统一、权威、高效的12315行政执法体系。整合建设工作分两个阶段，2019年为过渡期，主要实现“一号对外、多线并号、集中接听、各级承办部门依责办理”；升级全国12315平台，初步统一市场监管投诉举报入口；基于全国12315平台，开发部署接线人员用户端，实现12315热线数据在全国12315平台实时采集、动态管理。2020年，依托全国12315平台，逐步完善市场监管部门投诉举报受理热线和平台，建成全国统一、上下五级贯通的12315行政执法体系，实现“一号对外、集中管理、便民利企、高效执法”的工作机制，打造成市场监管执法的前沿岗哨，为维护宽体便捷的准入环境、公平竞争的市场环境、安全放心的消费环境，建设统一的市场监管执法体系提供有力支撑。</w:t>
            </w:r>
          </w:p>
          <w:p>
            <w:pPr>
              <w:pStyle w:val="null3"/>
            </w:pPr>
            <w:r>
              <w:rPr>
                <w:rFonts w:ascii="仿宋_GB2312" w:hAnsi="仿宋_GB2312" w:cs="仿宋_GB2312" w:eastAsia="仿宋_GB2312"/>
              </w:rPr>
              <w:t>二．技术要求</w:t>
            </w:r>
          </w:p>
          <w:p>
            <w:pPr>
              <w:pStyle w:val="null3"/>
              <w:outlineLvl w:val="2"/>
            </w:pPr>
            <w:r>
              <w:rPr>
                <w:rFonts w:ascii="仿宋_GB2312" w:hAnsi="仿宋_GB2312" w:cs="仿宋_GB2312" w:eastAsia="仿宋_GB2312"/>
                <w:sz w:val="28"/>
                <w:b/>
              </w:rPr>
              <w:t>1.服务范围</w:t>
            </w:r>
          </w:p>
          <w:p>
            <w:pPr>
              <w:pStyle w:val="null3"/>
            </w:pPr>
            <w:r>
              <w:rPr>
                <w:rFonts w:ascii="仿宋_GB2312" w:hAnsi="仿宋_GB2312" w:cs="仿宋_GB2312" w:eastAsia="仿宋_GB2312"/>
              </w:rPr>
              <w:t>1.1软件运维服务</w:t>
            </w:r>
          </w:p>
          <w:p>
            <w:pPr>
              <w:pStyle w:val="null3"/>
            </w:pPr>
            <w:r>
              <w:rPr>
                <w:rFonts w:ascii="仿宋_GB2312" w:hAnsi="仿宋_GB2312" w:cs="仿宋_GB2312" w:eastAsia="仿宋_GB2312"/>
              </w:rPr>
              <w:t>（1）满足业务需求的软件运维</w:t>
            </w:r>
          </w:p>
          <w:p>
            <w:pPr>
              <w:pStyle w:val="null3"/>
            </w:pPr>
            <w:r>
              <w:rPr>
                <w:rFonts w:ascii="仿宋_GB2312" w:hAnsi="仿宋_GB2312" w:cs="仿宋_GB2312" w:eastAsia="仿宋_GB2312"/>
              </w:rPr>
              <w:t>运维范围：“全国12315平台（陕西受理端）”提供运行维护工作与客户服务工作。</w:t>
            </w:r>
          </w:p>
          <w:p>
            <w:pPr>
              <w:pStyle w:val="null3"/>
            </w:pPr>
            <w:r>
              <w:rPr>
                <w:rFonts w:ascii="仿宋_GB2312" w:hAnsi="仿宋_GB2312" w:cs="仿宋_GB2312" w:eastAsia="仿宋_GB2312"/>
              </w:rPr>
              <w:t>运维内容包括：对平台所用8台服务器操作系统的提供日常巡检、运行监测、故障处理服务，对系统所用的7套中间件、1套数据库提供日常巡检、运行监测、故障处理、数据处理、数据备份及日常技术支持等服务，对“全国12315平台（陕西受理端）”应用软件的日常巡检、监测、故障处理等，保障“全国12315平台（陕西受理端）”的正常运转及与“全国12315平台”的接口正常运行。在微信群内提供客户服务，保障“全国12315平台（陕西受理端）”使用人员得到及时的技术支持。</w:t>
            </w:r>
          </w:p>
          <w:p>
            <w:pPr>
              <w:pStyle w:val="null3"/>
            </w:pPr>
            <w:r>
              <w:rPr>
                <w:rFonts w:ascii="仿宋_GB2312" w:hAnsi="仿宋_GB2312" w:cs="仿宋_GB2312" w:eastAsia="仿宋_GB2312"/>
              </w:rPr>
              <w:t>（2）需优化业务需求的软件运维</w:t>
            </w:r>
          </w:p>
          <w:p>
            <w:pPr>
              <w:pStyle w:val="null3"/>
            </w:pPr>
            <w:r>
              <w:rPr>
                <w:rFonts w:ascii="仿宋_GB2312" w:hAnsi="仿宋_GB2312" w:cs="仿宋_GB2312" w:eastAsia="仿宋_GB2312"/>
              </w:rPr>
              <w:t>根据“全国12315平台（陕西受理端）”业务发展要求，做必要的系统优化。</w:t>
            </w:r>
          </w:p>
          <w:p>
            <w:pPr>
              <w:pStyle w:val="null3"/>
            </w:pPr>
            <w:r>
              <w:rPr>
                <w:rFonts w:ascii="仿宋_GB2312" w:hAnsi="仿宋_GB2312" w:cs="仿宋_GB2312" w:eastAsia="仿宋_GB2312"/>
              </w:rPr>
              <w:t>1.2. 其他运维服务</w:t>
            </w:r>
          </w:p>
          <w:p>
            <w:pPr>
              <w:pStyle w:val="null3"/>
            </w:pPr>
            <w:r>
              <w:rPr>
                <w:rFonts w:ascii="仿宋_GB2312" w:hAnsi="仿宋_GB2312" w:cs="仿宋_GB2312" w:eastAsia="仿宋_GB2312"/>
              </w:rPr>
              <w:t>提供“全国12315平台（陕西受理端）”相关业务数据的数据查询、数据导出等服务。</w:t>
            </w:r>
          </w:p>
          <w:p>
            <w:pPr>
              <w:pStyle w:val="null3"/>
            </w:pPr>
            <w:r>
              <w:rPr>
                <w:rFonts w:ascii="仿宋_GB2312" w:hAnsi="仿宋_GB2312" w:cs="仿宋_GB2312" w:eastAsia="仿宋_GB2312"/>
              </w:rPr>
              <w:t>配合省局完成等保测评工作，提供必要的安全漏洞修复、所用基础支撑软件的安全加固、应急响应等服务。</w:t>
            </w:r>
          </w:p>
          <w:p>
            <w:pPr>
              <w:pStyle w:val="null3"/>
            </w:pPr>
            <w:r>
              <w:rPr>
                <w:rFonts w:ascii="仿宋_GB2312" w:hAnsi="仿宋_GB2312" w:cs="仿宋_GB2312" w:eastAsia="仿宋_GB2312"/>
              </w:rPr>
              <w:t>提供“全国12315平台（陕西受理端）”重要时刻专项保障服务。</w:t>
            </w:r>
          </w:p>
          <w:p>
            <w:pPr>
              <w:pStyle w:val="null3"/>
            </w:pPr>
            <w:r>
              <w:rPr>
                <w:rFonts w:ascii="仿宋_GB2312" w:hAnsi="仿宋_GB2312" w:cs="仿宋_GB2312" w:eastAsia="仿宋_GB2312"/>
              </w:rPr>
              <w:t>对部署在陕西省机房的2台中继网关提供维保及备品备件服务。</w:t>
            </w:r>
          </w:p>
          <w:p>
            <w:pPr>
              <w:pStyle w:val="null3"/>
              <w:outlineLvl w:val="2"/>
            </w:pPr>
            <w:r>
              <w:rPr>
                <w:rFonts w:ascii="仿宋_GB2312" w:hAnsi="仿宋_GB2312" w:cs="仿宋_GB2312" w:eastAsia="仿宋_GB2312"/>
                <w:sz w:val="28"/>
                <w:b/>
              </w:rPr>
              <w:t>2.服务期限</w:t>
            </w:r>
          </w:p>
          <w:p>
            <w:pPr>
              <w:pStyle w:val="null3"/>
            </w:pPr>
            <w:r>
              <w:rPr>
                <w:rFonts w:ascii="仿宋_GB2312" w:hAnsi="仿宋_GB2312" w:cs="仿宋_GB2312" w:eastAsia="仿宋_GB2312"/>
              </w:rPr>
              <w:t>本次服务期限为：2026年度。</w:t>
            </w:r>
          </w:p>
          <w:p>
            <w:pPr>
              <w:pStyle w:val="null3"/>
              <w:outlineLvl w:val="2"/>
            </w:pPr>
            <w:r>
              <w:rPr>
                <w:rFonts w:ascii="仿宋_GB2312" w:hAnsi="仿宋_GB2312" w:cs="仿宋_GB2312" w:eastAsia="仿宋_GB2312"/>
                <w:sz w:val="28"/>
                <w:b/>
              </w:rPr>
              <w:t xml:space="preserve">3.服务目标 </w:t>
            </w:r>
          </w:p>
          <w:p>
            <w:pPr>
              <w:pStyle w:val="null3"/>
            </w:pPr>
            <w:r>
              <w:rPr>
                <w:rFonts w:ascii="仿宋_GB2312" w:hAnsi="仿宋_GB2312" w:cs="仿宋_GB2312" w:eastAsia="仿宋_GB2312"/>
              </w:rPr>
              <w:t>确保“全国12315平台（陕西受理端）”高效、稳定的运行，保证陕西受理端与全国12315平台的接口正常，支撑陕西省市场监督管理局通过12315系统对消费者投诉举报进行处理与反馈业务的正常开展。</w:t>
            </w:r>
          </w:p>
          <w:p>
            <w:pPr>
              <w:pStyle w:val="null3"/>
            </w:pPr>
            <w:r>
              <w:rPr>
                <w:rFonts w:ascii="仿宋_GB2312" w:hAnsi="仿宋_GB2312" w:cs="仿宋_GB2312" w:eastAsia="仿宋_GB2312"/>
              </w:rPr>
              <w:t>具体需达到的目标如下：</w:t>
            </w:r>
          </w:p>
          <w:p>
            <w:pPr>
              <w:pStyle w:val="null3"/>
            </w:pPr>
            <w:r>
              <w:rPr>
                <w:rFonts w:ascii="仿宋_GB2312" w:hAnsi="仿宋_GB2312" w:cs="仿宋_GB2312" w:eastAsia="仿宋_GB2312"/>
              </w:rPr>
              <w:t>1.系统可用性：95.0%</w:t>
            </w:r>
          </w:p>
          <w:p>
            <w:pPr>
              <w:pStyle w:val="null3"/>
            </w:pPr>
            <w:r>
              <w:rPr>
                <w:rFonts w:ascii="仿宋_GB2312" w:hAnsi="仿宋_GB2312" w:cs="仿宋_GB2312" w:eastAsia="仿宋_GB2312"/>
              </w:rPr>
              <w:t>2.用户满意度：90.0%</w:t>
            </w:r>
          </w:p>
          <w:p>
            <w:pPr>
              <w:pStyle w:val="null3"/>
            </w:pPr>
            <w:r>
              <w:rPr>
                <w:rFonts w:ascii="仿宋_GB2312" w:hAnsi="仿宋_GB2312" w:cs="仿宋_GB2312" w:eastAsia="仿宋_GB2312"/>
              </w:rPr>
              <w:t>3.故障处理时间要求：详见表1-1。</w:t>
            </w:r>
          </w:p>
          <w:p>
            <w:pPr>
              <w:pStyle w:val="null3"/>
            </w:pPr>
            <w:r>
              <w:rPr>
                <w:rFonts w:ascii="仿宋_GB2312" w:hAnsi="仿宋_GB2312" w:cs="仿宋_GB2312" w:eastAsia="仿宋_GB2312"/>
              </w:rPr>
              <w:t>表1-1故障处理时间要求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故障级别</w:t>
                  </w:r>
                </w:p>
              </w:tc>
              <w:tc>
                <w:tcPr>
                  <w:tcW w:type="dxa" w:w="638"/>
                </w:tcPr>
                <w:p>
                  <w:pPr>
                    <w:pStyle w:val="null3"/>
                  </w:pPr>
                  <w:r>
                    <w:rPr>
                      <w:rFonts w:ascii="仿宋_GB2312" w:hAnsi="仿宋_GB2312" w:cs="仿宋_GB2312" w:eastAsia="仿宋_GB2312"/>
                    </w:rPr>
                    <w:t>远程响应</w:t>
                  </w:r>
                </w:p>
              </w:tc>
              <w:tc>
                <w:tcPr>
                  <w:tcW w:type="dxa" w:w="638"/>
                </w:tcPr>
                <w:p>
                  <w:pPr>
                    <w:pStyle w:val="null3"/>
                  </w:pPr>
                  <w:r>
                    <w:rPr>
                      <w:rFonts w:ascii="仿宋_GB2312" w:hAnsi="仿宋_GB2312" w:cs="仿宋_GB2312" w:eastAsia="仿宋_GB2312"/>
                    </w:rPr>
                    <w:t>现场响应</w:t>
                  </w:r>
                </w:p>
              </w:tc>
              <w:tc>
                <w:tcPr>
                  <w:tcW w:type="dxa" w:w="638"/>
                </w:tcPr>
                <w:p>
                  <w:pPr>
                    <w:pStyle w:val="null3"/>
                  </w:pPr>
                  <w:r>
                    <w:rPr>
                      <w:rFonts w:ascii="仿宋_GB2312" w:hAnsi="仿宋_GB2312" w:cs="仿宋_GB2312" w:eastAsia="仿宋_GB2312"/>
                    </w:rPr>
                    <w:t>故障解决时间</w:t>
                  </w:r>
                </w:p>
              </w:tc>
            </w:tr>
            <w:tr>
              <w:tc>
                <w:tcPr>
                  <w:tcW w:type="dxa" w:w="638"/>
                </w:tcPr>
                <w:p>
                  <w:pPr>
                    <w:pStyle w:val="null3"/>
                  </w:pPr>
                  <w:r>
                    <w:rPr>
                      <w:rFonts w:ascii="仿宋_GB2312" w:hAnsi="仿宋_GB2312" w:cs="仿宋_GB2312" w:eastAsia="仿宋_GB2312"/>
                    </w:rPr>
                    <w:t>普通故障</w:t>
                  </w:r>
                </w:p>
              </w:tc>
              <w:tc>
                <w:tcPr>
                  <w:tcW w:type="dxa" w:w="638"/>
                </w:tcPr>
                <w:p>
                  <w:pPr>
                    <w:pStyle w:val="null3"/>
                  </w:pPr>
                  <w:r>
                    <w:rPr>
                      <w:rFonts w:ascii="仿宋_GB2312" w:hAnsi="仿宋_GB2312" w:cs="仿宋_GB2312" w:eastAsia="仿宋_GB2312"/>
                    </w:rPr>
                    <w:t>30分钟内</w:t>
                  </w:r>
                </w:p>
              </w:tc>
              <w:tc>
                <w:tcPr>
                  <w:tcW w:type="dxa" w:w="638"/>
                </w:tcPr>
                <w:p>
                  <w:pPr>
                    <w:pStyle w:val="null3"/>
                  </w:pPr>
                  <w:r>
                    <w:rPr>
                      <w:rFonts w:ascii="仿宋_GB2312" w:hAnsi="仿宋_GB2312" w:cs="仿宋_GB2312" w:eastAsia="仿宋_GB2312"/>
                    </w:rPr>
                    <w:t>24小时内到现场</w:t>
                  </w:r>
                </w:p>
              </w:tc>
              <w:tc>
                <w:tcPr>
                  <w:tcW w:type="dxa" w:w="638"/>
                </w:tcPr>
                <w:p>
                  <w:pPr>
                    <w:pStyle w:val="null3"/>
                  </w:pPr>
                  <w:r>
                    <w:rPr>
                      <w:rFonts w:ascii="仿宋_GB2312" w:hAnsi="仿宋_GB2312" w:cs="仿宋_GB2312" w:eastAsia="仿宋_GB2312"/>
                    </w:rPr>
                    <w:t>到达现场后&lt;3小时</w:t>
                  </w:r>
                </w:p>
              </w:tc>
            </w:tr>
            <w:tr>
              <w:tc>
                <w:tcPr>
                  <w:tcW w:type="dxa" w:w="638"/>
                </w:tcPr>
                <w:p>
                  <w:pPr>
                    <w:pStyle w:val="null3"/>
                  </w:pPr>
                  <w:r>
                    <w:rPr>
                      <w:rFonts w:ascii="仿宋_GB2312" w:hAnsi="仿宋_GB2312" w:cs="仿宋_GB2312" w:eastAsia="仿宋_GB2312"/>
                    </w:rPr>
                    <w:t>重大故障</w:t>
                  </w:r>
                </w:p>
              </w:tc>
              <w:tc>
                <w:tcPr>
                  <w:tcW w:type="dxa" w:w="638"/>
                </w:tcPr>
                <w:p>
                  <w:pPr>
                    <w:pStyle w:val="null3"/>
                  </w:pPr>
                  <w:r>
                    <w:rPr>
                      <w:rFonts w:ascii="仿宋_GB2312" w:hAnsi="仿宋_GB2312" w:cs="仿宋_GB2312" w:eastAsia="仿宋_GB2312"/>
                    </w:rPr>
                    <w:t>15分钟内</w:t>
                  </w:r>
                </w:p>
              </w:tc>
              <w:tc>
                <w:tcPr>
                  <w:tcW w:type="dxa" w:w="638"/>
                </w:tcPr>
                <w:p>
                  <w:pPr>
                    <w:pStyle w:val="null3"/>
                  </w:pPr>
                  <w:r>
                    <w:rPr>
                      <w:rFonts w:ascii="仿宋_GB2312" w:hAnsi="仿宋_GB2312" w:cs="仿宋_GB2312" w:eastAsia="仿宋_GB2312"/>
                    </w:rPr>
                    <w:t>12小时内到现场</w:t>
                  </w:r>
                </w:p>
              </w:tc>
              <w:tc>
                <w:tcPr>
                  <w:tcW w:type="dxa" w:w="638"/>
                </w:tcPr>
                <w:p>
                  <w:pPr>
                    <w:pStyle w:val="null3"/>
                  </w:pPr>
                  <w:r>
                    <w:rPr>
                      <w:rFonts w:ascii="仿宋_GB2312" w:hAnsi="仿宋_GB2312" w:cs="仿宋_GB2312" w:eastAsia="仿宋_GB2312"/>
                    </w:rPr>
                    <w:t>到达现场后&lt;2小时</w:t>
                  </w:r>
                </w:p>
              </w:tc>
            </w:tr>
            <w:tr>
              <w:tc>
                <w:tcPr>
                  <w:tcW w:type="dxa" w:w="638"/>
                </w:tcPr>
                <w:p>
                  <w:pPr>
                    <w:pStyle w:val="null3"/>
                  </w:pPr>
                  <w:r>
                    <w:rPr>
                      <w:rFonts w:ascii="仿宋_GB2312" w:hAnsi="仿宋_GB2312" w:cs="仿宋_GB2312" w:eastAsia="仿宋_GB2312"/>
                    </w:rPr>
                    <w:t>特大故障</w:t>
                  </w:r>
                </w:p>
              </w:tc>
              <w:tc>
                <w:tcPr>
                  <w:tcW w:type="dxa" w:w="638"/>
                </w:tcPr>
                <w:p>
                  <w:pPr>
                    <w:pStyle w:val="null3"/>
                  </w:pPr>
                  <w:r>
                    <w:rPr>
                      <w:rFonts w:ascii="仿宋_GB2312" w:hAnsi="仿宋_GB2312" w:cs="仿宋_GB2312" w:eastAsia="仿宋_GB2312"/>
                    </w:rPr>
                    <w:t>5分钟内</w:t>
                  </w:r>
                </w:p>
              </w:tc>
              <w:tc>
                <w:tcPr>
                  <w:tcW w:type="dxa" w:w="638"/>
                </w:tcPr>
                <w:p>
                  <w:pPr>
                    <w:pStyle w:val="null3"/>
                  </w:pPr>
                  <w:r>
                    <w:rPr>
                      <w:rFonts w:ascii="仿宋_GB2312" w:hAnsi="仿宋_GB2312" w:cs="仿宋_GB2312" w:eastAsia="仿宋_GB2312"/>
                    </w:rPr>
                    <w:t>4小时内到现场</w:t>
                  </w:r>
                </w:p>
              </w:tc>
              <w:tc>
                <w:tcPr>
                  <w:tcW w:type="dxa" w:w="638"/>
                </w:tcPr>
                <w:p>
                  <w:pPr>
                    <w:pStyle w:val="null3"/>
                  </w:pPr>
                  <w:r>
                    <w:rPr>
                      <w:rFonts w:ascii="仿宋_GB2312" w:hAnsi="仿宋_GB2312" w:cs="仿宋_GB2312" w:eastAsia="仿宋_GB2312"/>
                    </w:rPr>
                    <w:t>到达现场后&lt;1小时</w:t>
                  </w:r>
                </w:p>
              </w:tc>
            </w:tr>
          </w:tbl>
          <w:p>
            <w:pPr>
              <w:pStyle w:val="null3"/>
              <w:outlineLvl w:val="2"/>
            </w:pPr>
            <w:r>
              <w:rPr>
                <w:rFonts w:ascii="仿宋_GB2312" w:hAnsi="仿宋_GB2312" w:cs="仿宋_GB2312" w:eastAsia="仿宋_GB2312"/>
                <w:sz w:val="28"/>
                <w:b/>
              </w:rPr>
              <w:t>4.考核指标</w:t>
            </w:r>
          </w:p>
          <w:p>
            <w:pPr>
              <w:pStyle w:val="null3"/>
            </w:pPr>
            <w:r>
              <w:rPr>
                <w:rFonts w:ascii="仿宋_GB2312" w:hAnsi="仿宋_GB2312" w:cs="仿宋_GB2312" w:eastAsia="仿宋_GB2312"/>
              </w:rPr>
              <w:t>1. 系统可用性，根据业务需求定为系统可用性为95%；</w:t>
            </w:r>
          </w:p>
          <w:p>
            <w:pPr>
              <w:pStyle w:val="null3"/>
            </w:pPr>
            <w:r>
              <w:rPr>
                <w:rFonts w:ascii="仿宋_GB2312" w:hAnsi="仿宋_GB2312" w:cs="仿宋_GB2312" w:eastAsia="仿宋_GB2312"/>
              </w:rPr>
              <w:t>2. 运维记录提交的及时与规范；</w:t>
            </w:r>
          </w:p>
          <w:p>
            <w:pPr>
              <w:pStyle w:val="null3"/>
            </w:pPr>
            <w:r>
              <w:rPr>
                <w:rFonts w:ascii="仿宋_GB2312" w:hAnsi="仿宋_GB2312" w:cs="仿宋_GB2312" w:eastAsia="仿宋_GB2312"/>
              </w:rPr>
              <w:t>3. 服务报告提交的及时与规范。</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2026年度</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陕西省市场监督管理局指定地点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项目整体内容完成组织验收，通过验收后 </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 财务状况报告：法人提供会计师事务所出具有效的2024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供应商需在项目电子化交易系统中按要求填写《投标函》完成承诺并进行电子签章。提供直接控股和直接管理关系清单。若与其他供应商存在单位负责人为同一人或者存在直接控股、管理关系的，则响应无效。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中小企业采购，供应商应为中型企业或小型、微型企业或监狱企业或残疾人福利性单位。供应商为中型、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资格证明文件.docx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法定代表人参加磋商的，须出示身份证；法定代表人授权本单位他人参加磋商的，须提供法定代表人授权委托书。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本项目不接受联合体磋商，不允许分包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采购评审中出现下列情形之一的，磋商小组应当启动异常低价响应审查程序： （1）响应报价低于全部通过符合性审查供应商响应报价平均值50%的，即响应报价&lt;全部通过符合性审查供应商响应报价平均值×50%； （2）响应报价低于通过符合性审查的次低报价供应商响应报价50%的，即响应报价&lt;通过符合性审查的次低报价供应商响应报价×50%； （3）响应报价低于采购项目最高限价45%的，即响应报价&lt;采购项目最高限价×45%； （4）磋商小组基于专业判断，认为供应商报价过低，有可能影响产品质量或者不能诚信履约的其他情形。 磋商小组启动异常低价响应审查后，属于前述第1项至第4项情形的，应当要求相关供应商在评审现场于30分钟内对响应价格作出解释，提供项目具体成本测算等与报价合理性相关的书面说明及必要的以下证明材料：①提交书面说明，书面说明应当按照国家财务会计制度的规定要求，逐项就供应商提供服务的主营业务成本、税金及附加、销售费用、管理费用、财务费用等成本构成；②提交相关证明材料（类似项目类似报价合同、验收报告、发票等）；供应商不能证明其报价合理性的或者未在规定时间内提交材料或者提交了材料但是材料不齐全得，磋商小组应当将其作为无效磋商处理。</w:t>
            </w:r>
          </w:p>
        </w:tc>
        <w:tc>
          <w:tcPr>
            <w:tcW w:type="dxa" w:w="1661"/>
          </w:tcPr>
          <w:p>
            <w:pPr>
              <w:pStyle w:val="null3"/>
            </w:pPr>
            <w:r>
              <w:rPr>
                <w:rFonts w:ascii="仿宋_GB2312" w:hAnsi="仿宋_GB2312" w:cs="仿宋_GB2312" w:eastAsia="仿宋_GB2312"/>
              </w:rPr>
              <w:t>标的清单 报价表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有下列情形之一的，应在符合性审查时按照无效磋商处理： (1)磋商响应文件未按照磋商文件规定要求签署、盖章的；(2)不满足本磋商文件中“服务期限、服务地点、支付方式、支付约定”的实质性条款要求的； (3)文件有效期不足的或无有效期的； (4)报价超过磋商文件中规定的预算金额或最高限价的；(5)法律、法规和磋商文件规定的其他无效情形。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服务响应与偏离表.docx 响应文件封面 13其他资料.docx 中小企业声明函 残疾人福利性单位声明函 商务部分偏离表.docx 资格证明文件.docx 监狱企业的证明文件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供应商对服务目标进行了解，至少包含①服务目标②项目概述③对现有业务系统的结构、功能以及需求的认识及理解。 满足项目实施要求，无瑕疵计10分； 每存在一处瑕疵，扣1分； 上述内容均未提供或内容存在10处及以上瑕疵不计分。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1项目理解.docx</w:t>
            </w:r>
          </w:p>
        </w:tc>
      </w:tr>
      <w:tr>
        <w:tc>
          <w:tcPr>
            <w:tcW w:type="dxa" w:w="831"/>
            <w:vMerge/>
          </w:tcPr>
          <w:p/>
        </w:tc>
        <w:tc>
          <w:tcPr>
            <w:tcW w:type="dxa" w:w="1661"/>
          </w:tcPr>
          <w:p>
            <w:pPr>
              <w:pStyle w:val="null3"/>
            </w:pPr>
            <w:r>
              <w:rPr>
                <w:rFonts w:ascii="仿宋_GB2312" w:hAnsi="仿宋_GB2312" w:cs="仿宋_GB2312" w:eastAsia="仿宋_GB2312"/>
              </w:rPr>
              <w:t>整体维保方案</w:t>
            </w:r>
          </w:p>
        </w:tc>
        <w:tc>
          <w:tcPr>
            <w:tcW w:type="dxa" w:w="2492"/>
          </w:tcPr>
          <w:p>
            <w:pPr>
              <w:pStyle w:val="null3"/>
            </w:pPr>
            <w:r>
              <w:rPr>
                <w:rFonts w:ascii="仿宋_GB2312" w:hAnsi="仿宋_GB2312" w:cs="仿宋_GB2312" w:eastAsia="仿宋_GB2312"/>
              </w:rPr>
              <w:t>供应商针对本项目提供整体维保方案，至少包含：①日常巡检②运行监测③故障处理④数据备份⑤数据处理⑥日常技术支持⑦系统优化⑧采购需求中的其他运维服务。 满足项目实施要求，无瑕疵计16分； 每存在一处瑕疵，扣1分； 上述内容均未提供或内容存在16处及以上瑕疵不计分。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2整体维保方案.docx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供应商对本项目有详细具体的维保服务质量保障措施。至少包含：①安全管理②质量管理③应急管理④系统功能保证⑤运维记录、服务报告提交。 满足项目实施要求，无瑕疵计12分； 每存在一处瑕疵，扣1分； 上述内容均未提供或内容存在12处及以上瑕疵不计分。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3质量保证措施.docx</w:t>
            </w:r>
          </w:p>
        </w:tc>
      </w:tr>
      <w:tr>
        <w:tc>
          <w:tcPr>
            <w:tcW w:type="dxa" w:w="831"/>
            <w:vMerge/>
          </w:tcPr>
          <w:p/>
        </w:tc>
        <w:tc>
          <w:tcPr>
            <w:tcW w:type="dxa" w:w="1661"/>
          </w:tcPr>
          <w:p>
            <w:pPr>
              <w:pStyle w:val="null3"/>
            </w:pPr>
            <w:r>
              <w:rPr>
                <w:rFonts w:ascii="仿宋_GB2312" w:hAnsi="仿宋_GB2312" w:cs="仿宋_GB2312" w:eastAsia="仿宋_GB2312"/>
              </w:rPr>
              <w:t>工作制度</w:t>
            </w:r>
          </w:p>
        </w:tc>
        <w:tc>
          <w:tcPr>
            <w:tcW w:type="dxa" w:w="2492"/>
          </w:tcPr>
          <w:p>
            <w:pPr>
              <w:pStyle w:val="null3"/>
            </w:pPr>
            <w:r>
              <w:rPr>
                <w:rFonts w:ascii="仿宋_GB2312" w:hAnsi="仿宋_GB2312" w:cs="仿宋_GB2312" w:eastAsia="仿宋_GB2312"/>
              </w:rPr>
              <w:t>供应商针对本项目提供工作制度，至少包含：①流程规范②管理规则③岗位职责④考核制度。 满足项目实施要求，无瑕疵计8分； 每存在一处瑕疵，扣1分； 上述内容均未提供或内容存在8处及以上瑕疵不计分。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4工作制度.docx</w:t>
            </w:r>
          </w:p>
        </w:tc>
      </w:tr>
      <w:tr>
        <w:tc>
          <w:tcPr>
            <w:tcW w:type="dxa" w:w="831"/>
            <w:vMerge/>
          </w:tcPr>
          <w:p/>
        </w:tc>
        <w:tc>
          <w:tcPr>
            <w:tcW w:type="dxa" w:w="1661"/>
          </w:tcPr>
          <w:p>
            <w:pPr>
              <w:pStyle w:val="null3"/>
            </w:pPr>
            <w:r>
              <w:rPr>
                <w:rFonts w:ascii="仿宋_GB2312" w:hAnsi="仿宋_GB2312" w:cs="仿宋_GB2312" w:eastAsia="仿宋_GB2312"/>
              </w:rPr>
              <w:t>组织架构</w:t>
            </w:r>
          </w:p>
        </w:tc>
        <w:tc>
          <w:tcPr>
            <w:tcW w:type="dxa" w:w="2492"/>
          </w:tcPr>
          <w:p>
            <w:pPr>
              <w:pStyle w:val="null3"/>
            </w:pPr>
            <w:r>
              <w:rPr>
                <w:rFonts w:ascii="仿宋_GB2312" w:hAnsi="仿宋_GB2312" w:cs="仿宋_GB2312" w:eastAsia="仿宋_GB2312"/>
              </w:rPr>
              <w:t>供应商对本项目提供项目组织架构方案，至少包含：①组织架构方案②人员配置方案③职责分工④人员介绍、学历证明、履历经验。 满足项目实施要求，无瑕疵计10分； 每存在一处瑕疵，扣1分； 上述内容均未提供或内容存在10处及以上瑕疵不计分。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5组织架构.docx</w:t>
            </w:r>
          </w:p>
        </w:tc>
      </w:tr>
      <w:tr>
        <w:tc>
          <w:tcPr>
            <w:tcW w:type="dxa" w:w="831"/>
            <w:vMerge/>
          </w:tcPr>
          <w:p/>
        </w:tc>
        <w:tc>
          <w:tcPr>
            <w:tcW w:type="dxa" w:w="1661"/>
          </w:tcPr>
          <w:p>
            <w:pPr>
              <w:pStyle w:val="null3"/>
            </w:pPr>
            <w:r>
              <w:rPr>
                <w:rFonts w:ascii="仿宋_GB2312" w:hAnsi="仿宋_GB2312" w:cs="仿宋_GB2312" w:eastAsia="仿宋_GB2312"/>
              </w:rPr>
              <w:t>人员证书</w:t>
            </w:r>
          </w:p>
        </w:tc>
        <w:tc>
          <w:tcPr>
            <w:tcW w:type="dxa" w:w="2492"/>
          </w:tcPr>
          <w:p>
            <w:pPr>
              <w:pStyle w:val="null3"/>
            </w:pPr>
            <w:r>
              <w:rPr>
                <w:rFonts w:ascii="仿宋_GB2312" w:hAnsi="仿宋_GB2312" w:cs="仿宋_GB2312" w:eastAsia="仿宋_GB2312"/>
              </w:rPr>
              <w:t>①拟派项目经理具有信息系统项目管理师证书的计2分； ②拟派技术人员IT服务工程师认证的计1分； 注：上述人员须提供证书复印件以及本单位近6个月内任意一个月的社保缴纳证明。</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6人员证书.docx</w:t>
            </w:r>
          </w:p>
        </w:tc>
      </w:tr>
      <w:tr>
        <w:tc>
          <w:tcPr>
            <w:tcW w:type="dxa" w:w="831"/>
            <w:vMerge/>
          </w:tcPr>
          <w:p/>
        </w:tc>
        <w:tc>
          <w:tcPr>
            <w:tcW w:type="dxa" w:w="1661"/>
          </w:tcPr>
          <w:p>
            <w:pPr>
              <w:pStyle w:val="null3"/>
            </w:pPr>
            <w:r>
              <w:rPr>
                <w:rFonts w:ascii="仿宋_GB2312" w:hAnsi="仿宋_GB2312" w:cs="仿宋_GB2312" w:eastAsia="仿宋_GB2312"/>
              </w:rPr>
              <w:t>认证</w:t>
            </w:r>
          </w:p>
        </w:tc>
        <w:tc>
          <w:tcPr>
            <w:tcW w:type="dxa" w:w="2492"/>
          </w:tcPr>
          <w:p>
            <w:pPr>
              <w:pStyle w:val="null3"/>
            </w:pPr>
            <w:r>
              <w:rPr>
                <w:rFonts w:ascii="仿宋_GB2312" w:hAnsi="仿宋_GB2312" w:cs="仿宋_GB2312" w:eastAsia="仿宋_GB2312"/>
              </w:rPr>
              <w:t>提供供应商有效期内的信息安全管理体系认证证书、信息技术服务管理体系认证证书，每提供一个证书计1分，满分2分。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7认证.docx</w:t>
            </w:r>
          </w:p>
        </w:tc>
      </w:tr>
      <w:tr>
        <w:tc>
          <w:tcPr>
            <w:tcW w:type="dxa" w:w="831"/>
            <w:vMerge/>
          </w:tcPr>
          <w:p/>
        </w:tc>
        <w:tc>
          <w:tcPr>
            <w:tcW w:type="dxa" w:w="1661"/>
          </w:tcPr>
          <w:p>
            <w:pPr>
              <w:pStyle w:val="null3"/>
            </w:pPr>
            <w:r>
              <w:rPr>
                <w:rFonts w:ascii="仿宋_GB2312" w:hAnsi="仿宋_GB2312" w:cs="仿宋_GB2312" w:eastAsia="仿宋_GB2312"/>
              </w:rPr>
              <w:t>重点难点分析</w:t>
            </w:r>
          </w:p>
        </w:tc>
        <w:tc>
          <w:tcPr>
            <w:tcW w:type="dxa" w:w="2492"/>
          </w:tcPr>
          <w:p>
            <w:pPr>
              <w:pStyle w:val="null3"/>
            </w:pPr>
            <w:r>
              <w:rPr>
                <w:rFonts w:ascii="仿宋_GB2312" w:hAnsi="仿宋_GB2312" w:cs="仿宋_GB2312" w:eastAsia="仿宋_GB2312"/>
              </w:rPr>
              <w:t>供应商针对本项目提出实施过程中的重点、难点，至少包含：①具体重难点分析②解决方案及应对措施。 满足项目实施要求，无瑕疵计4分； 每存在一处瑕疵，扣1分； 上述内容均未提供或内容存在4处及以上瑕疵不计分。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8重难点分析.docx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供应商针对本项目提供应急预案。至少包含：①应急处理程序②故障解决方案③故障分级及时间响应。 满足项目实施要求，无瑕疵计8分； 每存在一处瑕疵，扣1分； 上述内容均未提供或内容存在8处及以上瑕疵不计分。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9应急预案.docx</w:t>
            </w:r>
          </w:p>
        </w:tc>
      </w:tr>
      <w:tr>
        <w:tc>
          <w:tcPr>
            <w:tcW w:type="dxa" w:w="831"/>
            <w:vMerge/>
          </w:tcPr>
          <w:p/>
        </w:tc>
        <w:tc>
          <w:tcPr>
            <w:tcW w:type="dxa" w:w="1661"/>
          </w:tcPr>
          <w:p>
            <w:pPr>
              <w:pStyle w:val="null3"/>
            </w:pPr>
            <w:r>
              <w:rPr>
                <w:rFonts w:ascii="仿宋_GB2312" w:hAnsi="仿宋_GB2312" w:cs="仿宋_GB2312" w:eastAsia="仿宋_GB2312"/>
              </w:rPr>
              <w:t>保密方案</w:t>
            </w:r>
          </w:p>
        </w:tc>
        <w:tc>
          <w:tcPr>
            <w:tcW w:type="dxa" w:w="2492"/>
          </w:tcPr>
          <w:p>
            <w:pPr>
              <w:pStyle w:val="null3"/>
            </w:pPr>
            <w:r>
              <w:rPr>
                <w:rFonts w:ascii="仿宋_GB2312" w:hAnsi="仿宋_GB2312" w:cs="仿宋_GB2312" w:eastAsia="仿宋_GB2312"/>
              </w:rPr>
              <w:t>供应商针对本项目提供保密方案，至少包含：①保密制度和措施②保密承诺。 满足项目实施要求，无瑕疵计4分； 每存在一处瑕疵，扣1分； 上述内容均未提供或内容存在4处及以上瑕疵不计分。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10保密方案.docx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扫描件（以合同签订日期为准），扫描件必须清晰体现签约主体和日期、项目名称及内容、合同金额等核心要素，否则不计为有效业绩。每提供1个有效业绩得2分，最高得10分。 备注：响应文件中提供合同扫描件加盖公章。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供应商针对本项目提出的有利于项目实施的其他服务承诺，经磋商小组认定每提供一条得1分，最高得3分。未提供不得分。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12服务承诺.docx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 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详见附件：服务响应与偏离表.docx</w:t>
      </w:r>
    </w:p>
    <w:p>
      <w:pPr>
        <w:pStyle w:val="null3"/>
        <w:ind w:firstLine="960"/>
      </w:pPr>
      <w:r>
        <w:rPr>
          <w:rFonts w:ascii="仿宋_GB2312" w:hAnsi="仿宋_GB2312" w:cs="仿宋_GB2312" w:eastAsia="仿宋_GB2312"/>
        </w:rPr>
        <w:t>详见附件：1项目理解.docx</w:t>
      </w:r>
    </w:p>
    <w:p>
      <w:pPr>
        <w:pStyle w:val="null3"/>
        <w:ind w:firstLine="960"/>
      </w:pPr>
      <w:r>
        <w:rPr>
          <w:rFonts w:ascii="仿宋_GB2312" w:hAnsi="仿宋_GB2312" w:cs="仿宋_GB2312" w:eastAsia="仿宋_GB2312"/>
        </w:rPr>
        <w:t>详见附件：2整体维保方案.docx</w:t>
      </w:r>
    </w:p>
    <w:p>
      <w:pPr>
        <w:pStyle w:val="null3"/>
        <w:ind w:firstLine="960"/>
      </w:pPr>
      <w:r>
        <w:rPr>
          <w:rFonts w:ascii="仿宋_GB2312" w:hAnsi="仿宋_GB2312" w:cs="仿宋_GB2312" w:eastAsia="仿宋_GB2312"/>
        </w:rPr>
        <w:t>详见附件：3质量保证措施.docx</w:t>
      </w:r>
    </w:p>
    <w:p>
      <w:pPr>
        <w:pStyle w:val="null3"/>
        <w:ind w:firstLine="960"/>
      </w:pPr>
      <w:r>
        <w:rPr>
          <w:rFonts w:ascii="仿宋_GB2312" w:hAnsi="仿宋_GB2312" w:cs="仿宋_GB2312" w:eastAsia="仿宋_GB2312"/>
        </w:rPr>
        <w:t>详见附件：4工作制度.docx</w:t>
      </w:r>
    </w:p>
    <w:p>
      <w:pPr>
        <w:pStyle w:val="null3"/>
        <w:ind w:firstLine="960"/>
      </w:pPr>
      <w:r>
        <w:rPr>
          <w:rFonts w:ascii="仿宋_GB2312" w:hAnsi="仿宋_GB2312" w:cs="仿宋_GB2312" w:eastAsia="仿宋_GB2312"/>
        </w:rPr>
        <w:t>详见附件：5组织架构.docx</w:t>
      </w:r>
    </w:p>
    <w:p>
      <w:pPr>
        <w:pStyle w:val="null3"/>
        <w:ind w:firstLine="960"/>
      </w:pPr>
      <w:r>
        <w:rPr>
          <w:rFonts w:ascii="仿宋_GB2312" w:hAnsi="仿宋_GB2312" w:cs="仿宋_GB2312" w:eastAsia="仿宋_GB2312"/>
        </w:rPr>
        <w:t>详见附件：6人员证书.docx</w:t>
      </w:r>
    </w:p>
    <w:p>
      <w:pPr>
        <w:pStyle w:val="null3"/>
        <w:ind w:firstLine="960"/>
      </w:pPr>
      <w:r>
        <w:rPr>
          <w:rFonts w:ascii="仿宋_GB2312" w:hAnsi="仿宋_GB2312" w:cs="仿宋_GB2312" w:eastAsia="仿宋_GB2312"/>
        </w:rPr>
        <w:t>详见附件：7认证.docx</w:t>
      </w:r>
    </w:p>
    <w:p>
      <w:pPr>
        <w:pStyle w:val="null3"/>
        <w:ind w:firstLine="960"/>
      </w:pPr>
      <w:r>
        <w:rPr>
          <w:rFonts w:ascii="仿宋_GB2312" w:hAnsi="仿宋_GB2312" w:cs="仿宋_GB2312" w:eastAsia="仿宋_GB2312"/>
        </w:rPr>
        <w:t>详见附件：8重难点分析.docx</w:t>
      </w:r>
    </w:p>
    <w:p>
      <w:pPr>
        <w:pStyle w:val="null3"/>
        <w:ind w:firstLine="960"/>
      </w:pPr>
      <w:r>
        <w:rPr>
          <w:rFonts w:ascii="仿宋_GB2312" w:hAnsi="仿宋_GB2312" w:cs="仿宋_GB2312" w:eastAsia="仿宋_GB2312"/>
        </w:rPr>
        <w:t>详见附件：9应急预案.docx</w:t>
      </w:r>
    </w:p>
    <w:p>
      <w:pPr>
        <w:pStyle w:val="null3"/>
        <w:ind w:firstLine="960"/>
      </w:pPr>
      <w:r>
        <w:rPr>
          <w:rFonts w:ascii="仿宋_GB2312" w:hAnsi="仿宋_GB2312" w:cs="仿宋_GB2312" w:eastAsia="仿宋_GB2312"/>
        </w:rPr>
        <w:t>详见附件：10保密方案.docx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详见附件：12服务承诺.docx</w:t>
      </w:r>
    </w:p>
    <w:p>
      <w:pPr>
        <w:pStyle w:val="null3"/>
        <w:ind w:firstLine="960"/>
      </w:pPr>
      <w:r>
        <w:rPr>
          <w:rFonts w:ascii="仿宋_GB2312" w:hAnsi="仿宋_GB2312" w:cs="仿宋_GB2312" w:eastAsia="仿宋_GB2312"/>
        </w:rPr>
        <w:t>详见附件：13其他资料.docx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