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版本号：ZK-GK-2026-05120260630004</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2026-2027年住房建设领域综合辅助服务项目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ZK-GK-2026-051</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陕西梓鲲企业管理有限公司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陕西梓鲲企业管理有限公司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2026-2027年住房建设领域综合辅助服务项目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ZK-GK-2026-051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2026-2027年住房建设领域综合辅助服务项目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西安国家民用航天产业基地“区政合一”改革职责分工，开发建设局承担城市建设、工程质量安全、房地产市场、住房保障、投诉信访等重要职能。截至目前，辖区规模以上建筑业企业68家、在库房地产企业55家、房地产经纪机构68家、在建工地40个，监管对象多、业务链条长、群众诉求集中，日常投诉处置、信访办理、执法检查、资料管理、平台运维等工作量持续攀升，现有力量难以满足精细化、常态化管理需求，需引入第三方力量提供综合辅助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采购包1（2026-2027年住房建设领域综合辅助服务项目）：属于专门面向小微企业采购。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1、主体资格：合法注册的法人或其他组织的营业执照等证明文件，自然人的身份证明</w:t>
      </w:r>
    </w:p>
    <w:p>
      <w:pPr>
        <w:pStyle w:val="null3"/>
      </w:pPr>
      <w:r>
        <w:rPr>
          <w:rFonts w:ascii="仿宋_GB2312" w:hAnsi="仿宋_GB2312" w:cs="仿宋_GB2312" w:eastAsia="仿宋_GB2312"/>
        </w:rPr>
        <w:t>2、法定代表人（主要负责人）委托授权书\身份证明：投标人应授权合法的人员参加投标全过程，法定代表人（主要负责人）委托代理人参加投标时，应提供法定代表人（主要负责人）委托授权书及授权代表身份证、授权代表本单位证明（养老保险缴纳证明或劳动合同）；法定代表人（主要负责人）亲自参加投标时，应提供法定代表人（主要负责人）身份证明书。</w:t>
      </w:r>
    </w:p>
    <w:p>
      <w:pPr>
        <w:pStyle w:val="null3"/>
      </w:pPr>
      <w:r>
        <w:rPr>
          <w:rFonts w:ascii="仿宋_GB2312" w:hAnsi="仿宋_GB2312" w:cs="仿宋_GB2312" w:eastAsia="仿宋_GB2312"/>
        </w:rPr>
        <w:t>3、具备履行合同所必需的设备和专业技术能力：具备履行合同所必需的设备和专业技术能力的证明材料或承诺书。</w:t>
      </w:r>
    </w:p>
    <w:p>
      <w:pPr>
        <w:pStyle w:val="null3"/>
      </w:pPr>
      <w:r>
        <w:rPr>
          <w:rFonts w:ascii="仿宋_GB2312" w:hAnsi="仿宋_GB2312" w:cs="仿宋_GB2312" w:eastAsia="仿宋_GB2312"/>
        </w:rPr>
        <w:t>4、有依法缴纳税收和社会保障资金的良好记录：提供2026年至今任意1个月的纳税证明或完税证明(纳税证明或完税证明上应有代收机构或税务机关的公章或业务章)，依法免税的单位应提供相关证明材料;提供2026年至今任意1个月的社保缴纳证明，依法不需要缴纳社会保障资金的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w:t>
      </w:r>
    </w:p>
    <w:p>
      <w:pPr>
        <w:pStyle w:val="null3"/>
      </w:pPr>
      <w:r>
        <w:rPr>
          <w:rFonts w:ascii="仿宋_GB2312" w:hAnsi="仿宋_GB2312" w:cs="仿宋_GB2312" w:eastAsia="仿宋_GB2312"/>
        </w:rPr>
        <w:t>6、信誉要求：投标人未被列入“失信被执行人”、“重大税收违法案件当事人名单”和“政府采购严重违法失信行为记录名单”。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029-85688768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陕西梓鲲企业管理有限公司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西安市高新区锦业一路与丈八二路十字东南角永威时代中心30楼3001室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栾静、陶莹、姚博怀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029-81142611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采购包1：2,760,200.00元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陕西梓鲲企业管理有限公司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陕西梓鲲企业管理有限公司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陕西梓鲲企业管理有限公司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陕西梓鲲企业管理有限公司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联系人：姚博怀</w:t>
      </w:r>
    </w:p>
    <w:p>
      <w:pPr>
        <w:pStyle w:val="null3"/>
      </w:pPr>
      <w:r>
        <w:rPr>
          <w:rFonts w:ascii="仿宋_GB2312" w:hAnsi="仿宋_GB2312" w:cs="仿宋_GB2312" w:eastAsia="仿宋_GB2312"/>
        </w:rPr>
        <w:t>联系电话：029-81142611</w:t>
      </w:r>
    </w:p>
    <w:p>
      <w:pPr>
        <w:pStyle w:val="null3"/>
      </w:pPr>
      <w:r>
        <w:rPr>
          <w:rFonts w:ascii="仿宋_GB2312" w:hAnsi="仿宋_GB2312" w:cs="仿宋_GB2312" w:eastAsia="仿宋_GB2312"/>
        </w:rPr>
        <w:t>地址：陕西省西安市高新区锦业一路与丈八二路十字东南角永威时代中心30楼3001室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国家民用航天产业基地“区政合一”改革职责分工，开发建设局承担城市建设、工程质量安全、房地产市场、住房保障、投诉信访等重要职能。截至目前，辖区规模以上建筑业企业68家、在库房地产企业55家、房地产经纪机构68家、在建工地40个，监管对象多、业务链条长、群众诉求集中，日常投诉处置、信访办理、执法检查、资料管理、平台运维等工作量持续攀升，现有力量难以满足精细化、常态化管理需求，需引入第三方力量提供综合辅助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2,760,200.00</w:t>
      </w:r>
    </w:p>
    <w:p>
      <w:pPr>
        <w:pStyle w:val="null3"/>
      </w:pPr>
      <w:r>
        <w:rPr>
          <w:rFonts w:ascii="仿宋_GB2312" w:hAnsi="仿宋_GB2312" w:cs="仿宋_GB2312" w:eastAsia="仿宋_GB2312"/>
        </w:rPr>
        <w:t>采购包最高限价（元）: 2,760,200.00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为确保开发建设局各项工作顺利开展现计划委托第三方机构为开发建设局提供辅助服务</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2,760,200.00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标的名称：为确保开发建设局各项工作顺利开展现计划委托第三方机构为开发建设局提供辅助服务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05"/>
              <w:ind w:firstLine="400"/>
              <w:jc w:val="left"/>
            </w:pPr>
            <w:r>
              <w:rPr>
                <w:rFonts w:ascii="仿宋_GB2312" w:hAnsi="仿宋_GB2312" w:cs="仿宋_GB2312" w:eastAsia="仿宋_GB2312"/>
                <w:sz w:val="24"/>
              </w:rPr>
              <w:t>一、项目背景</w:t>
            </w:r>
          </w:p>
          <w:p>
            <w:pPr>
              <w:pStyle w:val="null3"/>
              <w:spacing w:after="105"/>
              <w:ind w:firstLine="400"/>
              <w:jc w:val="left"/>
            </w:pPr>
            <w:r>
              <w:rPr>
                <w:rFonts w:ascii="仿宋_GB2312" w:hAnsi="仿宋_GB2312" w:cs="仿宋_GB2312" w:eastAsia="仿宋_GB2312"/>
                <w:sz w:val="24"/>
              </w:rPr>
              <w:t>根据西安国家民用航天产业基地</w:t>
            </w:r>
            <w:r>
              <w:rPr>
                <w:rFonts w:ascii="仿宋_GB2312" w:hAnsi="仿宋_GB2312" w:cs="仿宋_GB2312" w:eastAsia="仿宋_GB2312"/>
                <w:sz w:val="24"/>
              </w:rPr>
              <w:t>“区政合一”改革职责分工，开发建设局承担城市建设、工程质量安全、房地产市场、住房保障、投诉信访等重要职能。截至目前，辖区规模以上建筑业企业68家、在库房地产企业55家、房地产经纪机构68家、在建工地40个，监管对象多、业务链条长、群众诉求集中，日常投诉处置、信访办理、执法检查、资料管理、平台运维等工作量持续攀升，现有力量难以满足精细化、常态化管理需求，需引入第三方力量提供综合辅助支撑。</w:t>
            </w:r>
          </w:p>
          <w:p>
            <w:pPr>
              <w:pStyle w:val="null3"/>
              <w:spacing w:after="105"/>
              <w:ind w:firstLine="400"/>
              <w:jc w:val="left"/>
            </w:pPr>
            <w:r>
              <w:rPr>
                <w:rFonts w:ascii="仿宋_GB2312" w:hAnsi="仿宋_GB2312" w:cs="仿宋_GB2312" w:eastAsia="仿宋_GB2312"/>
                <w:sz w:val="24"/>
              </w:rPr>
              <w:t>二、服务目标</w:t>
            </w:r>
          </w:p>
          <w:p>
            <w:pPr>
              <w:pStyle w:val="null3"/>
              <w:spacing w:after="105"/>
              <w:ind w:firstLine="400"/>
              <w:jc w:val="left"/>
            </w:pPr>
            <w:r>
              <w:rPr>
                <w:rFonts w:ascii="仿宋_GB2312" w:hAnsi="仿宋_GB2312" w:cs="仿宋_GB2312" w:eastAsia="仿宋_GB2312"/>
                <w:sz w:val="24"/>
              </w:rPr>
              <w:t>通过政府采购引入第三方机构，提供标准化、规范化、专业化综合辅助服务，实现投诉工单闭环处置、信访事项规范办理、执法现场全程辅助、资料台账精准管理、政策咨询高效响应、平台业务有序运转，全面提升住房建设领域工作质效、群众满意度与行业治理能力，确保各项工作依法依规、平稳可控。</w:t>
            </w:r>
          </w:p>
          <w:p>
            <w:pPr>
              <w:pStyle w:val="null3"/>
              <w:spacing w:after="105"/>
              <w:ind w:firstLine="400"/>
              <w:jc w:val="left"/>
            </w:pPr>
            <w:r>
              <w:rPr>
                <w:rFonts w:ascii="仿宋_GB2312" w:hAnsi="仿宋_GB2312" w:cs="仿宋_GB2312" w:eastAsia="仿宋_GB2312"/>
                <w:sz w:val="24"/>
              </w:rPr>
              <w:t>三、服务内容及范围</w:t>
            </w:r>
          </w:p>
          <w:p>
            <w:pPr>
              <w:pStyle w:val="null3"/>
              <w:spacing w:after="105"/>
              <w:ind w:firstLine="400"/>
              <w:jc w:val="left"/>
            </w:pPr>
            <w:r>
              <w:rPr>
                <w:rFonts w:ascii="仿宋_GB2312" w:hAnsi="仿宋_GB2312" w:cs="仿宋_GB2312" w:eastAsia="仿宋_GB2312"/>
                <w:sz w:val="24"/>
              </w:rPr>
              <w:t>服务覆盖住房建设领域全链条辅助工作，具体包括</w:t>
            </w:r>
            <w:r>
              <w:rPr>
                <w:rFonts w:ascii="仿宋_GB2312" w:hAnsi="仿宋_GB2312" w:cs="仿宋_GB2312" w:eastAsia="仿宋_GB2312"/>
                <w:sz w:val="24"/>
              </w:rPr>
              <w:t>:</w:t>
            </w:r>
          </w:p>
          <w:p>
            <w:pPr>
              <w:pStyle w:val="null3"/>
              <w:spacing w:after="105"/>
              <w:ind w:firstLine="400"/>
              <w:jc w:val="left"/>
            </w:pPr>
            <w:r>
              <w:rPr>
                <w:rFonts w:ascii="仿宋_GB2312" w:hAnsi="仿宋_GB2312" w:cs="仿宋_GB2312" w:eastAsia="仿宋_GB2312"/>
                <w:sz w:val="24"/>
              </w:rPr>
              <w:t>1.渠道投诉及综合辅助服务:负责协助网上投诉与咨询工单接收、分派、核查、协办、回复闭环;群众现场来访接待、登记、协调处置;局务会、群众见面会等会议筹备、记录、资料整理;交办的临时事项办理。</w:t>
            </w:r>
          </w:p>
          <w:p>
            <w:pPr>
              <w:pStyle w:val="null3"/>
              <w:spacing w:after="105"/>
              <w:ind w:firstLine="400"/>
              <w:jc w:val="left"/>
            </w:pPr>
            <w:r>
              <w:rPr>
                <w:rFonts w:ascii="仿宋_GB2312" w:hAnsi="仿宋_GB2312" w:cs="仿宋_GB2312" w:eastAsia="仿宋_GB2312"/>
                <w:sz w:val="24"/>
              </w:rPr>
              <w:t>2.信访事项处置辅助服务:负责协助信访信息整理、更新、统计;现场调查取证、秩序维护、政策解释;信访台账建立、分类、归档;年度信访统计报表编制;提供现场工作所需车辆保障；交办的临时事项办理。</w:t>
            </w:r>
          </w:p>
          <w:p>
            <w:pPr>
              <w:pStyle w:val="null3"/>
              <w:spacing w:after="105"/>
              <w:ind w:firstLine="400"/>
              <w:jc w:val="left"/>
            </w:pPr>
            <w:r>
              <w:rPr>
                <w:rFonts w:ascii="仿宋_GB2312" w:hAnsi="仿宋_GB2312" w:cs="仿宋_GB2312" w:eastAsia="仿宋_GB2312"/>
                <w:sz w:val="24"/>
              </w:rPr>
              <w:t>3.执法现场类辅助服务:负责协助住房租赁机构、房地产经纪机构、商品房销售现场、公租房、两类企业安全等相关检查，负责协助现场记录、信息登记、现场照片拍摄、普法宣传；提供现场工作所需车辆保障；交办的临时事项办理。</w:t>
            </w:r>
          </w:p>
          <w:p>
            <w:pPr>
              <w:pStyle w:val="null3"/>
              <w:spacing w:after="105"/>
              <w:ind w:firstLine="400"/>
              <w:jc w:val="left"/>
            </w:pPr>
            <w:r>
              <w:rPr>
                <w:rFonts w:ascii="仿宋_GB2312" w:hAnsi="仿宋_GB2312" w:cs="仿宋_GB2312" w:eastAsia="仿宋_GB2312"/>
                <w:sz w:val="24"/>
              </w:rPr>
              <w:t>4.资料整理及政策业务咨询辅助服务:负责协助业务资料收集、分类、归档、台账维护;业务申报资料初审、记录、流转;平台业务办理、数据统计、分析报告出具;现场政策咨询解读与记录;住房建设领域其他资料整理、数据分析及交办的临时工作。</w:t>
            </w:r>
          </w:p>
          <w:p>
            <w:pPr>
              <w:pStyle w:val="null3"/>
              <w:spacing w:after="105"/>
              <w:ind w:firstLine="400"/>
              <w:jc w:val="left"/>
            </w:pPr>
            <w:r>
              <w:rPr>
                <w:rFonts w:ascii="仿宋_GB2312" w:hAnsi="仿宋_GB2312" w:cs="仿宋_GB2312" w:eastAsia="仿宋_GB2312"/>
                <w:sz w:val="24"/>
              </w:rPr>
              <w:t>四、服务期限</w:t>
            </w:r>
          </w:p>
          <w:p>
            <w:pPr>
              <w:pStyle w:val="null3"/>
              <w:spacing w:after="105"/>
              <w:ind w:firstLine="400"/>
              <w:jc w:val="left"/>
            </w:pPr>
            <w:r>
              <w:rPr>
                <w:rFonts w:ascii="仿宋_GB2312" w:hAnsi="仿宋_GB2312" w:cs="仿宋_GB2312" w:eastAsia="仿宋_GB2312"/>
                <w:sz w:val="24"/>
              </w:rPr>
              <w:t>服务期</w:t>
            </w:r>
            <w:r>
              <w:rPr>
                <w:rFonts w:ascii="仿宋_GB2312" w:hAnsi="仿宋_GB2312" w:cs="仿宋_GB2312" w:eastAsia="仿宋_GB2312"/>
                <w:sz w:val="24"/>
              </w:rPr>
              <w:t>2年（合同每年签订一次。合同到期后，对服务单位进行综合考评，以实际考评结果决定是否续签合同）。</w:t>
            </w:r>
          </w:p>
          <w:p>
            <w:pPr>
              <w:pStyle w:val="null3"/>
              <w:spacing w:after="105"/>
              <w:ind w:firstLine="400"/>
              <w:jc w:val="left"/>
            </w:pPr>
            <w:r>
              <w:rPr>
                <w:rFonts w:ascii="仿宋_GB2312" w:hAnsi="仿宋_GB2312" w:cs="仿宋_GB2312" w:eastAsia="仿宋_GB2312"/>
                <w:sz w:val="24"/>
              </w:rPr>
              <w:t>五、服务标准</w:t>
            </w:r>
          </w:p>
          <w:p>
            <w:pPr>
              <w:pStyle w:val="null3"/>
              <w:spacing w:after="105"/>
              <w:ind w:firstLine="400"/>
              <w:jc w:val="left"/>
            </w:pPr>
            <w:r>
              <w:rPr>
                <w:rFonts w:ascii="仿宋_GB2312" w:hAnsi="仿宋_GB2312" w:cs="仿宋_GB2312" w:eastAsia="仿宋_GB2312"/>
                <w:sz w:val="24"/>
              </w:rPr>
              <w:t>1.响应标准：投诉工单及时响应、限时办结、闭环回复；现场任务随叫随到、配合到位、处置规范。</w:t>
            </w:r>
          </w:p>
          <w:p>
            <w:pPr>
              <w:pStyle w:val="null3"/>
              <w:spacing w:after="105"/>
              <w:jc w:val="both"/>
            </w:pPr>
            <w:r>
              <w:rPr>
                <w:rFonts w:ascii="仿宋_GB2312" w:hAnsi="仿宋_GB2312" w:cs="仿宋_GB2312" w:eastAsia="仿宋_GB2312"/>
                <w:sz w:val="24"/>
              </w:rPr>
              <w:t>3.质量标准：台账清晰、资料齐全、数据准确、归档规范；严格遵守保密规定，杜绝泄密。</w:t>
            </w:r>
          </w:p>
          <w:p>
            <w:pPr>
              <w:pStyle w:val="null3"/>
              <w:spacing w:after="105"/>
              <w:jc w:val="both"/>
            </w:pPr>
            <w:r>
              <w:rPr>
                <w:rFonts w:ascii="仿宋_GB2312" w:hAnsi="仿宋_GB2312" w:cs="仿宋_GB2312" w:eastAsia="仿宋_GB2312"/>
                <w:sz w:val="24"/>
              </w:rPr>
              <w:t>六、</w:t>
            </w:r>
            <w:r>
              <w:rPr>
                <w:rFonts w:ascii="仿宋_GB2312" w:hAnsi="仿宋_GB2312" w:cs="仿宋_GB2312" w:eastAsia="仿宋_GB2312"/>
                <w:sz w:val="24"/>
                <w:b/>
              </w:rPr>
              <w:t>采购标的、数量</w:t>
            </w:r>
            <w:r>
              <w:rPr>
                <w:rFonts w:ascii="仿宋_GB2312" w:hAnsi="仿宋_GB2312" w:cs="仿宋_GB2312" w:eastAsia="仿宋_GB2312"/>
                <w:sz w:val="24"/>
                <w:b/>
              </w:rPr>
              <w:t>及限价（一年）</w:t>
            </w:r>
          </w:p>
          <w:tbl>
            <w:tblPr>
              <w:tblBorders>
                <w:top w:val="none" w:color="000000" w:sz="4"/>
                <w:left w:val="none" w:color="000000" w:sz="4"/>
                <w:bottom w:val="none" w:color="000000" w:sz="4"/>
                <w:right w:val="none" w:color="000000" w:sz="4"/>
                <w:insideH w:val="none"/>
                <w:insideV w:val="none"/>
              </w:tblBorders>
            </w:tblPr>
            <w:tblGrid>
              <w:gridCol w:w="256"/>
              <w:gridCol w:w="1242"/>
              <w:gridCol w:w="672"/>
              <w:gridCol w:w="384"/>
            </w:tblGrid>
            <w:tr>
              <w:tc>
                <w:tcPr>
                  <w:tcW w:type="dxa" w:w="2554"/>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05"/>
                    <w:jc w:val="center"/>
                  </w:pPr>
                  <w:r>
                    <w:rPr>
                      <w:rFonts w:ascii="仿宋_GB2312" w:hAnsi="仿宋_GB2312" w:cs="仿宋_GB2312" w:eastAsia="仿宋_GB2312"/>
                      <w:sz w:val="24"/>
                    </w:rPr>
                    <w:t>2026-2027年住房建设领域综合辅助服务项目</w:t>
                  </w:r>
                </w:p>
              </w:tc>
            </w:tr>
            <w:tr>
              <w:tc>
                <w:tcPr>
                  <w:tcW w:type="dxa" w:w="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12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业务种类（内容）</w:t>
                  </w:r>
                </w:p>
              </w:tc>
              <w:tc>
                <w:tcPr>
                  <w:tcW w:type="dxa" w:w="6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数量</w:t>
                  </w:r>
                </w:p>
              </w:tc>
              <w:tc>
                <w:tcPr>
                  <w:tcW w:type="dxa" w:w="3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单价限价（元）</w:t>
                  </w:r>
                </w:p>
              </w:tc>
            </w:tr>
            <w:tr>
              <w:tc>
                <w:tcPr>
                  <w:tcW w:type="dxa" w:w="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ind w:left="45" w:right="30"/>
                    <w:jc w:val="both"/>
                  </w:pPr>
                  <w:r>
                    <w:rPr>
                      <w:rFonts w:ascii="仿宋_GB2312" w:hAnsi="仿宋_GB2312" w:cs="仿宋_GB2312" w:eastAsia="仿宋_GB2312"/>
                      <w:sz w:val="24"/>
                    </w:rPr>
                    <w:t>渠道投诉及综合辅助服务事项</w:t>
                  </w:r>
                </w:p>
              </w:tc>
              <w:tc>
                <w:tcPr>
                  <w:tcW w:type="dxa" w:w="6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ind w:left="45" w:right="30" w:firstLine="479"/>
                    <w:jc w:val="both"/>
                  </w:pPr>
                  <w:r>
                    <w:rPr>
                      <w:rFonts w:ascii="仿宋_GB2312" w:hAnsi="仿宋_GB2312" w:cs="仿宋_GB2312" w:eastAsia="仿宋_GB2312"/>
                      <w:sz w:val="24"/>
                    </w:rPr>
                    <w:t>4250（件）</w:t>
                  </w:r>
                </w:p>
              </w:tc>
              <w:tc>
                <w:tcPr>
                  <w:tcW w:type="dxa" w:w="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jc w:val="center"/>
                  </w:pPr>
                  <w:r>
                    <w:rPr>
                      <w:rFonts w:ascii="仿宋_GB2312" w:hAnsi="仿宋_GB2312" w:cs="仿宋_GB2312" w:eastAsia="仿宋_GB2312"/>
                      <w:sz w:val="24"/>
                    </w:rPr>
                    <w:t>86.00</w:t>
                  </w:r>
                </w:p>
              </w:tc>
            </w:tr>
            <w:tr>
              <w:tc>
                <w:tcPr>
                  <w:tcW w:type="dxa" w:w="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ind w:left="45" w:right="30"/>
                    <w:jc w:val="both"/>
                  </w:pPr>
                  <w:r>
                    <w:rPr>
                      <w:rFonts w:ascii="仿宋_GB2312" w:hAnsi="仿宋_GB2312" w:cs="仿宋_GB2312" w:eastAsia="仿宋_GB2312"/>
                      <w:sz w:val="24"/>
                    </w:rPr>
                    <w:t>信访事项处置辅助服务</w:t>
                  </w:r>
                </w:p>
              </w:tc>
              <w:tc>
                <w:tcPr>
                  <w:tcW w:type="dxa" w:w="6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ind w:left="45" w:right="30" w:firstLine="479"/>
                    <w:jc w:val="both"/>
                  </w:pPr>
                  <w:r>
                    <w:rPr>
                      <w:rFonts w:ascii="仿宋_GB2312" w:hAnsi="仿宋_GB2312" w:cs="仿宋_GB2312" w:eastAsia="仿宋_GB2312"/>
                      <w:sz w:val="24"/>
                    </w:rPr>
                    <w:t>830（件）</w:t>
                  </w:r>
                </w:p>
              </w:tc>
              <w:tc>
                <w:tcPr>
                  <w:tcW w:type="dxa" w:w="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jc w:val="center"/>
                  </w:pPr>
                  <w:r>
                    <w:rPr>
                      <w:rFonts w:ascii="仿宋_GB2312" w:hAnsi="仿宋_GB2312" w:cs="仿宋_GB2312" w:eastAsia="仿宋_GB2312"/>
                      <w:sz w:val="24"/>
                    </w:rPr>
                    <w:t>185.00</w:t>
                  </w:r>
                </w:p>
              </w:tc>
            </w:tr>
            <w:tr>
              <w:tc>
                <w:tcPr>
                  <w:tcW w:type="dxa" w:w="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ind w:left="45" w:right="30"/>
                    <w:jc w:val="both"/>
                  </w:pPr>
                  <w:r>
                    <w:rPr>
                      <w:rFonts w:ascii="仿宋_GB2312" w:hAnsi="仿宋_GB2312" w:cs="仿宋_GB2312" w:eastAsia="仿宋_GB2312"/>
                      <w:sz w:val="24"/>
                    </w:rPr>
                    <w:t>执法现场类辅助服务</w:t>
                  </w:r>
                </w:p>
              </w:tc>
              <w:tc>
                <w:tcPr>
                  <w:tcW w:type="dxa" w:w="6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ind w:left="45" w:right="30" w:firstLine="479"/>
                    <w:jc w:val="both"/>
                  </w:pPr>
                  <w:r>
                    <w:rPr>
                      <w:rFonts w:ascii="仿宋_GB2312" w:hAnsi="仿宋_GB2312" w:cs="仿宋_GB2312" w:eastAsia="仿宋_GB2312"/>
                      <w:sz w:val="24"/>
                    </w:rPr>
                    <w:t>1260（次）</w:t>
                  </w:r>
                </w:p>
              </w:tc>
              <w:tc>
                <w:tcPr>
                  <w:tcW w:type="dxa" w:w="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jc w:val="center"/>
                  </w:pPr>
                  <w:r>
                    <w:rPr>
                      <w:rFonts w:ascii="仿宋_GB2312" w:hAnsi="仿宋_GB2312" w:cs="仿宋_GB2312" w:eastAsia="仿宋_GB2312"/>
                      <w:sz w:val="24"/>
                    </w:rPr>
                    <w:t>185.00</w:t>
                  </w:r>
                </w:p>
              </w:tc>
            </w:tr>
            <w:tr>
              <w:tc>
                <w:tcPr>
                  <w:tcW w:type="dxa" w:w="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ind w:left="45" w:right="30"/>
                    <w:jc w:val="both"/>
                  </w:pPr>
                  <w:r>
                    <w:rPr>
                      <w:rFonts w:ascii="仿宋_GB2312" w:hAnsi="仿宋_GB2312" w:cs="仿宋_GB2312" w:eastAsia="仿宋_GB2312"/>
                      <w:sz w:val="24"/>
                    </w:rPr>
                    <w:t>资料整理及政策业务咨询辅助服务</w:t>
                  </w:r>
                </w:p>
              </w:tc>
              <w:tc>
                <w:tcPr>
                  <w:tcW w:type="dxa" w:w="6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ind w:left="45" w:right="30" w:firstLine="479"/>
                    <w:jc w:val="both"/>
                  </w:pPr>
                  <w:r>
                    <w:rPr>
                      <w:rFonts w:ascii="仿宋_GB2312" w:hAnsi="仿宋_GB2312" w:cs="仿宋_GB2312" w:eastAsia="仿宋_GB2312"/>
                      <w:sz w:val="24"/>
                    </w:rPr>
                    <w:t>13800（件）</w:t>
                  </w:r>
                </w:p>
              </w:tc>
              <w:tc>
                <w:tcPr>
                  <w:tcW w:type="dxa" w:w="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after="105"/>
                    <w:jc w:val="center"/>
                  </w:pPr>
                  <w:r>
                    <w:rPr>
                      <w:rFonts w:ascii="仿宋_GB2312" w:hAnsi="仿宋_GB2312" w:cs="仿宋_GB2312" w:eastAsia="仿宋_GB2312"/>
                      <w:sz w:val="24"/>
                    </w:rPr>
                    <w:t>45.5</w:t>
                  </w:r>
                </w:p>
              </w:tc>
            </w:tr>
          </w:tbl>
          <w:p>
            <w:pPr>
              <w:pStyle w:val="null3"/>
              <w:spacing w:after="105"/>
              <w:jc w:val="left"/>
            </w:pPr>
            <w:r>
              <w:rPr>
                <w:rFonts w:ascii="仿宋_GB2312" w:hAnsi="仿宋_GB2312" w:cs="仿宋_GB2312" w:eastAsia="仿宋_GB2312"/>
                <w:sz w:val="24"/>
                <w:b/>
              </w:rPr>
              <w:t>以上数量为一年内服务项目暂定数量，具体以实际完成数量为准。供应商各分项报价均不能大于各项目单价限价。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服务期2年（合同每年签订一次。合同到期后，对服务单位进行综合考评，以实际考评结果决定是否续签合同）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进度款，自乙方正式开展服务，完成第一个月任务，达到付款条件起20个工作日内，支付合同总金额的10.0%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进度款，完成第二个月任务，达到付款条件起20个工作日内，支付合同总金额的10.0%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进度款，完成第三个月任务，达到付款条件起20个工作日内，支付合同总金额的10.0%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进度款，完成第四个月任务，达到付款条件起20个工作日内，支付合同总金额的10.0%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进度款，完成第五个月任务，达到付款条件起20个工作日内，支付合同总金额的10.0%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进度款，完成第六个月任务，达到付款条件起20个工作日内，支付合同总金额的10.0%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进度款，完成第七个月任务，达到付款条件起20个工作日内，支付合同总金额的10.0%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进度款，完成第八个月任务，达到付款条件起20个工作日内，支付合同总金额的10.0%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进度款，完成第九个月任务，达到付款条件起20个工作日内，支付合同总金额的10.0%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进度款，累计付款至总价 90%后暂停按月支付;乙方每月结算前需提交当期服务确认单并开具等额有效发票，持中标通知书、服务合同、合规发票及相关资料办理结算，完成本年度全部任务后，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中标人在领取中标通知书时提供一正两副纸质投标文件及电子投标文件一份（U盘或移动硬盘；投标文件为Word版本和PDF版本，PDF文件为签字、盖章的完整正本扫描件）。 装订：纸质投标文件采用书籍（胶装）方式装订成册，与电子投标文件一致的签字、盖章的完整版本。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财务状况报告（以下三种资料提供任意一种即可）：（1）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2）其开标前三个月内基本开户银行出具的资信证明。（3）信用担保机构出具的投标担保函。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投标文件中提供复印件或扫描件并进行电子签章）。</w:t>
            </w:r>
          </w:p>
        </w:tc>
        <w:tc>
          <w:tcPr>
            <w:tcW w:type="dxa" w:w="1661"/>
          </w:tcPr>
          <w:p>
            <w:pPr>
              <w:pStyle w:val="null3"/>
            </w:pPr>
            <w:r>
              <w:rPr>
                <w:rFonts w:ascii="仿宋_GB2312" w:hAnsi="仿宋_GB2312" w:cs="仿宋_GB2312" w:eastAsia="仿宋_GB2312"/>
              </w:rPr>
              <w:t>供应商应提交的相关资格证明材料.docx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合法注册的法人或其他组织的营业执照等证明文件，自然人的身份证明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 商务应答表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投标人应授权合法的人员参加投标全过程，法定代表人（主要负责人）委托代理人参加投标时，应提供法定代表人（主要负责人）委托授权书及授权代表身份证、授权代表本单位证明（养老保险缴纳证明或劳动合同）；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供应商应提交的相关资格证明材料.docx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具备履行合同所必需的设备和专业技术能力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具备履行合同所必需的设备和专业技术能力的证明材料或承诺书。</w:t>
            </w:r>
          </w:p>
        </w:tc>
        <w:tc>
          <w:tcPr>
            <w:tcW w:type="dxa" w:w="1661"/>
          </w:tcPr>
          <w:p>
            <w:pPr>
              <w:pStyle w:val="null3"/>
            </w:pPr>
            <w:r>
              <w:rPr>
                <w:rFonts w:ascii="仿宋_GB2312" w:hAnsi="仿宋_GB2312" w:cs="仿宋_GB2312" w:eastAsia="仿宋_GB2312"/>
              </w:rPr>
              <w:t>供应商应提交的相关资格证明材料.docx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2026年至今任意1个月的纳税证明或完税证明(纳税证明或完税证明上应有代收机构或税务机关的公章或业务章)，依法免税的单位应提供相关证明材料;提供2026年至今任意1个月的社保缴纳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供应商应提交的相关资格证明材料.docx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商务应答表</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分项报价表.docx 商务应答表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供应商应提交的相关资格证明材料.docx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供应商应提交的相关资格证明材料.docx 投标函 服务内容及服务要求应答表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供应商应提交的相关资格证明材料.docx 商务应答表 服务内容及服务要求应答表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主要项目团队配备</w:t>
            </w:r>
          </w:p>
        </w:tc>
        <w:tc>
          <w:tcPr>
            <w:tcW w:type="dxa" w:w="2492"/>
          </w:tcPr>
          <w:p>
            <w:pPr>
              <w:pStyle w:val="null3"/>
            </w:pPr>
            <w:r>
              <w:rPr>
                <w:rFonts w:ascii="仿宋_GB2312" w:hAnsi="仿宋_GB2312" w:cs="仿宋_GB2312" w:eastAsia="仿宋_GB2312"/>
              </w:rPr>
              <w:t>1、评委根据投标人提供的服务团队是否健全合理，人员配置健全科学合理、岗责明确、有相关经验得 10分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服务方案响应格式.docx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对项目的总体理解及认识</w:t>
            </w:r>
          </w:p>
        </w:tc>
        <w:tc>
          <w:tcPr>
            <w:tcW w:type="dxa" w:w="2492"/>
          </w:tcPr>
          <w:p>
            <w:pPr>
              <w:pStyle w:val="null3"/>
            </w:pPr>
            <w:r>
              <w:rPr>
                <w:rFonts w:ascii="仿宋_GB2312" w:hAnsi="仿宋_GB2312" w:cs="仿宋_GB2312" w:eastAsia="仿宋_GB2312"/>
              </w:rPr>
              <w:t>投标人提供对项目的总体理解及认识。 对项目总体的认识准确、合理、规范，可行性强得10分；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 无相关内容描述不得分。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服务方案响应格式.docx</w:t>
            </w:r>
          </w:p>
        </w:tc>
      </w:tr>
      <w:tr>
        <w:tc>
          <w:tcPr>
            <w:tcW w:type="dxa" w:w="831"/>
            <w:vMerge/>
          </w:tcPr>
          <w:p/>
        </w:tc>
        <w:tc>
          <w:tcPr>
            <w:tcW w:type="dxa" w:w="1661"/>
          </w:tcPr>
          <w:p>
            <w:pPr>
              <w:pStyle w:val="null3"/>
            </w:pPr>
            <w:r>
              <w:rPr>
                <w:rFonts w:ascii="仿宋_GB2312" w:hAnsi="仿宋_GB2312" w:cs="仿宋_GB2312" w:eastAsia="仿宋_GB2312"/>
              </w:rPr>
              <w:t>渠道投诉及综合辅助服务工作方案</w:t>
            </w:r>
          </w:p>
        </w:tc>
        <w:tc>
          <w:tcPr>
            <w:tcW w:type="dxa" w:w="2492"/>
          </w:tcPr>
          <w:p>
            <w:pPr>
              <w:pStyle w:val="null3"/>
            </w:pPr>
            <w:r>
              <w:rPr>
                <w:rFonts w:ascii="仿宋_GB2312" w:hAnsi="仿宋_GB2312" w:cs="仿宋_GB2312" w:eastAsia="仿宋_GB2312"/>
              </w:rPr>
              <w:t>评委根据投标人提供的渠道投诉及综合辅助服务工作方案等综合评判。包括：渠道投诉及综合辅助服务：负责协助网上投诉与咨询工单接收、分派、核查、协办、回复闭环；群众现场来访接待、登记、协调处置；局务会、群众见面会等会议筹备、记录、资料整理；交办临时事项办理方案详细完整全面、科学、合理、针对性强、技术可行，完全满足招标文件要求得 10 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 无相关内容描述不得分。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服务方案响应格式.docx</w:t>
            </w:r>
          </w:p>
        </w:tc>
      </w:tr>
      <w:tr>
        <w:tc>
          <w:tcPr>
            <w:tcW w:type="dxa" w:w="831"/>
            <w:vMerge/>
          </w:tcPr>
          <w:p/>
        </w:tc>
        <w:tc>
          <w:tcPr>
            <w:tcW w:type="dxa" w:w="1661"/>
          </w:tcPr>
          <w:p>
            <w:pPr>
              <w:pStyle w:val="null3"/>
            </w:pPr>
            <w:r>
              <w:rPr>
                <w:rFonts w:ascii="仿宋_GB2312" w:hAnsi="仿宋_GB2312" w:cs="仿宋_GB2312" w:eastAsia="仿宋_GB2312"/>
              </w:rPr>
              <w:t>信访事项处置辅助服务工作方案</w:t>
            </w:r>
          </w:p>
        </w:tc>
        <w:tc>
          <w:tcPr>
            <w:tcW w:type="dxa" w:w="2492"/>
          </w:tcPr>
          <w:p>
            <w:pPr>
              <w:pStyle w:val="null3"/>
            </w:pPr>
            <w:r>
              <w:rPr>
                <w:rFonts w:ascii="仿宋_GB2312" w:hAnsi="仿宋_GB2312" w:cs="仿宋_GB2312" w:eastAsia="仿宋_GB2312"/>
              </w:rPr>
              <w:t>评委根据投标人提供的信访事项处置辅助服务工作方案等综进行判。方案详细完整全面、科学、合理、针对性强、技术可行，完全满足招标文件要求得 10 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服务方案响应格式.docx</w:t>
            </w:r>
          </w:p>
        </w:tc>
      </w:tr>
      <w:tr>
        <w:tc>
          <w:tcPr>
            <w:tcW w:type="dxa" w:w="831"/>
            <w:vMerge/>
          </w:tcPr>
          <w:p/>
        </w:tc>
        <w:tc>
          <w:tcPr>
            <w:tcW w:type="dxa" w:w="1661"/>
          </w:tcPr>
          <w:p>
            <w:pPr>
              <w:pStyle w:val="null3"/>
            </w:pPr>
            <w:r>
              <w:rPr>
                <w:rFonts w:ascii="仿宋_GB2312" w:hAnsi="仿宋_GB2312" w:cs="仿宋_GB2312" w:eastAsia="仿宋_GB2312"/>
              </w:rPr>
              <w:t>执法现场类辅助服务工作方案</w:t>
            </w:r>
          </w:p>
        </w:tc>
        <w:tc>
          <w:tcPr>
            <w:tcW w:type="dxa" w:w="2492"/>
          </w:tcPr>
          <w:p>
            <w:pPr>
              <w:pStyle w:val="null3"/>
            </w:pPr>
            <w:r>
              <w:rPr>
                <w:rFonts w:ascii="仿宋_GB2312" w:hAnsi="仿宋_GB2312" w:cs="仿宋_GB2312" w:eastAsia="仿宋_GB2312"/>
              </w:rPr>
              <w:t>评标委员会据投标人提供的执法现场类辅助服务工作方案等综合评判。包括：负责协助住房租赁机构、房地产经纪机构、商品房销售现场、公租房、两类企业安全等相关检查，负责协助现场记录、信息登记、现场照片拍摄、普法宣传等内容。方案详细完整全面、科学、合理、针对性强、技术可行，完全满足招标文件要求得 10 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服务方案响应格式.docx</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资料整理及政策业务咨询辅助服务工作方案</w:t>
            </w:r>
          </w:p>
        </w:tc>
        <w:tc>
          <w:tcPr>
            <w:tcW w:type="dxa" w:w="2492"/>
          </w:tcPr>
          <w:p>
            <w:pPr>
              <w:pStyle w:val="null3"/>
            </w:pPr>
            <w:r>
              <w:rPr>
                <w:rFonts w:ascii="仿宋_GB2312" w:hAnsi="仿宋_GB2312" w:cs="仿宋_GB2312" w:eastAsia="仿宋_GB2312"/>
              </w:rPr>
              <w:t>评委根据投标人提供的资料整理及政策业务咨询辅助服务包括：负责协助业务资料收集、分类、归档、台账维护；业务申报资料初审、记录、流转；平台业务办理、数据统计、分析报告出具；现场政策咨询解读与记录；住房建设领域其他资料整理、数据分析及交办的临时等工作方案综合评判。方案详细完整全面、科学、合理、针对性强、技术可行，完全满足招标文件要求得 10 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服务方案响应格式.docx</w:t>
            </w:r>
          </w:p>
        </w:tc>
      </w:tr>
      <w:tr>
        <w:tc>
          <w:tcPr>
            <w:tcW w:type="dxa" w:w="831"/>
            <w:vMerge/>
          </w:tcPr>
          <w:p/>
        </w:tc>
        <w:tc>
          <w:tcPr>
            <w:tcW w:type="dxa" w:w="1661"/>
          </w:tcPr>
          <w:p>
            <w:pPr>
              <w:pStyle w:val="null3"/>
            </w:pPr>
            <w:r>
              <w:rPr>
                <w:rFonts w:ascii="仿宋_GB2312" w:hAnsi="仿宋_GB2312" w:cs="仿宋_GB2312" w:eastAsia="仿宋_GB2312"/>
              </w:rPr>
              <w:t>保障服务质量管理制度</w:t>
            </w:r>
          </w:p>
        </w:tc>
        <w:tc>
          <w:tcPr>
            <w:tcW w:type="dxa" w:w="2492"/>
          </w:tcPr>
          <w:p>
            <w:pPr>
              <w:pStyle w:val="null3"/>
            </w:pPr>
            <w:r>
              <w:rPr>
                <w:rFonts w:ascii="仿宋_GB2312" w:hAnsi="仿宋_GB2312" w:cs="仿宋_GB2312" w:eastAsia="仿宋_GB2312"/>
              </w:rPr>
              <w:t>评委根据投标人提供的保障服务质量的管理制度、内部管理的职责分工、日常管理制度和考核办法等综合评判。合理、完整、明确、可行、完全符合项目管理要求得 10 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服务方案响应格式.docx</w:t>
            </w:r>
          </w:p>
        </w:tc>
      </w:tr>
      <w:tr>
        <w:tc>
          <w:tcPr>
            <w:tcW w:type="dxa" w:w="831"/>
            <w:vMerge/>
          </w:tcPr>
          <w:p/>
        </w:tc>
        <w:tc>
          <w:tcPr>
            <w:tcW w:type="dxa" w:w="1661"/>
          </w:tcPr>
          <w:p>
            <w:pPr>
              <w:pStyle w:val="null3"/>
            </w:pPr>
            <w:r>
              <w:rPr>
                <w:rFonts w:ascii="仿宋_GB2312" w:hAnsi="仿宋_GB2312" w:cs="仿宋_GB2312" w:eastAsia="仿宋_GB2312"/>
              </w:rPr>
              <w:t>培训服务组织方案</w:t>
            </w:r>
          </w:p>
        </w:tc>
        <w:tc>
          <w:tcPr>
            <w:tcW w:type="dxa" w:w="2492"/>
          </w:tcPr>
          <w:p>
            <w:pPr>
              <w:pStyle w:val="null3"/>
            </w:pPr>
            <w:r>
              <w:rPr>
                <w:rFonts w:ascii="仿宋_GB2312" w:hAnsi="仿宋_GB2312" w:cs="仿宋_GB2312" w:eastAsia="仿宋_GB2312"/>
              </w:rPr>
              <w:t>评委根据投标人针对本项目培训服务组织方案等综合判定。方案清晰、内容全面且有明确的培训计划和方案，完全满足本项目需要得 5分；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服务方案响应格式.docx</w:t>
            </w:r>
          </w:p>
        </w:tc>
      </w:tr>
      <w:tr>
        <w:tc>
          <w:tcPr>
            <w:tcW w:type="dxa" w:w="831"/>
            <w:vMerge/>
          </w:tcPr>
          <w:p/>
        </w:tc>
        <w:tc>
          <w:tcPr>
            <w:tcW w:type="dxa" w:w="1661"/>
          </w:tcPr>
          <w:p>
            <w:pPr>
              <w:pStyle w:val="null3"/>
            </w:pPr>
            <w:r>
              <w:rPr>
                <w:rFonts w:ascii="仿宋_GB2312" w:hAnsi="仿宋_GB2312" w:cs="仿宋_GB2312" w:eastAsia="仿宋_GB2312"/>
              </w:rPr>
              <w:t>组织协调措施</w:t>
            </w:r>
          </w:p>
        </w:tc>
        <w:tc>
          <w:tcPr>
            <w:tcW w:type="dxa" w:w="2492"/>
          </w:tcPr>
          <w:p>
            <w:pPr>
              <w:pStyle w:val="null3"/>
            </w:pPr>
            <w:r>
              <w:rPr>
                <w:rFonts w:ascii="仿宋_GB2312" w:hAnsi="仿宋_GB2312" w:cs="仿宋_GB2312" w:eastAsia="仿宋_GB2312"/>
              </w:rPr>
              <w:t>针对本项目有具体、可行的组织协调措施，能很好的配合有关部门完成各项工作。措施内容科学具体，针对性强，得10分；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 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服务方案响应格式.docx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结合本项目实际情况，有详细完整的保密措施。措施详细完整、可行性、针对性强，得5分； 若上述内容存在瑕疵，每出现一处瑕疵扣1分，扣完为止。注：内容存在瑕疵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服务方案响应格式.docx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详见附件：服务方案响应格式.docx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