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08379">
      <w:pPr>
        <w:pStyle w:val="11"/>
        <w:jc w:val="center"/>
        <w:outlineLvl w:val="1"/>
      </w:pPr>
      <w:r>
        <w:rPr>
          <w:rFonts w:ascii="仿宋_GB2312" w:hAnsi="仿宋_GB2312" w:eastAsia="仿宋_GB2312" w:cs="仿宋_GB2312"/>
          <w:b/>
          <w:sz w:val="36"/>
        </w:rPr>
        <w:t>第七章 拟签订采购合同文本</w:t>
      </w:r>
    </w:p>
    <w:p w14:paraId="4DF532D4">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eastAsia="zh-CN"/>
        </w:rPr>
        <w:t>2026-2027年住房建设领域综合辅助服务项目</w:t>
      </w:r>
      <w:r>
        <w:rPr>
          <w:rFonts w:hint="eastAsia" w:ascii="仿宋" w:hAnsi="仿宋" w:eastAsia="仿宋" w:cs="仿宋"/>
          <w:b/>
          <w:bCs/>
          <w:color w:val="auto"/>
          <w:sz w:val="36"/>
          <w:szCs w:val="36"/>
          <w:highlight w:val="none"/>
        </w:rPr>
        <w:t>合同</w:t>
      </w:r>
    </w:p>
    <w:p w14:paraId="0107956E">
      <w:pPr>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（编号：</w:t>
      </w:r>
      <w:r>
        <w:rPr>
          <w:rFonts w:hint="eastAsia" w:ascii="仿宋" w:hAnsi="仿宋" w:eastAsia="仿宋" w:cs="仿宋"/>
          <w:color w:val="auto"/>
          <w:sz w:val="36"/>
          <w:szCs w:val="36"/>
          <w:highlight w:val="none"/>
          <w:lang w:eastAsia="zh-CN"/>
        </w:rPr>
        <w:t>ZK-GK-2026-051</w:t>
      </w:r>
      <w:r>
        <w:rPr>
          <w:rFonts w:hint="eastAsia" w:ascii="仿宋" w:hAnsi="仿宋" w:eastAsia="仿宋" w:cs="仿宋"/>
          <w:color w:val="auto"/>
          <w:sz w:val="36"/>
          <w:szCs w:val="36"/>
          <w:highlight w:val="none"/>
        </w:rPr>
        <w:t>）</w:t>
      </w:r>
    </w:p>
    <w:p w14:paraId="51A6C859">
      <w:pPr>
        <w:jc w:val="center"/>
        <w:rPr>
          <w:rFonts w:hint="eastAsia" w:ascii="仿宋" w:hAnsi="仿宋" w:eastAsia="仿宋" w:cs="仿宋"/>
          <w:color w:val="auto"/>
          <w:sz w:val="36"/>
          <w:szCs w:val="36"/>
          <w:highlight w:val="none"/>
        </w:rPr>
      </w:pPr>
    </w:p>
    <w:p w14:paraId="12E0A7E1">
      <w:pPr>
        <w:jc w:val="center"/>
        <w:rPr>
          <w:rFonts w:hint="eastAsia" w:ascii="仿宋" w:hAnsi="仿宋" w:eastAsia="仿宋" w:cs="仿宋"/>
          <w:color w:val="auto"/>
          <w:sz w:val="36"/>
          <w:szCs w:val="36"/>
          <w:highlight w:val="none"/>
        </w:rPr>
      </w:pPr>
    </w:p>
    <w:p w14:paraId="71F867B4">
      <w:pPr>
        <w:jc w:val="center"/>
        <w:rPr>
          <w:rFonts w:hint="eastAsia" w:ascii="仿宋" w:hAnsi="仿宋" w:eastAsia="仿宋" w:cs="仿宋"/>
          <w:color w:val="auto"/>
          <w:sz w:val="36"/>
          <w:szCs w:val="36"/>
          <w:highlight w:val="none"/>
        </w:rPr>
      </w:pPr>
    </w:p>
    <w:p w14:paraId="614AA526">
      <w:pPr>
        <w:pStyle w:val="4"/>
        <w:tabs>
          <w:tab w:val="left" w:pos="567"/>
        </w:tabs>
        <w:rPr>
          <w:rFonts w:hint="eastAsia" w:ascii="仿宋" w:hAnsi="仿宋" w:eastAsia="仿宋" w:cs="仿宋"/>
          <w:color w:val="auto"/>
          <w:sz w:val="36"/>
          <w:szCs w:val="36"/>
          <w:highlight w:val="none"/>
        </w:rPr>
      </w:pPr>
    </w:p>
    <w:p w14:paraId="3790E2CD">
      <w:pPr>
        <w:rPr>
          <w:rFonts w:hint="eastAsia" w:ascii="仿宋" w:hAnsi="仿宋" w:eastAsia="仿宋" w:cs="仿宋"/>
          <w:color w:val="auto"/>
          <w:sz w:val="36"/>
          <w:szCs w:val="36"/>
          <w:highlight w:val="none"/>
        </w:rPr>
      </w:pPr>
    </w:p>
    <w:p w14:paraId="0BC970CE">
      <w:pPr>
        <w:pStyle w:val="4"/>
        <w:tabs>
          <w:tab w:val="left" w:pos="567"/>
        </w:tabs>
        <w:rPr>
          <w:rFonts w:hint="eastAsia" w:ascii="仿宋" w:hAnsi="仿宋" w:eastAsia="仿宋" w:cs="仿宋"/>
          <w:color w:val="auto"/>
          <w:sz w:val="36"/>
          <w:szCs w:val="36"/>
          <w:highlight w:val="none"/>
        </w:rPr>
      </w:pPr>
    </w:p>
    <w:p w14:paraId="2B9981A4">
      <w:pPr>
        <w:jc w:val="center"/>
        <w:rPr>
          <w:rFonts w:hint="eastAsia" w:ascii="仿宋" w:hAnsi="仿宋" w:eastAsia="仿宋" w:cs="仿宋"/>
          <w:color w:val="auto"/>
          <w:sz w:val="36"/>
          <w:szCs w:val="36"/>
          <w:highlight w:val="none"/>
        </w:rPr>
      </w:pPr>
    </w:p>
    <w:p w14:paraId="6F01C366">
      <w:pPr>
        <w:ind w:firstLine="2349" w:firstLineChars="650"/>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甲方：</w:t>
      </w:r>
      <w:r>
        <w:rPr>
          <w:rFonts w:hint="eastAsia" w:ascii="仿宋" w:hAnsi="仿宋" w:eastAsia="仿宋" w:cs="仿宋"/>
          <w:b/>
          <w:bCs/>
          <w:color w:val="auto"/>
          <w:sz w:val="36"/>
          <w:szCs w:val="36"/>
          <w:highlight w:val="none"/>
          <w:u w:val="single"/>
          <w:lang w:val="en-US" w:eastAsia="zh-CN"/>
        </w:rPr>
        <w:t xml:space="preserve">                   </w:t>
      </w:r>
      <w:r>
        <w:rPr>
          <w:rFonts w:hint="eastAsia" w:ascii="仿宋" w:hAnsi="仿宋" w:eastAsia="仿宋" w:cs="仿宋"/>
          <w:b/>
          <w:bCs/>
          <w:color w:val="auto"/>
          <w:sz w:val="36"/>
          <w:szCs w:val="36"/>
          <w:highlight w:val="none"/>
        </w:rPr>
        <w:t xml:space="preserve"> </w:t>
      </w:r>
    </w:p>
    <w:p w14:paraId="5338CDB6">
      <w:pPr>
        <w:tabs>
          <w:tab w:val="left" w:pos="480"/>
        </w:tabs>
        <w:ind w:firstLine="2349" w:firstLineChars="650"/>
        <w:rPr>
          <w:rFonts w:hint="eastAsia" w:ascii="仿宋" w:hAnsi="仿宋" w:eastAsia="仿宋" w:cs="仿宋"/>
          <w:b/>
          <w:bCs/>
          <w:color w:val="auto"/>
          <w:sz w:val="36"/>
          <w:szCs w:val="36"/>
          <w:highlight w:val="none"/>
          <w:u w:val="single"/>
          <w:lang w:val="en-US"/>
        </w:rPr>
      </w:pPr>
      <w:r>
        <w:rPr>
          <w:rFonts w:hint="eastAsia" w:ascii="仿宋" w:hAnsi="仿宋" w:eastAsia="仿宋" w:cs="仿宋"/>
          <w:b/>
          <w:bCs/>
          <w:color w:val="auto"/>
          <w:sz w:val="36"/>
          <w:szCs w:val="36"/>
          <w:highlight w:val="none"/>
        </w:rPr>
        <w:t>乙方：</w:t>
      </w:r>
      <w:r>
        <w:rPr>
          <w:rFonts w:hint="eastAsia" w:ascii="仿宋" w:hAnsi="仿宋" w:eastAsia="仿宋" w:cs="仿宋"/>
          <w:b/>
          <w:bCs/>
          <w:color w:val="auto"/>
          <w:sz w:val="36"/>
          <w:szCs w:val="36"/>
          <w:highlight w:val="none"/>
          <w:u w:val="single"/>
          <w:lang w:val="en-US" w:eastAsia="zh-CN"/>
        </w:rPr>
        <w:t xml:space="preserve">                   </w:t>
      </w:r>
    </w:p>
    <w:p w14:paraId="4937AE95">
      <w:pPr>
        <w:rPr>
          <w:rFonts w:hint="eastAsia" w:ascii="仿宋" w:hAnsi="仿宋" w:eastAsia="仿宋" w:cs="仿宋"/>
          <w:sz w:val="36"/>
          <w:szCs w:val="36"/>
          <w:highlight w:val="none"/>
        </w:rPr>
      </w:pPr>
    </w:p>
    <w:p w14:paraId="0B7CF2B2">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z w:val="36"/>
          <w:szCs w:val="36"/>
          <w:highlight w:val="none"/>
          <w:u w:val="single"/>
          <w:lang w:val="en-US" w:eastAsia="zh-CN"/>
        </w:rPr>
        <w:t xml:space="preserve">    </w:t>
      </w:r>
      <w:r>
        <w:rPr>
          <w:rFonts w:hint="eastAsia" w:ascii="仿宋" w:hAnsi="仿宋" w:eastAsia="仿宋" w:cs="仿宋"/>
          <w:b/>
          <w:bCs/>
          <w:color w:val="auto"/>
          <w:sz w:val="36"/>
          <w:szCs w:val="36"/>
          <w:highlight w:val="none"/>
        </w:rPr>
        <w:t>月</w:t>
      </w:r>
    </w:p>
    <w:p w14:paraId="6087148B">
      <w:pPr>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中国西安</w:t>
      </w:r>
    </w:p>
    <w:p w14:paraId="7791E864">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1246E193">
      <w:pPr>
        <w:spacing w:line="360" w:lineRule="auto"/>
        <w:jc w:val="center"/>
        <w:rPr>
          <w:rFonts w:hint="eastAsia" w:ascii="仿宋" w:hAnsi="仿宋" w:eastAsia="仿宋" w:cs="仿宋"/>
          <w:b/>
          <w:bCs/>
          <w:color w:val="auto"/>
          <w:sz w:val="24"/>
          <w:szCs w:val="24"/>
          <w:highlight w:val="none"/>
        </w:rPr>
      </w:pPr>
    </w:p>
    <w:p w14:paraId="5F1AD85E">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甲    方 (采购人) ：</w:t>
      </w:r>
      <w:r>
        <w:rPr>
          <w:rFonts w:hint="eastAsia" w:ascii="仿宋" w:hAnsi="仿宋" w:eastAsia="仿宋" w:cs="仿宋"/>
          <w:sz w:val="20"/>
          <w:szCs w:val="20"/>
          <w:highlight w:val="none"/>
          <w:u w:val="single"/>
          <w:lang w:val="en-US" w:eastAsia="zh-CN"/>
        </w:rPr>
        <w:t xml:space="preserve">                     </w:t>
      </w:r>
    </w:p>
    <w:p w14:paraId="1E126EEE">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电    话：</w:t>
      </w:r>
      <w:r>
        <w:rPr>
          <w:rFonts w:hint="eastAsia" w:ascii="仿宋" w:hAnsi="仿宋" w:eastAsia="仿宋" w:cs="仿宋"/>
          <w:sz w:val="20"/>
          <w:szCs w:val="20"/>
          <w:highlight w:val="none"/>
          <w:u w:val="single"/>
          <w:lang w:val="en-US" w:eastAsia="zh-CN"/>
        </w:rPr>
        <w:t xml:space="preserve">                               </w:t>
      </w:r>
    </w:p>
    <w:p w14:paraId="726DBB40">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住  所：</w:t>
      </w:r>
      <w:r>
        <w:rPr>
          <w:rFonts w:hint="eastAsia" w:ascii="仿宋" w:hAnsi="仿宋" w:eastAsia="仿宋" w:cs="仿宋"/>
          <w:color w:val="auto"/>
          <w:sz w:val="20"/>
          <w:szCs w:val="20"/>
          <w:highlight w:val="none"/>
          <w:u w:val="single"/>
          <w:lang w:val="en-US" w:eastAsia="zh-CN"/>
        </w:rPr>
        <w:t xml:space="preserve">                                 </w:t>
      </w:r>
    </w:p>
    <w:p w14:paraId="50125757">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rPr>
      </w:pPr>
    </w:p>
    <w:p w14:paraId="775189FF">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乙    方 (</w:t>
      </w:r>
      <w:r>
        <w:rPr>
          <w:rFonts w:hint="eastAsia" w:ascii="仿宋" w:hAnsi="仿宋" w:eastAsia="仿宋" w:cs="仿宋"/>
          <w:sz w:val="20"/>
          <w:szCs w:val="20"/>
          <w:highlight w:val="none"/>
          <w:lang w:eastAsia="zh-CN"/>
        </w:rPr>
        <w:t>供应商</w:t>
      </w:r>
      <w:r>
        <w:rPr>
          <w:rFonts w:hint="eastAsia" w:ascii="仿宋" w:hAnsi="仿宋" w:eastAsia="仿宋" w:cs="仿宋"/>
          <w:sz w:val="20"/>
          <w:szCs w:val="20"/>
          <w:highlight w:val="none"/>
        </w:rPr>
        <w:t>) ：</w:t>
      </w:r>
      <w:r>
        <w:rPr>
          <w:rFonts w:hint="eastAsia" w:ascii="仿宋" w:hAnsi="仿宋" w:eastAsia="仿宋" w:cs="仿宋"/>
          <w:sz w:val="20"/>
          <w:szCs w:val="20"/>
          <w:highlight w:val="none"/>
          <w:u w:val="single"/>
          <w:lang w:val="en-US" w:eastAsia="zh-CN"/>
        </w:rPr>
        <w:t xml:space="preserve">                    </w:t>
      </w:r>
    </w:p>
    <w:p w14:paraId="12F697D1">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u w:val="single"/>
          <w:lang w:val="en-US" w:eastAsia="zh-CN"/>
        </w:rPr>
      </w:pPr>
      <w:r>
        <w:rPr>
          <w:rFonts w:hint="eastAsia" w:ascii="仿宋" w:hAnsi="仿宋" w:eastAsia="仿宋" w:cs="仿宋"/>
          <w:sz w:val="20"/>
          <w:szCs w:val="20"/>
          <w:highlight w:val="none"/>
        </w:rPr>
        <w:t>电    话：</w:t>
      </w:r>
      <w:r>
        <w:rPr>
          <w:rFonts w:hint="eastAsia" w:ascii="仿宋" w:hAnsi="仿宋" w:eastAsia="仿宋" w:cs="仿宋"/>
          <w:sz w:val="20"/>
          <w:szCs w:val="20"/>
          <w:highlight w:val="none"/>
          <w:u w:val="single"/>
          <w:lang w:val="en-US" w:eastAsia="zh-CN"/>
        </w:rPr>
        <w:t xml:space="preserve">                              </w:t>
      </w:r>
    </w:p>
    <w:p w14:paraId="0CA172BF">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住  所：</w:t>
      </w:r>
      <w:r>
        <w:rPr>
          <w:rFonts w:hint="eastAsia" w:ascii="仿宋" w:hAnsi="仿宋" w:eastAsia="仿宋" w:cs="仿宋"/>
          <w:sz w:val="20"/>
          <w:szCs w:val="20"/>
          <w:highlight w:val="none"/>
          <w:u w:val="single"/>
          <w:lang w:val="en-US" w:eastAsia="zh-CN"/>
        </w:rPr>
        <w:t xml:space="preserve">                               </w:t>
      </w:r>
    </w:p>
    <w:p w14:paraId="348B3A3C">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根据</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eastAsia="zh-CN"/>
        </w:rPr>
        <w:t>2026-2027年住房建设领域综合辅助服务项目</w:t>
      </w:r>
      <w:r>
        <w:rPr>
          <w:rFonts w:hint="eastAsia" w:ascii="仿宋" w:hAnsi="仿宋" w:eastAsia="仿宋" w:cs="仿宋"/>
          <w:sz w:val="20"/>
          <w:szCs w:val="20"/>
          <w:highlight w:val="none"/>
        </w:rPr>
        <w:t>(项目编号：</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eastAsia="zh-CN"/>
        </w:rPr>
        <w:t>ZK-GK-2026-051</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)的采购结果，按照《中华人民共和国政府采购法》及其实施条例、《中华人民共和国民法典》的规定，经双方协商，本着平等互利和诚实信用的原则，一致同意签订本合同如下。</w:t>
      </w:r>
    </w:p>
    <w:p w14:paraId="25DCEA57">
      <w:pPr>
        <w:keepNext w:val="0"/>
        <w:keepLines w:val="0"/>
        <w:pageBreakBefore w:val="0"/>
        <w:widowControl w:val="0"/>
        <w:kinsoku/>
        <w:wordWrap/>
        <w:overflowPunct/>
        <w:topLinePunct w:val="0"/>
        <w:autoSpaceDE/>
        <w:autoSpaceDN/>
        <w:bidi w:val="0"/>
        <w:adjustRightInd/>
        <w:spacing w:line="360" w:lineRule="auto"/>
        <w:ind w:left="41"/>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一、采购标的、数量</w:t>
      </w:r>
    </w:p>
    <w:tbl>
      <w:tblPr>
        <w:tblStyle w:val="12"/>
        <w:tblW w:w="502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39"/>
        <w:gridCol w:w="4063"/>
        <w:gridCol w:w="2198"/>
        <w:gridCol w:w="1257"/>
      </w:tblGrid>
      <w:tr w14:paraId="613C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jc w:val="center"/>
        </w:trPr>
        <w:tc>
          <w:tcPr>
            <w:tcW w:w="5000" w:type="pct"/>
            <w:gridSpan w:val="4"/>
            <w:vAlign w:val="center"/>
          </w:tcPr>
          <w:p w14:paraId="4A685742">
            <w:pPr>
              <w:snapToGrid w:val="0"/>
              <w:spacing w:before="242" w:line="193" w:lineRule="auto"/>
              <w:jc w:val="center"/>
              <w:rPr>
                <w:rFonts w:hint="eastAsia" w:ascii="仿宋" w:hAnsi="仿宋" w:eastAsia="仿宋" w:cs="仿宋"/>
                <w:sz w:val="20"/>
                <w:szCs w:val="20"/>
                <w:highlight w:val="none"/>
              </w:rPr>
            </w:pPr>
            <w:r>
              <w:rPr>
                <w:rFonts w:hint="eastAsia" w:ascii="仿宋" w:hAnsi="仿宋" w:eastAsia="仿宋" w:cs="仿宋"/>
                <w:sz w:val="20"/>
                <w:szCs w:val="20"/>
                <w:lang w:eastAsia="zh-CN"/>
              </w:rPr>
              <w:t>2026-2027年住房建设领域综合辅助服务项目</w:t>
            </w:r>
          </w:p>
        </w:tc>
      </w:tr>
      <w:tr w14:paraId="23C55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02" w:type="pct"/>
            <w:vAlign w:val="center"/>
          </w:tcPr>
          <w:p w14:paraId="242F6ED7">
            <w:pPr>
              <w:pStyle w:val="13"/>
              <w:snapToGrid w:val="0"/>
              <w:spacing w:before="237" w:line="222" w:lineRule="auto"/>
              <w:jc w:val="center"/>
              <w:rPr>
                <w:rFonts w:hint="eastAsia" w:ascii="仿宋" w:hAnsi="仿宋" w:eastAsia="仿宋" w:cs="仿宋"/>
                <w:sz w:val="20"/>
                <w:szCs w:val="20"/>
              </w:rPr>
            </w:pPr>
            <w:r>
              <w:rPr>
                <w:rFonts w:hint="eastAsia" w:ascii="仿宋" w:hAnsi="仿宋" w:eastAsia="仿宋" w:cs="仿宋"/>
                <w:spacing w:val="-8"/>
                <w:sz w:val="20"/>
                <w:szCs w:val="20"/>
              </w:rPr>
              <w:t>序号</w:t>
            </w:r>
          </w:p>
        </w:tc>
        <w:tc>
          <w:tcPr>
            <w:tcW w:w="2431" w:type="pct"/>
            <w:vAlign w:val="center"/>
          </w:tcPr>
          <w:p w14:paraId="6C81AFA9">
            <w:pPr>
              <w:pStyle w:val="13"/>
              <w:snapToGrid w:val="0"/>
              <w:spacing w:before="236" w:line="221" w:lineRule="auto"/>
              <w:jc w:val="center"/>
              <w:rPr>
                <w:rFonts w:hint="eastAsia" w:ascii="仿宋" w:hAnsi="仿宋" w:eastAsia="仿宋" w:cs="仿宋"/>
                <w:sz w:val="20"/>
                <w:szCs w:val="20"/>
              </w:rPr>
            </w:pPr>
            <w:r>
              <w:rPr>
                <w:rFonts w:hint="eastAsia" w:ascii="仿宋" w:hAnsi="仿宋" w:eastAsia="仿宋" w:cs="仿宋"/>
                <w:spacing w:val="-2"/>
                <w:sz w:val="20"/>
                <w:szCs w:val="20"/>
              </w:rPr>
              <w:t>业务种类（内容）</w:t>
            </w:r>
          </w:p>
        </w:tc>
        <w:tc>
          <w:tcPr>
            <w:tcW w:w="1315" w:type="pct"/>
            <w:vAlign w:val="center"/>
          </w:tcPr>
          <w:p w14:paraId="62B5FBB9">
            <w:pPr>
              <w:pStyle w:val="13"/>
              <w:snapToGrid w:val="0"/>
              <w:spacing w:before="237" w:line="222" w:lineRule="auto"/>
              <w:jc w:val="center"/>
              <w:rPr>
                <w:rFonts w:hint="default" w:ascii="仿宋" w:hAnsi="仿宋" w:eastAsia="仿宋" w:cs="仿宋"/>
                <w:sz w:val="20"/>
                <w:szCs w:val="20"/>
                <w:lang w:val="en-US" w:eastAsia="zh-CN"/>
              </w:rPr>
            </w:pPr>
            <w:r>
              <w:rPr>
                <w:rFonts w:hint="eastAsia" w:cs="仿宋"/>
                <w:spacing w:val="-4"/>
                <w:sz w:val="20"/>
                <w:szCs w:val="20"/>
                <w:lang w:val="en-US" w:eastAsia="zh-CN"/>
              </w:rPr>
              <w:t>数量/年</w:t>
            </w:r>
          </w:p>
        </w:tc>
        <w:tc>
          <w:tcPr>
            <w:tcW w:w="750" w:type="pct"/>
            <w:vAlign w:val="center"/>
          </w:tcPr>
          <w:p w14:paraId="1B64519F">
            <w:pPr>
              <w:pStyle w:val="13"/>
              <w:snapToGrid w:val="0"/>
              <w:spacing w:before="236" w:line="221" w:lineRule="auto"/>
              <w:jc w:val="center"/>
              <w:rPr>
                <w:rFonts w:hint="eastAsia" w:ascii="仿宋" w:hAnsi="仿宋" w:eastAsia="仿宋" w:cs="仿宋"/>
                <w:sz w:val="20"/>
                <w:szCs w:val="20"/>
              </w:rPr>
            </w:pPr>
            <w:r>
              <w:rPr>
                <w:rFonts w:hint="eastAsia" w:ascii="仿宋" w:hAnsi="仿宋" w:eastAsia="仿宋" w:cs="仿宋"/>
                <w:spacing w:val="-5"/>
                <w:sz w:val="20"/>
                <w:szCs w:val="20"/>
              </w:rPr>
              <w:t>单价（元）</w:t>
            </w:r>
          </w:p>
        </w:tc>
      </w:tr>
      <w:tr w14:paraId="0E6DE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02" w:type="pct"/>
            <w:vAlign w:val="center"/>
          </w:tcPr>
          <w:p w14:paraId="619BC8AC">
            <w:pPr>
              <w:pStyle w:val="13"/>
              <w:snapToGrid w:val="0"/>
              <w:spacing w:before="78" w:line="315" w:lineRule="exact"/>
              <w:jc w:val="center"/>
              <w:rPr>
                <w:rFonts w:hint="eastAsia" w:ascii="仿宋" w:hAnsi="仿宋" w:eastAsia="仿宋" w:cs="仿宋"/>
                <w:sz w:val="20"/>
                <w:szCs w:val="20"/>
              </w:rPr>
            </w:pPr>
            <w:r>
              <w:rPr>
                <w:rFonts w:hint="eastAsia" w:ascii="仿宋" w:hAnsi="仿宋" w:eastAsia="仿宋" w:cs="仿宋"/>
                <w:position w:val="1"/>
                <w:sz w:val="20"/>
                <w:szCs w:val="20"/>
              </w:rPr>
              <w:t>1</w:t>
            </w:r>
          </w:p>
        </w:tc>
        <w:tc>
          <w:tcPr>
            <w:tcW w:w="4063" w:type="dxa"/>
            <w:vAlign w:val="center"/>
          </w:tcPr>
          <w:p w14:paraId="3AB379B9">
            <w:pPr>
              <w:keepNext w:val="0"/>
              <w:keepLines w:val="0"/>
              <w:pageBreakBefore w:val="0"/>
              <w:widowControl w:val="0"/>
              <w:kinsoku/>
              <w:wordWrap/>
              <w:overflowPunct/>
              <w:topLinePunct w:val="0"/>
              <w:autoSpaceDE/>
              <w:autoSpaceDN/>
              <w:bidi w:val="0"/>
              <w:adjustRightInd/>
              <w:snapToGrid/>
              <w:spacing w:line="360" w:lineRule="auto"/>
              <w:ind w:left="40" w:right="28" w:firstLine="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渠道投诉及综合辅助服务事项</w:t>
            </w:r>
          </w:p>
        </w:tc>
        <w:tc>
          <w:tcPr>
            <w:tcW w:w="2198" w:type="dxa"/>
            <w:vAlign w:val="center"/>
          </w:tcPr>
          <w:p w14:paraId="5526F5FF">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default" w:ascii="仿宋" w:hAnsi="仿宋" w:eastAsia="仿宋" w:cs="仿宋"/>
                <w:sz w:val="20"/>
                <w:szCs w:val="20"/>
                <w:highlight w:val="none"/>
                <w:lang w:val="en-US"/>
              </w:rPr>
            </w:pPr>
            <w:r>
              <w:rPr>
                <w:rFonts w:hint="eastAsia" w:ascii="仿宋" w:hAnsi="仿宋" w:eastAsia="仿宋" w:cs="仿宋"/>
                <w:sz w:val="20"/>
                <w:szCs w:val="20"/>
                <w:highlight w:val="none"/>
                <w:lang w:val="en-US" w:eastAsia="zh-CN"/>
              </w:rPr>
              <w:t>4250（件）</w:t>
            </w:r>
          </w:p>
        </w:tc>
        <w:tc>
          <w:tcPr>
            <w:tcW w:w="750" w:type="pct"/>
            <w:vAlign w:val="center"/>
          </w:tcPr>
          <w:p w14:paraId="2509AE9F">
            <w:pPr>
              <w:snapToGrid w:val="0"/>
              <w:jc w:val="center"/>
              <w:rPr>
                <w:rFonts w:hint="eastAsia" w:ascii="仿宋" w:hAnsi="仿宋" w:eastAsia="仿宋" w:cs="仿宋"/>
                <w:sz w:val="20"/>
                <w:szCs w:val="20"/>
              </w:rPr>
            </w:pPr>
          </w:p>
        </w:tc>
      </w:tr>
      <w:tr w14:paraId="712906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02" w:type="pct"/>
            <w:vAlign w:val="center"/>
          </w:tcPr>
          <w:p w14:paraId="0DDC1A16">
            <w:pPr>
              <w:pStyle w:val="13"/>
              <w:snapToGrid w:val="0"/>
              <w:spacing w:before="280" w:line="241" w:lineRule="auto"/>
              <w:jc w:val="center"/>
              <w:rPr>
                <w:rFonts w:hint="eastAsia" w:ascii="仿宋" w:hAnsi="仿宋" w:eastAsia="仿宋" w:cs="仿宋"/>
                <w:sz w:val="20"/>
                <w:szCs w:val="20"/>
                <w:lang w:eastAsia="zh-CN"/>
              </w:rPr>
            </w:pPr>
            <w:r>
              <w:rPr>
                <w:rFonts w:hint="eastAsia" w:cs="仿宋"/>
                <w:sz w:val="20"/>
                <w:szCs w:val="20"/>
                <w:lang w:val="en-US" w:eastAsia="zh-CN"/>
              </w:rPr>
              <w:t>2</w:t>
            </w:r>
          </w:p>
        </w:tc>
        <w:tc>
          <w:tcPr>
            <w:tcW w:w="4063" w:type="dxa"/>
            <w:vAlign w:val="center"/>
          </w:tcPr>
          <w:p w14:paraId="4B356FC4">
            <w:pPr>
              <w:keepNext w:val="0"/>
              <w:keepLines w:val="0"/>
              <w:pageBreakBefore w:val="0"/>
              <w:widowControl w:val="0"/>
              <w:kinsoku/>
              <w:wordWrap/>
              <w:overflowPunct/>
              <w:topLinePunct w:val="0"/>
              <w:autoSpaceDE/>
              <w:autoSpaceDN/>
              <w:bidi w:val="0"/>
              <w:adjustRightInd/>
              <w:snapToGrid/>
              <w:spacing w:line="360" w:lineRule="auto"/>
              <w:ind w:left="40" w:right="28" w:firstLine="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信访事项处置辅助服务</w:t>
            </w:r>
          </w:p>
        </w:tc>
        <w:tc>
          <w:tcPr>
            <w:tcW w:w="2198" w:type="dxa"/>
            <w:vAlign w:val="center"/>
          </w:tcPr>
          <w:p w14:paraId="06DB9B60">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830（件）</w:t>
            </w:r>
          </w:p>
        </w:tc>
        <w:tc>
          <w:tcPr>
            <w:tcW w:w="750" w:type="pct"/>
            <w:vAlign w:val="center"/>
          </w:tcPr>
          <w:p w14:paraId="40CEE249">
            <w:pPr>
              <w:snapToGrid w:val="0"/>
              <w:jc w:val="center"/>
              <w:rPr>
                <w:rFonts w:hint="eastAsia" w:ascii="仿宋" w:hAnsi="仿宋" w:eastAsia="仿宋" w:cs="仿宋"/>
                <w:sz w:val="20"/>
                <w:szCs w:val="20"/>
              </w:rPr>
            </w:pPr>
          </w:p>
        </w:tc>
      </w:tr>
      <w:tr w14:paraId="6BD04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02" w:type="pct"/>
            <w:vAlign w:val="center"/>
          </w:tcPr>
          <w:p w14:paraId="7B9B1E80">
            <w:pPr>
              <w:pStyle w:val="13"/>
              <w:snapToGrid w:val="0"/>
              <w:spacing w:before="285" w:line="315" w:lineRule="exact"/>
              <w:jc w:val="center"/>
              <w:rPr>
                <w:rFonts w:hint="eastAsia" w:ascii="仿宋" w:hAnsi="仿宋" w:eastAsia="仿宋" w:cs="仿宋"/>
                <w:sz w:val="20"/>
                <w:szCs w:val="20"/>
                <w:lang w:eastAsia="zh-CN"/>
              </w:rPr>
            </w:pPr>
            <w:r>
              <w:rPr>
                <w:rFonts w:hint="eastAsia" w:cs="仿宋"/>
                <w:position w:val="1"/>
                <w:sz w:val="20"/>
                <w:szCs w:val="20"/>
                <w:lang w:val="en-US" w:eastAsia="zh-CN"/>
              </w:rPr>
              <w:t>3</w:t>
            </w:r>
          </w:p>
        </w:tc>
        <w:tc>
          <w:tcPr>
            <w:tcW w:w="4063" w:type="dxa"/>
            <w:vAlign w:val="center"/>
          </w:tcPr>
          <w:p w14:paraId="00BA6A11">
            <w:pPr>
              <w:keepNext w:val="0"/>
              <w:keepLines w:val="0"/>
              <w:pageBreakBefore w:val="0"/>
              <w:widowControl w:val="0"/>
              <w:kinsoku/>
              <w:wordWrap/>
              <w:overflowPunct/>
              <w:topLinePunct w:val="0"/>
              <w:autoSpaceDE/>
              <w:autoSpaceDN/>
              <w:bidi w:val="0"/>
              <w:adjustRightInd/>
              <w:snapToGrid/>
              <w:spacing w:line="360" w:lineRule="auto"/>
              <w:ind w:left="40" w:right="28" w:firstLine="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执法现场类辅助服务</w:t>
            </w:r>
          </w:p>
        </w:tc>
        <w:tc>
          <w:tcPr>
            <w:tcW w:w="2198" w:type="dxa"/>
            <w:vAlign w:val="center"/>
          </w:tcPr>
          <w:p w14:paraId="2F0B2EC6">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default" w:ascii="仿宋" w:hAnsi="仿宋" w:eastAsia="仿宋" w:cs="仿宋"/>
                <w:sz w:val="20"/>
                <w:szCs w:val="20"/>
                <w:highlight w:val="none"/>
                <w:lang w:val="en-US"/>
              </w:rPr>
            </w:pPr>
            <w:r>
              <w:rPr>
                <w:rFonts w:hint="eastAsia" w:ascii="仿宋" w:hAnsi="仿宋" w:eastAsia="仿宋" w:cs="仿宋"/>
                <w:sz w:val="20"/>
                <w:szCs w:val="20"/>
                <w:highlight w:val="none"/>
                <w:lang w:val="en-US" w:eastAsia="zh-CN"/>
              </w:rPr>
              <w:t>1260（次）</w:t>
            </w:r>
          </w:p>
        </w:tc>
        <w:tc>
          <w:tcPr>
            <w:tcW w:w="750" w:type="pct"/>
            <w:vAlign w:val="center"/>
          </w:tcPr>
          <w:p w14:paraId="2F5AAF43">
            <w:pPr>
              <w:snapToGrid w:val="0"/>
              <w:jc w:val="center"/>
              <w:rPr>
                <w:rFonts w:hint="eastAsia" w:ascii="仿宋" w:hAnsi="仿宋" w:eastAsia="仿宋" w:cs="仿宋"/>
                <w:sz w:val="20"/>
                <w:szCs w:val="20"/>
              </w:rPr>
            </w:pPr>
          </w:p>
        </w:tc>
      </w:tr>
      <w:tr w14:paraId="01D2A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02" w:type="pct"/>
            <w:vAlign w:val="center"/>
          </w:tcPr>
          <w:p w14:paraId="0C6059B0">
            <w:pPr>
              <w:pStyle w:val="13"/>
              <w:snapToGrid w:val="0"/>
              <w:spacing w:before="285" w:line="315" w:lineRule="exact"/>
              <w:jc w:val="center"/>
              <w:rPr>
                <w:rFonts w:hint="default" w:cs="仿宋"/>
                <w:position w:val="1"/>
                <w:sz w:val="20"/>
                <w:szCs w:val="20"/>
                <w:lang w:val="en-US" w:eastAsia="zh-CN"/>
              </w:rPr>
            </w:pPr>
            <w:r>
              <w:rPr>
                <w:rFonts w:hint="eastAsia" w:cs="仿宋"/>
                <w:position w:val="1"/>
                <w:sz w:val="20"/>
                <w:szCs w:val="20"/>
                <w:lang w:val="en-US" w:eastAsia="zh-CN"/>
              </w:rPr>
              <w:t>4</w:t>
            </w:r>
          </w:p>
        </w:tc>
        <w:tc>
          <w:tcPr>
            <w:tcW w:w="4063" w:type="dxa"/>
            <w:vAlign w:val="center"/>
          </w:tcPr>
          <w:p w14:paraId="28756AC8">
            <w:pPr>
              <w:keepNext w:val="0"/>
              <w:keepLines w:val="0"/>
              <w:pageBreakBefore w:val="0"/>
              <w:widowControl w:val="0"/>
              <w:kinsoku/>
              <w:wordWrap/>
              <w:overflowPunct/>
              <w:topLinePunct w:val="0"/>
              <w:autoSpaceDE/>
              <w:autoSpaceDN/>
              <w:bidi w:val="0"/>
              <w:adjustRightInd/>
              <w:snapToGrid/>
              <w:spacing w:line="360" w:lineRule="auto"/>
              <w:ind w:left="40" w:right="28" w:firstLine="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资料整理及政策业务咨询辅助服务</w:t>
            </w:r>
          </w:p>
        </w:tc>
        <w:tc>
          <w:tcPr>
            <w:tcW w:w="2198" w:type="dxa"/>
            <w:vAlign w:val="center"/>
          </w:tcPr>
          <w:p w14:paraId="1461EB0D">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13800（件）</w:t>
            </w:r>
          </w:p>
        </w:tc>
        <w:tc>
          <w:tcPr>
            <w:tcW w:w="750" w:type="pct"/>
            <w:vAlign w:val="center"/>
          </w:tcPr>
          <w:p w14:paraId="3BC0ADF9">
            <w:pPr>
              <w:snapToGrid w:val="0"/>
              <w:jc w:val="center"/>
              <w:rPr>
                <w:rFonts w:hint="eastAsia" w:ascii="仿宋" w:hAnsi="仿宋" w:eastAsia="仿宋" w:cs="仿宋"/>
                <w:sz w:val="20"/>
                <w:szCs w:val="20"/>
              </w:rPr>
            </w:pPr>
          </w:p>
        </w:tc>
      </w:tr>
    </w:tbl>
    <w:p w14:paraId="61B55AE2">
      <w:pPr>
        <w:keepNext w:val="0"/>
        <w:keepLines w:val="0"/>
        <w:pageBreakBefore w:val="0"/>
        <w:widowControl w:val="0"/>
        <w:kinsoku/>
        <w:wordWrap/>
        <w:overflowPunct/>
        <w:topLinePunct w:val="0"/>
        <w:autoSpaceDE/>
        <w:autoSpaceDN/>
        <w:bidi w:val="0"/>
        <w:adjustRightInd/>
        <w:spacing w:line="360" w:lineRule="auto"/>
        <w:ind w:left="41"/>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二、合同金额</w:t>
      </w:r>
    </w:p>
    <w:p w14:paraId="74FF1BCC">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预估</w:t>
      </w:r>
      <w:r>
        <w:rPr>
          <w:rFonts w:hint="eastAsia" w:ascii="仿宋" w:hAnsi="仿宋" w:eastAsia="仿宋" w:cs="仿宋"/>
          <w:color w:val="auto"/>
          <w:sz w:val="20"/>
          <w:szCs w:val="20"/>
          <w:highlight w:val="none"/>
          <w:lang w:val="en-US" w:eastAsia="zh-CN"/>
        </w:rPr>
        <w:t>年度</w:t>
      </w:r>
      <w:r>
        <w:rPr>
          <w:rFonts w:hint="eastAsia" w:ascii="仿宋" w:hAnsi="仿宋" w:eastAsia="仿宋" w:cs="仿宋"/>
          <w:color w:val="auto"/>
          <w:sz w:val="20"/>
          <w:szCs w:val="20"/>
          <w:highlight w:val="none"/>
        </w:rPr>
        <w:t>服务费总金额：人民币</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元（大写：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）。按照不同业务种类单项价格及最终完成数量据实结算，不同单项可进行互补，但最高结算金额不超过预估服务费总金额，超出部分不再另行支付。</w:t>
      </w:r>
    </w:p>
    <w:p w14:paraId="12175458">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2.上述服务费总金额包括但不限于乙方完成合同约定的全部服务内容，甲方向其支付的全部费用，除上述费用外，甲方无需再向乙方支付其他任何费用。</w:t>
      </w:r>
    </w:p>
    <w:p w14:paraId="57F3A651">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3.本项目采取一次采购贰年沿用、实行一年一考核一签合同(每年合同期满后，采购人根据相关政策以及成交供应商服务质量决定是否与其直接续签下一年合同，但成交单价不予调整)</w:t>
      </w:r>
    </w:p>
    <w:p w14:paraId="0F936D9B">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color w:val="0000FF"/>
          <w:sz w:val="20"/>
          <w:szCs w:val="20"/>
          <w:highlight w:val="none"/>
          <w:lang w:val="en-US" w:eastAsia="zh-CN"/>
        </w:rPr>
      </w:pPr>
      <w:r>
        <w:rPr>
          <w:rFonts w:hint="eastAsia" w:ascii="仿宋" w:hAnsi="仿宋" w:eastAsia="仿宋" w:cs="仿宋"/>
          <w:color w:val="auto"/>
          <w:sz w:val="20"/>
          <w:szCs w:val="20"/>
          <w:highlight w:val="none"/>
          <w:lang w:val="en-US" w:eastAsia="zh-CN"/>
        </w:rPr>
        <w:t>4.如一年合同期满但采购人未获得预算批复或需求取消，则经采购人提前书面通知供应商后，合同到期终止，不再顺延。</w:t>
      </w:r>
    </w:p>
    <w:p w14:paraId="3EB7A8B0">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color w:val="0000FF"/>
          <w:sz w:val="20"/>
          <w:szCs w:val="20"/>
          <w:highlight w:val="none"/>
          <w:lang w:val="en-US" w:eastAsia="zh-CN"/>
        </w:rPr>
      </w:pPr>
    </w:p>
    <w:p w14:paraId="13912822">
      <w:pPr>
        <w:keepNext w:val="0"/>
        <w:keepLines w:val="0"/>
        <w:pageBreakBefore w:val="0"/>
        <w:widowControl w:val="0"/>
        <w:kinsoku/>
        <w:wordWrap/>
        <w:overflowPunct/>
        <w:topLinePunct w:val="0"/>
        <w:autoSpaceDE/>
        <w:autoSpaceDN/>
        <w:bidi w:val="0"/>
        <w:adjustRightInd/>
        <w:spacing w:line="360" w:lineRule="auto"/>
        <w:ind w:right="26"/>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三、服务内容</w:t>
      </w:r>
    </w:p>
    <w:p w14:paraId="0DDECEB9">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服务覆盖住房建设领域全链条辅助工作，具体包括：</w:t>
      </w:r>
    </w:p>
    <w:p w14:paraId="6EA7E1C9">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1.渠道投诉及综合辅助服务:负责协助网上投诉与咨询工单接收、分派、核查、协办、回复闭环;群众现场来访接待、登记、协调处置;局务会、群众见面会等会议筹备、记录、资料整理;交办的临时事项办理。</w:t>
      </w:r>
    </w:p>
    <w:p w14:paraId="4E3A92A1">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2.信访事项处置辅助服务:负责协助信访信息整理、更新、统计;现场调查取证、秩序维护、政策解释;信访台账建立、分类、归档;年度信访统计报表编制;提供现场工作所需车辆保障；交办的临时事项办理。</w:t>
      </w:r>
    </w:p>
    <w:p w14:paraId="4DCE4BE8">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3.执法现场类辅助服务:负责协助住房租赁机构、房地产经纪机构、商品房销售现场、公租房、两类企业安全等相关检查，负责协助现场记录、信息登记、现场照片拍摄、普法宣传；提供现场工作所需车辆保障；交办的临时事项办理。</w:t>
      </w:r>
    </w:p>
    <w:p w14:paraId="7A64B436">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b w:val="0"/>
          <w:bCs w:val="0"/>
          <w:sz w:val="20"/>
          <w:szCs w:val="20"/>
          <w:highlight w:val="none"/>
        </w:rPr>
      </w:pPr>
      <w:r>
        <w:rPr>
          <w:rFonts w:hint="eastAsia" w:ascii="仿宋" w:hAnsi="仿宋" w:eastAsia="仿宋" w:cs="仿宋"/>
          <w:b w:val="0"/>
          <w:bCs w:val="0"/>
          <w:sz w:val="20"/>
          <w:szCs w:val="20"/>
          <w:highlight w:val="none"/>
        </w:rPr>
        <w:t>4.资料整理及政策业务咨询辅助服务:负责协助业务资料收集、分类、归档、台账维护;业务申报资料初审、记录、流转;平台业务办理、数据统计、分析报告出具;现场政策咨询解读与记录;住房建设领域其他资料整理、数据分析及交办的临时工作。</w:t>
      </w:r>
    </w:p>
    <w:p w14:paraId="3DCC9B59">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四、服务时间和地点</w:t>
      </w:r>
    </w:p>
    <w:p w14:paraId="07272DE7">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（一）服务期2年（合同每年签订一次。合同到期后，对服务单位进行综合考评，以实际考评结果决定是否续签合同）。</w:t>
      </w:r>
    </w:p>
    <w:p w14:paraId="411CBC9D">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(二)交付或实施的地点：甲方指定地地点。</w:t>
      </w:r>
    </w:p>
    <w:p w14:paraId="0F644BAE">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五、甲方乙方的权利和义务</w:t>
      </w:r>
    </w:p>
    <w:p w14:paraId="5CFF1F3F">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甲方的权利与义务</w:t>
      </w:r>
    </w:p>
    <w:p w14:paraId="56E759FB">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（一）甲方应向乙方介绍相关工作基本情况，并提出工作要求，由乙方指定其工作人员的工作岗位及工作任务。</w:t>
      </w:r>
    </w:p>
    <w:p w14:paraId="4A1ADDA0">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（二）提供相关场地和文件材料。甲方应提供必要的背景材料及有关资料。在乙方提供服务有困难时，甲方应给予必要的工作协助。</w:t>
      </w:r>
    </w:p>
    <w:p w14:paraId="5AC2A4C2">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（三）甲方有权了解乙方的项目进展情况并监督工作质量。</w:t>
      </w:r>
    </w:p>
    <w:p w14:paraId="38E46D72">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（四）乙方提供的服务人员有下列行为的，甲方有权要求乙方立即更换，并承担违约责任。</w:t>
      </w:r>
    </w:p>
    <w:p w14:paraId="3D1D30D0">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（1）乙方服务人员违反相关工作规程及甲方规定，造成所负责的工作不能正常运行，或不能保证工作质量，给甲方、第三方造成损失的；</w:t>
      </w:r>
    </w:p>
    <w:p w14:paraId="691654DC">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（2）乙方服务人员不按照工作要求开展工作的；</w:t>
      </w:r>
    </w:p>
    <w:p w14:paraId="6C124E10">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（3）乙方服务人员在工作中谩骂他人或斗殴或以肢体、拳脚相击的，或发生重大舆情事件的。</w:t>
      </w:r>
    </w:p>
    <w:p w14:paraId="3FB07832">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（五）甲方应按本合同约定向乙方支付服务费用。</w:t>
      </w:r>
    </w:p>
    <w:p w14:paraId="360B9F36">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乙方的权利与义务</w:t>
      </w:r>
    </w:p>
    <w:p w14:paraId="70C5E254">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（一）乙方应保证具有履行本合同的法定资质，于合同生效后 10 日内， 向甲方提供营业执照等资质证明的原件及复印件。</w:t>
      </w:r>
    </w:p>
    <w:p w14:paraId="17160E35">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（二）乙方充分了解甲方要求，能够按照甲方要求完成服务内容。</w:t>
      </w:r>
    </w:p>
    <w:p w14:paraId="75CDF9FA">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（三）乙方应按照甲方要求对服务人员进行必要的培训，并明确工作重点环节及任务要求；</w:t>
      </w:r>
    </w:p>
    <w:p w14:paraId="4CBA7068">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（四）乙方应按照甲方要求保质保量完成工作，在工作过程中，采取严肃认真的态度，力求工作的及时性、全面性、准确性。</w:t>
      </w:r>
    </w:p>
    <w:p w14:paraId="7B7DDDEA">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（五）乙方服务人员因自身原因给甲方、第三方造成人身或财产损失的，由乙方承担法律责任。</w:t>
      </w:r>
    </w:p>
    <w:p w14:paraId="4DB1B430">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六）乙方及乙方提供的服务人员对履行本合同义务过程中获悉的甲方的、第三方的相关资料、数据等承担保密义务，不得向第三方泄露或用于本合同以外的其他用途，乙方对乙方服务人员的保密义务承担连带责任。本义务长期有效，不因本合同终止而解除。</w:t>
      </w:r>
    </w:p>
    <w:p w14:paraId="512A7587">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七）甲方对服务人员监督、检查过程中发现的问题，乙方应在甲方限定的合理期限内根据甲方的要求予以整改，超过限定期限或整改不合格的，由此产生的后果由乙方自行承担，甲方有权暂缓付款并追究乙方的违约责任。</w:t>
      </w:r>
    </w:p>
    <w:p w14:paraId="11929388">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八）乙方承担提供服务过程中的服务人员安全责任，乙方人员在工作期间发生工伤，乙方应按照相关法律法规承担工伤认定申请、劳动能力鉴定申请、赔偿等用人单位责任以及相应的协调工作，甲方应积极配合。如给甲方造成经济损失，乙方需向甲方进行同等金额的经济赔偿。</w:t>
      </w:r>
    </w:p>
    <w:p w14:paraId="75B63FD3">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（九）乙方应及时与甲方确认服务质量。</w:t>
      </w:r>
    </w:p>
    <w:p w14:paraId="6A2E7EB7">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（十）乙方承诺主动配合接受结果查究。</w:t>
      </w:r>
    </w:p>
    <w:p w14:paraId="34281051">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（十一）乙方提供的服务人员应在本合同期限内与乙方具有劳动关系。</w:t>
      </w:r>
    </w:p>
    <w:p w14:paraId="5F77090D">
      <w:pPr>
        <w:keepNext w:val="0"/>
        <w:keepLines w:val="0"/>
        <w:pageBreakBefore w:val="0"/>
        <w:widowControl w:val="0"/>
        <w:kinsoku/>
        <w:wordWrap/>
        <w:overflowPunct/>
        <w:topLinePunct w:val="0"/>
        <w:autoSpaceDE/>
        <w:autoSpaceDN/>
        <w:bidi w:val="0"/>
        <w:adjustRightInd/>
        <w:spacing w:line="360" w:lineRule="auto"/>
        <w:ind w:left="39" w:right="26" w:firstLine="479"/>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（十二）乙方不得将本合同义务转委托。</w:t>
      </w:r>
    </w:p>
    <w:p w14:paraId="358D038F">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eastAsia="zh-CN"/>
        </w:rPr>
        <w:t>六</w:t>
      </w:r>
      <w:r>
        <w:rPr>
          <w:rFonts w:hint="eastAsia" w:ascii="仿宋" w:hAnsi="仿宋" w:eastAsia="仿宋" w:cs="仿宋"/>
          <w:b/>
          <w:bCs/>
          <w:sz w:val="20"/>
          <w:szCs w:val="20"/>
          <w:highlight w:val="none"/>
        </w:rPr>
        <w:t>、</w:t>
      </w:r>
      <w:r>
        <w:rPr>
          <w:rFonts w:hint="eastAsia" w:ascii="仿宋" w:hAnsi="仿宋" w:eastAsia="仿宋" w:cs="仿宋"/>
          <w:b/>
          <w:bCs/>
          <w:sz w:val="20"/>
          <w:szCs w:val="20"/>
          <w:highlight w:val="none"/>
          <w:lang w:eastAsia="zh-CN"/>
        </w:rPr>
        <w:t>保密规定</w:t>
      </w:r>
    </w:p>
    <w:p w14:paraId="4E163BFF">
      <w:pPr>
        <w:keepNext w:val="0"/>
        <w:keepLines w:val="0"/>
        <w:pageBreakBefore w:val="0"/>
        <w:widowControl w:val="0"/>
        <w:kinsoku/>
        <w:wordWrap/>
        <w:overflowPunct/>
        <w:topLinePunct w:val="0"/>
        <w:autoSpaceDE/>
        <w:autoSpaceDN/>
        <w:bidi w:val="0"/>
        <w:adjustRightInd/>
        <w:spacing w:line="360" w:lineRule="auto"/>
        <w:ind w:left="40" w:firstLine="400" w:firstLineChars="200"/>
        <w:textAlignment w:val="auto"/>
        <w:outlineLvl w:val="0"/>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甲、乙双方应永久恪守因签署或履行本合同而获知的对方秘密信息及其他秘密资料。乙方</w:t>
      </w:r>
      <w:r>
        <w:rPr>
          <w:rFonts w:hint="eastAsia" w:ascii="仿宋" w:hAnsi="仿宋" w:eastAsia="仿宋" w:cs="仿宋"/>
          <w:sz w:val="20"/>
          <w:szCs w:val="20"/>
          <w:highlight w:val="none"/>
        </w:rPr>
        <w:t>对于本次委托事宜及信息细节，乙方人员具有保密义务，不得向任何第三方进行披露或为履行本合同以外的目的进行使用</w:t>
      </w:r>
      <w:r>
        <w:rPr>
          <w:rFonts w:hint="eastAsia" w:ascii="仿宋" w:hAnsi="仿宋" w:eastAsia="仿宋" w:cs="仿宋"/>
          <w:sz w:val="20"/>
          <w:szCs w:val="20"/>
          <w:highlight w:val="none"/>
          <w:lang w:eastAsia="zh-CN"/>
        </w:rPr>
        <w:t>，任何一方如将获知的对方秘密信息泄露给第三方，应赔偿因泄密而给对方造成的一切损失并承担相应的法律责任（包括刑事责任）</w:t>
      </w:r>
      <w:r>
        <w:rPr>
          <w:rFonts w:hint="eastAsia" w:ascii="仿宋" w:hAnsi="仿宋" w:eastAsia="仿宋" w:cs="仿宋"/>
          <w:sz w:val="20"/>
          <w:szCs w:val="20"/>
          <w:highlight w:val="none"/>
        </w:rPr>
        <w:t>。</w:t>
      </w:r>
    </w:p>
    <w:p w14:paraId="0ACB2FE3">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eastAsia="zh-CN"/>
        </w:rPr>
        <w:t>七</w:t>
      </w:r>
      <w:r>
        <w:rPr>
          <w:rFonts w:hint="eastAsia" w:ascii="仿宋" w:hAnsi="仿宋" w:eastAsia="仿宋" w:cs="仿宋"/>
          <w:b/>
          <w:bCs/>
          <w:sz w:val="20"/>
          <w:szCs w:val="20"/>
          <w:highlight w:val="none"/>
        </w:rPr>
        <w:t>、</w:t>
      </w:r>
      <w:r>
        <w:rPr>
          <w:rFonts w:hint="eastAsia" w:ascii="仿宋" w:hAnsi="仿宋" w:eastAsia="仿宋" w:cs="仿宋"/>
          <w:b/>
          <w:bCs/>
          <w:sz w:val="20"/>
          <w:szCs w:val="20"/>
          <w:highlight w:val="none"/>
          <w:lang w:eastAsia="zh-CN"/>
        </w:rPr>
        <w:t>知识产权</w:t>
      </w:r>
    </w:p>
    <w:p w14:paraId="2B5CE529">
      <w:pPr>
        <w:keepNext w:val="0"/>
        <w:keepLines w:val="0"/>
        <w:pageBreakBefore w:val="0"/>
        <w:widowControl w:val="0"/>
        <w:kinsoku/>
        <w:wordWrap/>
        <w:overflowPunct/>
        <w:topLinePunct w:val="0"/>
        <w:autoSpaceDE/>
        <w:autoSpaceDN/>
        <w:bidi w:val="0"/>
        <w:adjustRightInd/>
        <w:spacing w:line="360" w:lineRule="auto"/>
        <w:ind w:left="40" w:firstLine="400" w:firstLineChars="200"/>
        <w:textAlignment w:val="auto"/>
        <w:outlineLvl w:val="0"/>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本项目知识产权归甲方所有。</w:t>
      </w:r>
    </w:p>
    <w:p w14:paraId="42C54BE1">
      <w:pPr>
        <w:keepNext w:val="0"/>
        <w:keepLines w:val="0"/>
        <w:pageBreakBefore w:val="0"/>
        <w:widowControl w:val="0"/>
        <w:kinsoku/>
        <w:wordWrap/>
        <w:overflowPunct/>
        <w:topLinePunct w:val="0"/>
        <w:autoSpaceDE/>
        <w:autoSpaceDN/>
        <w:bidi w:val="0"/>
        <w:adjustRightInd/>
        <w:spacing w:line="360" w:lineRule="auto"/>
        <w:ind w:left="40" w:firstLine="400" w:firstLineChars="200"/>
        <w:textAlignment w:val="auto"/>
        <w:outlineLvl w:val="0"/>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乙方无论出于任何目的如在其他地方使用该成果，必须经甲方同意方可使用。否则，甲方有权要求终止涉及到该中标知识产权的任何使用活动并保留追究相应的法律责任的权利。</w:t>
      </w:r>
    </w:p>
    <w:p w14:paraId="6AD3CB78">
      <w:pPr>
        <w:keepNext w:val="0"/>
        <w:keepLines w:val="0"/>
        <w:pageBreakBefore w:val="0"/>
        <w:widowControl w:val="0"/>
        <w:kinsoku/>
        <w:wordWrap/>
        <w:overflowPunct/>
        <w:topLinePunct w:val="0"/>
        <w:autoSpaceDE/>
        <w:autoSpaceDN/>
        <w:bidi w:val="0"/>
        <w:adjustRightInd/>
        <w:spacing w:line="360" w:lineRule="auto"/>
        <w:ind w:left="40" w:firstLine="400" w:firstLineChars="200"/>
        <w:textAlignment w:val="auto"/>
        <w:outlineLvl w:val="0"/>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乙方为执行本合同而提供的技术资料等使用权归甲方所有。</w:t>
      </w:r>
    </w:p>
    <w:p w14:paraId="444DB1F3">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eastAsia="zh-CN"/>
        </w:rPr>
        <w:t>八</w:t>
      </w:r>
      <w:r>
        <w:rPr>
          <w:rFonts w:hint="eastAsia" w:ascii="仿宋" w:hAnsi="仿宋" w:eastAsia="仿宋" w:cs="仿宋"/>
          <w:b/>
          <w:bCs/>
          <w:sz w:val="20"/>
          <w:szCs w:val="20"/>
          <w:highlight w:val="none"/>
        </w:rPr>
        <w:t>、</w:t>
      </w:r>
      <w:r>
        <w:rPr>
          <w:rFonts w:hint="eastAsia" w:ascii="仿宋" w:hAnsi="仿宋" w:eastAsia="仿宋" w:cs="仿宋"/>
          <w:b/>
          <w:bCs/>
          <w:sz w:val="20"/>
          <w:szCs w:val="20"/>
          <w:highlight w:val="none"/>
          <w:lang w:eastAsia="zh-CN"/>
        </w:rPr>
        <w:t>其他事项</w:t>
      </w:r>
    </w:p>
    <w:p w14:paraId="1E92CDDB">
      <w:pPr>
        <w:keepNext w:val="0"/>
        <w:keepLines w:val="0"/>
        <w:pageBreakBefore w:val="0"/>
        <w:widowControl w:val="0"/>
        <w:kinsoku/>
        <w:wordWrap/>
        <w:overflowPunct/>
        <w:topLinePunct w:val="0"/>
        <w:autoSpaceDE/>
        <w:autoSpaceDN/>
        <w:bidi w:val="0"/>
        <w:adjustRightInd/>
        <w:spacing w:line="360" w:lineRule="auto"/>
        <w:ind w:left="40" w:firstLine="400" w:firstLineChars="200"/>
        <w:textAlignment w:val="auto"/>
        <w:outlineLvl w:val="0"/>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1.乙方不得自行转让给其它单位或个人。</w:t>
      </w:r>
    </w:p>
    <w:p w14:paraId="6AF0DDB5">
      <w:pPr>
        <w:keepNext w:val="0"/>
        <w:keepLines w:val="0"/>
        <w:pageBreakBefore w:val="0"/>
        <w:widowControl w:val="0"/>
        <w:kinsoku/>
        <w:wordWrap/>
        <w:overflowPunct/>
        <w:topLinePunct w:val="0"/>
        <w:autoSpaceDE/>
        <w:autoSpaceDN/>
        <w:bidi w:val="0"/>
        <w:adjustRightInd/>
        <w:spacing w:line="360" w:lineRule="auto"/>
        <w:ind w:left="40" w:firstLine="400" w:firstLineChars="200"/>
        <w:textAlignment w:val="auto"/>
        <w:outlineLvl w:val="0"/>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2.乙方经过甲方同意后可以分包给其它单位或个人。</w:t>
      </w:r>
    </w:p>
    <w:p w14:paraId="220D007D">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eastAsia="zh-CN"/>
        </w:rPr>
        <w:t>九</w:t>
      </w:r>
      <w:r>
        <w:rPr>
          <w:rFonts w:hint="eastAsia" w:ascii="仿宋" w:hAnsi="仿宋" w:eastAsia="仿宋" w:cs="仿宋"/>
          <w:b/>
          <w:bCs/>
          <w:sz w:val="20"/>
          <w:szCs w:val="20"/>
          <w:highlight w:val="none"/>
        </w:rPr>
        <w:t>、付款方式：</w:t>
      </w:r>
    </w:p>
    <w:p w14:paraId="6F5A681F">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双方约定的协议价款支付的方式、时间和比例为：</w:t>
      </w:r>
    </w:p>
    <w:p w14:paraId="39CDA46F">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sz w:val="20"/>
          <w:szCs w:val="20"/>
          <w:highlight w:val="none"/>
          <w:lang w:val="en-US" w:eastAsia="zh-CN"/>
        </w:rPr>
        <w:t>（一）付款方式：</w:t>
      </w:r>
      <w:r>
        <w:rPr>
          <w:rFonts w:hint="eastAsia" w:ascii="仿宋" w:hAnsi="仿宋" w:eastAsia="仿宋" w:cs="仿宋"/>
          <w:color w:val="auto"/>
          <w:sz w:val="20"/>
          <w:szCs w:val="20"/>
          <w:highlight w:val="none"/>
          <w:lang w:val="en-US" w:eastAsia="zh-CN"/>
        </w:rPr>
        <w:t>自乙方正式开展服务当月起按月结算，每月支付合同总价款的 10%，累计付款至总价 90%后暂停按</w:t>
      </w:r>
      <w:bookmarkStart w:id="0" w:name="_GoBack"/>
      <w:bookmarkEnd w:id="0"/>
      <w:r>
        <w:rPr>
          <w:rFonts w:hint="eastAsia" w:ascii="仿宋" w:hAnsi="仿宋" w:eastAsia="仿宋" w:cs="仿宋"/>
          <w:color w:val="auto"/>
          <w:sz w:val="20"/>
          <w:szCs w:val="20"/>
          <w:highlight w:val="none"/>
          <w:lang w:val="en-US" w:eastAsia="zh-CN"/>
        </w:rPr>
        <w:t>月支付;乙方每月结算前需提交当期服务确认单并开具等额有效发票，持中标通知书、服务合同、合规发票及相关资料办理结算，甲方审核无误后 20个工作日内完成付款，剩余10%尾款待全部服务履行完毕并通过最终验收后，由甲方在 15个工作日内一次性无息付清;甲方有权对乙方工作进行考核，对未达标工作按双方共同确认的标准予以处罚，相应费用直接从结算款项中扣除，若乙方资料不全、发票不合规或服务未达标，甲方可顺延付款且不承担逾期责任。</w:t>
      </w:r>
    </w:p>
    <w:p w14:paraId="4BD96062">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（二）甲方有权对乙方工作进行考核，对未按要求达标的工作，需根据实际情况进行处罚，相应处罚将从结算款项中扣除(扣除费用由甲乙双方共同确认）。</w:t>
      </w:r>
    </w:p>
    <w:p w14:paraId="588801AB">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（三）支付方式：银行转账。</w:t>
      </w:r>
      <w:r>
        <w:rPr>
          <w:rFonts w:hint="eastAsia" w:ascii="仿宋" w:hAnsi="仿宋" w:eastAsia="仿宋" w:cs="仿宋"/>
          <w:sz w:val="20"/>
          <w:szCs w:val="20"/>
          <w:highlight w:val="none"/>
        </w:rPr>
        <w:t>乙方收款账户信息如下：</w:t>
      </w:r>
    </w:p>
    <w:p w14:paraId="185CFE9E">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账户名称：</w:t>
      </w:r>
      <w:r>
        <w:rPr>
          <w:rFonts w:hint="eastAsia" w:ascii="仿宋" w:hAnsi="仿宋" w:eastAsia="仿宋" w:cs="仿宋"/>
          <w:sz w:val="20"/>
          <w:szCs w:val="20"/>
          <w:highlight w:val="none"/>
          <w:u w:val="single"/>
          <w:lang w:val="en-US" w:eastAsia="zh-CN"/>
        </w:rPr>
        <w:t xml:space="preserve">                    </w:t>
      </w:r>
    </w:p>
    <w:p w14:paraId="2D6342C2">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账户号码：</w:t>
      </w:r>
      <w:r>
        <w:rPr>
          <w:rFonts w:hint="eastAsia" w:ascii="仿宋" w:hAnsi="仿宋" w:eastAsia="仿宋" w:cs="仿宋"/>
          <w:sz w:val="20"/>
          <w:szCs w:val="20"/>
          <w:highlight w:val="none"/>
          <w:u w:val="single"/>
          <w:lang w:val="en-US" w:eastAsia="zh-CN"/>
        </w:rPr>
        <w:t xml:space="preserve">                    </w:t>
      </w:r>
    </w:p>
    <w:p w14:paraId="2F22F51F">
      <w:pPr>
        <w:keepNext w:val="0"/>
        <w:keepLines w:val="0"/>
        <w:pageBreakBefore w:val="0"/>
        <w:widowControl w:val="0"/>
        <w:kinsoku/>
        <w:wordWrap/>
        <w:overflowPunct/>
        <w:topLinePunct w:val="0"/>
        <w:autoSpaceDE/>
        <w:autoSpaceDN/>
        <w:bidi w:val="0"/>
        <w:adjustRightInd/>
        <w:spacing w:line="360" w:lineRule="auto"/>
        <w:ind w:left="40" w:firstLine="482"/>
        <w:textAlignment w:val="auto"/>
        <w:rPr>
          <w:rFonts w:hint="eastAsia" w:ascii="仿宋" w:hAnsi="仿宋" w:eastAsia="仿宋" w:cs="仿宋"/>
          <w:sz w:val="20"/>
          <w:szCs w:val="20"/>
          <w:highlight w:val="none"/>
          <w:u w:val="single"/>
          <w:lang w:val="en-US" w:eastAsia="zh-CN"/>
        </w:rPr>
      </w:pPr>
      <w:r>
        <w:rPr>
          <w:rFonts w:hint="eastAsia" w:ascii="仿宋" w:hAnsi="仿宋" w:eastAsia="仿宋" w:cs="仿宋"/>
          <w:sz w:val="20"/>
          <w:szCs w:val="20"/>
          <w:highlight w:val="none"/>
        </w:rPr>
        <w:t>开户银行</w:t>
      </w:r>
      <w:r>
        <w:rPr>
          <w:rFonts w:hint="eastAsia" w:ascii="仿宋" w:hAnsi="仿宋" w:eastAsia="仿宋" w:cs="仿宋"/>
          <w:sz w:val="20"/>
          <w:szCs w:val="20"/>
          <w:highlight w:val="none"/>
          <w:lang w:eastAsia="zh-Hans"/>
        </w:rPr>
        <w:t>：</w:t>
      </w:r>
      <w:r>
        <w:rPr>
          <w:rFonts w:hint="eastAsia" w:ascii="仿宋" w:hAnsi="仿宋" w:eastAsia="仿宋" w:cs="仿宋"/>
          <w:sz w:val="20"/>
          <w:szCs w:val="20"/>
          <w:highlight w:val="none"/>
          <w:u w:val="single"/>
          <w:lang w:val="en-US" w:eastAsia="zh-CN"/>
        </w:rPr>
        <w:t xml:space="preserve">                    </w:t>
      </w:r>
    </w:p>
    <w:p w14:paraId="6DB5E8EE">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val="en-US" w:eastAsia="zh-CN"/>
        </w:rPr>
        <w:t>十</w:t>
      </w:r>
      <w:r>
        <w:rPr>
          <w:rFonts w:hint="eastAsia" w:ascii="仿宋" w:hAnsi="仿宋" w:eastAsia="仿宋" w:cs="仿宋"/>
          <w:b/>
          <w:bCs/>
          <w:sz w:val="20"/>
          <w:szCs w:val="20"/>
          <w:highlight w:val="none"/>
        </w:rPr>
        <w:t>、验收</w:t>
      </w:r>
    </w:p>
    <w:p w14:paraId="6C784F5D">
      <w:pPr>
        <w:pStyle w:val="14"/>
        <w:keepNext w:val="0"/>
        <w:keepLines w:val="0"/>
        <w:pageBreakBefore w:val="0"/>
        <w:widowControl w:val="0"/>
        <w:tabs>
          <w:tab w:val="left" w:pos="1036"/>
        </w:tabs>
        <w:kinsoku/>
        <w:wordWrap/>
        <w:overflowPunct/>
        <w:topLinePunct w:val="0"/>
        <w:autoSpaceDE/>
        <w:autoSpaceDN/>
        <w:bidi w:val="0"/>
        <w:adjustRightInd/>
        <w:spacing w:line="360" w:lineRule="auto"/>
        <w:ind w:firstLine="392" w:firstLineChars="200"/>
        <w:jc w:val="both"/>
        <w:textAlignment w:val="auto"/>
        <w:rPr>
          <w:rFonts w:ascii="仿宋" w:hAnsi="仿宋" w:eastAsia="仿宋" w:cs="仿宋"/>
          <w:spacing w:val="-1"/>
          <w:sz w:val="20"/>
          <w:szCs w:val="20"/>
        </w:rPr>
      </w:pPr>
      <w:r>
        <w:rPr>
          <w:rFonts w:ascii="仿宋" w:hAnsi="仿宋" w:eastAsia="仿宋" w:cs="仿宋"/>
          <w:spacing w:val="-2"/>
          <w:sz w:val="20"/>
          <w:szCs w:val="20"/>
        </w:rPr>
        <w:t>合同期限届满，</w:t>
      </w:r>
      <w:r>
        <w:rPr>
          <w:rFonts w:hint="eastAsia" w:ascii="仿宋" w:hAnsi="仿宋" w:eastAsia="仿宋" w:cs="仿宋"/>
          <w:spacing w:val="-2"/>
          <w:sz w:val="20"/>
          <w:szCs w:val="20"/>
          <w:lang w:val="en-US" w:eastAsia="zh-CN"/>
        </w:rPr>
        <w:t>由甲方</w:t>
      </w:r>
      <w:r>
        <w:rPr>
          <w:rFonts w:ascii="仿宋" w:hAnsi="仿宋" w:eastAsia="仿宋" w:cs="仿宋"/>
          <w:spacing w:val="-2"/>
          <w:sz w:val="20"/>
          <w:szCs w:val="20"/>
        </w:rPr>
        <w:t>整体验收，乙方完成全部工作内容、提交服务人员所服务</w:t>
      </w:r>
      <w:r>
        <w:rPr>
          <w:rFonts w:hint="eastAsia" w:ascii="仿宋" w:hAnsi="仿宋" w:eastAsia="仿宋" w:cs="仿宋"/>
          <w:spacing w:val="-2"/>
          <w:sz w:val="20"/>
          <w:szCs w:val="20"/>
          <w:lang w:val="en-US" w:eastAsia="zh-CN"/>
        </w:rPr>
        <w:t>部门</w:t>
      </w:r>
      <w:r>
        <w:rPr>
          <w:rFonts w:ascii="仿宋" w:hAnsi="仿宋" w:eastAsia="仿宋" w:cs="仿宋"/>
          <w:spacing w:val="-2"/>
          <w:sz w:val="20"/>
          <w:szCs w:val="20"/>
        </w:rPr>
        <w:t>负责人认可的服务明细及数据，并最终经</w:t>
      </w:r>
      <w:r>
        <w:rPr>
          <w:rFonts w:hint="eastAsia" w:ascii="仿宋" w:hAnsi="仿宋" w:eastAsia="仿宋" w:cs="仿宋"/>
          <w:sz w:val="20"/>
          <w:szCs w:val="20"/>
          <w:highlight w:val="none"/>
          <w:lang w:val="en-US" w:eastAsia="zh-CN"/>
        </w:rPr>
        <w:t>甲方</w:t>
      </w:r>
      <w:r>
        <w:rPr>
          <w:rFonts w:ascii="仿宋" w:hAnsi="仿宋" w:eastAsia="仿宋" w:cs="仿宋"/>
          <w:spacing w:val="-2"/>
          <w:sz w:val="20"/>
          <w:szCs w:val="20"/>
        </w:rPr>
        <w:t>认可无异议后视为验收合格，由双方共同签订《验收报告》。如经验收不符合合同规定的，乙方应在甲方要求的时限内整改</w:t>
      </w:r>
      <w:r>
        <w:rPr>
          <w:rFonts w:ascii="仿宋" w:hAnsi="仿宋" w:eastAsia="仿宋" w:cs="仿宋"/>
          <w:spacing w:val="-1"/>
          <w:sz w:val="20"/>
          <w:szCs w:val="20"/>
        </w:rPr>
        <w:t>完毕且最终通过甲方验收，如给甲方造成损失的，乙方应承担赔偿责任。</w:t>
      </w:r>
    </w:p>
    <w:p w14:paraId="1DEA299F">
      <w:pPr>
        <w:pStyle w:val="14"/>
        <w:keepNext w:val="0"/>
        <w:keepLines w:val="0"/>
        <w:pageBreakBefore w:val="0"/>
        <w:widowControl w:val="0"/>
        <w:tabs>
          <w:tab w:val="left" w:pos="1036"/>
        </w:tabs>
        <w:kinsoku/>
        <w:wordWrap/>
        <w:overflowPunct/>
        <w:topLinePunct w:val="0"/>
        <w:autoSpaceDE/>
        <w:autoSpaceDN/>
        <w:bidi w:val="0"/>
        <w:adjustRightInd/>
        <w:spacing w:line="360" w:lineRule="auto"/>
        <w:ind w:firstLine="400" w:firstLineChars="20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验收依据：</w:t>
      </w:r>
    </w:p>
    <w:p w14:paraId="13127611">
      <w:pPr>
        <w:pStyle w:val="14"/>
        <w:keepNext w:val="0"/>
        <w:keepLines w:val="0"/>
        <w:pageBreakBefore w:val="0"/>
        <w:widowControl w:val="0"/>
        <w:tabs>
          <w:tab w:val="left" w:pos="1036"/>
        </w:tabs>
        <w:kinsoku/>
        <w:wordWrap/>
        <w:overflowPunct/>
        <w:topLinePunct w:val="0"/>
        <w:autoSpaceDE/>
        <w:autoSpaceDN/>
        <w:bidi w:val="0"/>
        <w:adjustRightInd/>
        <w:spacing w:line="360" w:lineRule="auto"/>
        <w:ind w:firstLine="400" w:firstLineChars="20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（1）合同文本。</w:t>
      </w:r>
    </w:p>
    <w:p w14:paraId="716C9F94">
      <w:pPr>
        <w:pStyle w:val="14"/>
        <w:keepNext w:val="0"/>
        <w:keepLines w:val="0"/>
        <w:pageBreakBefore w:val="0"/>
        <w:widowControl w:val="0"/>
        <w:tabs>
          <w:tab w:val="left" w:pos="1036"/>
        </w:tabs>
        <w:kinsoku/>
        <w:wordWrap/>
        <w:overflowPunct/>
        <w:topLinePunct w:val="0"/>
        <w:autoSpaceDE/>
        <w:autoSpaceDN/>
        <w:bidi w:val="0"/>
        <w:adjustRightInd/>
        <w:spacing w:line="360" w:lineRule="auto"/>
        <w:ind w:firstLine="400" w:firstLineChars="20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（2）</w:t>
      </w:r>
      <w:r>
        <w:rPr>
          <w:rFonts w:hint="eastAsia" w:ascii="仿宋" w:hAnsi="仿宋" w:eastAsia="仿宋" w:cs="仿宋"/>
          <w:sz w:val="20"/>
          <w:szCs w:val="20"/>
          <w:highlight w:val="none"/>
          <w:lang w:eastAsia="zh-CN"/>
        </w:rPr>
        <w:t>投标文件</w:t>
      </w: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招标</w:t>
      </w:r>
      <w:r>
        <w:rPr>
          <w:rFonts w:hint="eastAsia" w:ascii="仿宋" w:hAnsi="仿宋" w:eastAsia="仿宋" w:cs="仿宋"/>
          <w:sz w:val="20"/>
          <w:szCs w:val="20"/>
          <w:highlight w:val="none"/>
        </w:rPr>
        <w:t>文件、澄清函。</w:t>
      </w:r>
    </w:p>
    <w:p w14:paraId="7A5E141C">
      <w:pPr>
        <w:pStyle w:val="14"/>
        <w:keepNext w:val="0"/>
        <w:keepLines w:val="0"/>
        <w:pageBreakBefore w:val="0"/>
        <w:widowControl w:val="0"/>
        <w:tabs>
          <w:tab w:val="left" w:pos="1036"/>
        </w:tabs>
        <w:kinsoku/>
        <w:wordWrap/>
        <w:overflowPunct/>
        <w:topLinePunct w:val="0"/>
        <w:autoSpaceDE/>
        <w:autoSpaceDN/>
        <w:bidi w:val="0"/>
        <w:adjustRightInd/>
        <w:spacing w:line="360" w:lineRule="auto"/>
        <w:ind w:firstLine="400" w:firstLineChars="20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（3）国家和行业制定的相应的标准和规范。</w:t>
      </w:r>
    </w:p>
    <w:p w14:paraId="6E9D4434">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十</w:t>
      </w:r>
      <w:r>
        <w:rPr>
          <w:rFonts w:hint="eastAsia" w:ascii="仿宋" w:hAnsi="仿宋" w:eastAsia="仿宋" w:cs="仿宋"/>
          <w:b/>
          <w:bCs/>
          <w:sz w:val="20"/>
          <w:szCs w:val="20"/>
          <w:highlight w:val="none"/>
          <w:lang w:val="en-US" w:eastAsia="zh-CN"/>
        </w:rPr>
        <w:t>一</w:t>
      </w:r>
      <w:r>
        <w:rPr>
          <w:rFonts w:hint="eastAsia" w:ascii="仿宋" w:hAnsi="仿宋" w:eastAsia="仿宋" w:cs="仿宋"/>
          <w:b/>
          <w:bCs/>
          <w:sz w:val="20"/>
          <w:szCs w:val="20"/>
          <w:highlight w:val="none"/>
        </w:rPr>
        <w:t>、违约责任</w:t>
      </w:r>
    </w:p>
    <w:p w14:paraId="141F005A">
      <w:pPr>
        <w:keepNext w:val="0"/>
        <w:keepLines w:val="0"/>
        <w:pageBreakBefore w:val="0"/>
        <w:widowControl w:val="0"/>
        <w:kinsoku/>
        <w:wordWrap/>
        <w:overflowPunct/>
        <w:topLinePunct w:val="0"/>
        <w:autoSpaceDE/>
        <w:autoSpaceDN/>
        <w:bidi w:val="0"/>
        <w:adjustRightInd/>
        <w:spacing w:line="360" w:lineRule="auto"/>
        <w:ind w:left="80"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rPr>
        <w:t>按《</w:t>
      </w:r>
      <w:r>
        <w:rPr>
          <w:rFonts w:hint="eastAsia" w:ascii="仿宋" w:hAnsi="仿宋" w:eastAsia="仿宋" w:cs="仿宋"/>
          <w:sz w:val="20"/>
          <w:szCs w:val="20"/>
          <w:highlight w:val="none"/>
          <w:lang w:eastAsia="zh-CN"/>
        </w:rPr>
        <w:t>中华人民共和国</w:t>
      </w:r>
      <w:r>
        <w:rPr>
          <w:rFonts w:hint="eastAsia" w:ascii="仿宋" w:hAnsi="仿宋" w:eastAsia="仿宋" w:cs="仿宋"/>
          <w:sz w:val="20"/>
          <w:szCs w:val="20"/>
          <w:highlight w:val="none"/>
        </w:rPr>
        <w:t>民法典》中的相关条款执行。</w:t>
      </w:r>
    </w:p>
    <w:p w14:paraId="2C47FDED">
      <w:pPr>
        <w:keepNext w:val="0"/>
        <w:keepLines w:val="0"/>
        <w:pageBreakBefore w:val="0"/>
        <w:widowControl w:val="0"/>
        <w:kinsoku/>
        <w:wordWrap/>
        <w:overflowPunct/>
        <w:topLinePunct w:val="0"/>
        <w:autoSpaceDE/>
        <w:autoSpaceDN/>
        <w:bidi w:val="0"/>
        <w:adjustRightInd/>
        <w:spacing w:line="360" w:lineRule="auto"/>
        <w:ind w:left="80" w:firstLine="400" w:firstLineChars="200"/>
        <w:textAlignment w:val="auto"/>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2.未按合同要求提供服务或服务质量不能满足本次采购要求，甲方会同监督机构、采购代理机构有权终止合同和对乙方违约行为进行追究，同时按政府采购法的有关规定进行相应的处罚。</w:t>
      </w:r>
    </w:p>
    <w:p w14:paraId="2FB54D01">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十</w:t>
      </w:r>
      <w:r>
        <w:rPr>
          <w:rFonts w:hint="eastAsia" w:ascii="仿宋" w:hAnsi="仿宋" w:eastAsia="仿宋" w:cs="仿宋"/>
          <w:b/>
          <w:bCs/>
          <w:sz w:val="20"/>
          <w:szCs w:val="20"/>
          <w:highlight w:val="none"/>
          <w:lang w:val="en-US" w:eastAsia="zh-CN"/>
        </w:rPr>
        <w:t>二</w:t>
      </w:r>
      <w:r>
        <w:rPr>
          <w:rFonts w:hint="eastAsia" w:ascii="仿宋" w:hAnsi="仿宋" w:eastAsia="仿宋" w:cs="仿宋"/>
          <w:b/>
          <w:bCs/>
          <w:sz w:val="20"/>
          <w:szCs w:val="20"/>
          <w:highlight w:val="none"/>
        </w:rPr>
        <w:t>、争端的解决</w:t>
      </w:r>
    </w:p>
    <w:p w14:paraId="18E343FE">
      <w:pPr>
        <w:keepNext w:val="0"/>
        <w:keepLines w:val="0"/>
        <w:pageBreakBefore w:val="0"/>
        <w:widowControl w:val="0"/>
        <w:kinsoku/>
        <w:wordWrap/>
        <w:overflowPunct/>
        <w:topLinePunct w:val="0"/>
        <w:autoSpaceDE/>
        <w:autoSpaceDN/>
        <w:bidi w:val="0"/>
        <w:adjustRightInd/>
        <w:spacing w:line="360" w:lineRule="auto"/>
        <w:ind w:left="69" w:right="28" w:firstLine="45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合同执行过程中发生的任何争议，如双方不能通过友好协商解决，甲、乙双方一致同意向甲方所在地</w:t>
      </w:r>
      <w:r>
        <w:rPr>
          <w:rFonts w:hint="eastAsia" w:ascii="仿宋" w:hAnsi="仿宋" w:eastAsia="仿宋" w:cs="仿宋"/>
          <w:sz w:val="20"/>
          <w:szCs w:val="20"/>
          <w:highlight w:val="none"/>
          <w:lang w:val="en-US" w:eastAsia="zh-CN"/>
        </w:rPr>
        <w:t>有管辖权的</w:t>
      </w:r>
      <w:r>
        <w:rPr>
          <w:rFonts w:hint="eastAsia" w:ascii="仿宋" w:hAnsi="仿宋" w:eastAsia="仿宋" w:cs="仿宋"/>
          <w:sz w:val="20"/>
          <w:szCs w:val="20"/>
          <w:highlight w:val="none"/>
        </w:rPr>
        <w:t>人民法院提起诉讼。</w:t>
      </w:r>
    </w:p>
    <w:p w14:paraId="2BD4A425">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十</w:t>
      </w:r>
      <w:r>
        <w:rPr>
          <w:rFonts w:hint="eastAsia" w:ascii="仿宋" w:hAnsi="仿宋" w:eastAsia="仿宋" w:cs="仿宋"/>
          <w:b/>
          <w:bCs/>
          <w:sz w:val="20"/>
          <w:szCs w:val="20"/>
          <w:highlight w:val="none"/>
          <w:lang w:val="en-US" w:eastAsia="zh-CN"/>
        </w:rPr>
        <w:t>三</w:t>
      </w:r>
      <w:r>
        <w:rPr>
          <w:rFonts w:hint="eastAsia" w:ascii="仿宋" w:hAnsi="仿宋" w:eastAsia="仿宋" w:cs="仿宋"/>
          <w:b/>
          <w:bCs/>
          <w:sz w:val="20"/>
          <w:szCs w:val="20"/>
          <w:highlight w:val="none"/>
        </w:rPr>
        <w:t>、不可抗力</w:t>
      </w:r>
    </w:p>
    <w:p w14:paraId="376C5A9B">
      <w:pPr>
        <w:keepNext w:val="0"/>
        <w:keepLines w:val="0"/>
        <w:pageBreakBefore w:val="0"/>
        <w:widowControl w:val="0"/>
        <w:kinsoku/>
        <w:wordWrap/>
        <w:overflowPunct/>
        <w:topLinePunct w:val="0"/>
        <w:autoSpaceDE/>
        <w:autoSpaceDN/>
        <w:bidi w:val="0"/>
        <w:adjustRightInd/>
        <w:spacing w:line="360" w:lineRule="auto"/>
        <w:ind w:left="36" w:right="30" w:firstLine="481"/>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任何一方由于不可抗力原因（自然灾害、疫情等）或者国家、地方政府政策规定、通知等原因导致会议无法正常进行，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8E1C9F">
      <w:pPr>
        <w:keepNext w:val="0"/>
        <w:keepLines w:val="0"/>
        <w:pageBreakBefore w:val="0"/>
        <w:widowControl w:val="0"/>
        <w:kinsoku/>
        <w:wordWrap/>
        <w:overflowPunct/>
        <w:topLinePunct w:val="0"/>
        <w:autoSpaceDE/>
        <w:autoSpaceDN/>
        <w:bidi w:val="0"/>
        <w:adjustRightInd/>
        <w:spacing w:line="360" w:lineRule="auto"/>
        <w:ind w:left="40" w:firstLine="402" w:firstLineChars="200"/>
        <w:textAlignment w:val="auto"/>
        <w:outlineLvl w:val="0"/>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val="en-US" w:eastAsia="zh-CN"/>
        </w:rPr>
        <w:t>十四</w:t>
      </w:r>
      <w:r>
        <w:rPr>
          <w:rFonts w:hint="eastAsia" w:ascii="仿宋" w:hAnsi="仿宋" w:eastAsia="仿宋" w:cs="仿宋"/>
          <w:b/>
          <w:bCs/>
          <w:sz w:val="20"/>
          <w:szCs w:val="20"/>
          <w:highlight w:val="none"/>
        </w:rPr>
        <w:t>、合同生效</w:t>
      </w:r>
    </w:p>
    <w:p w14:paraId="1B11C167">
      <w:pPr>
        <w:keepNext w:val="0"/>
        <w:keepLines w:val="0"/>
        <w:pageBreakBefore w:val="0"/>
        <w:widowControl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一</w:t>
      </w:r>
      <w:r>
        <w:rPr>
          <w:rFonts w:hint="eastAsia" w:ascii="仿宋" w:hAnsi="仿宋" w:eastAsia="仿宋" w:cs="仿宋"/>
          <w:sz w:val="20"/>
          <w:szCs w:val="20"/>
          <w:highlight w:val="none"/>
        </w:rPr>
        <w:t>）本合同一式   份,甲方持   份，乙方持   份,本合同甲、乙各方签字并盖章后生效，合同执行完毕后，自动失效（合同的服务承诺则长期有效）。（</w:t>
      </w:r>
      <w:r>
        <w:rPr>
          <w:rFonts w:hint="eastAsia" w:ascii="仿宋" w:hAnsi="仿宋" w:eastAsia="仿宋" w:cs="仿宋"/>
          <w:sz w:val="20"/>
          <w:szCs w:val="20"/>
          <w:highlight w:val="none"/>
          <w:lang w:val="en-US" w:eastAsia="zh-CN"/>
        </w:rPr>
        <w:t>二</w:t>
      </w:r>
      <w:r>
        <w:rPr>
          <w:rFonts w:hint="eastAsia" w:ascii="仿宋" w:hAnsi="仿宋" w:eastAsia="仿宋" w:cs="仿宋"/>
          <w:sz w:val="20"/>
          <w:szCs w:val="20"/>
          <w:highlight w:val="none"/>
        </w:rPr>
        <w:t>）如本合同有未尽事宜，以招标文件为准，采购文件未做要求的，由双方依法订立补充合同。</w:t>
      </w:r>
    </w:p>
    <w:p w14:paraId="5409AA40">
      <w:pPr>
        <w:keepNext w:val="0"/>
        <w:keepLines w:val="0"/>
        <w:pageBreakBefore w:val="0"/>
        <w:widowControl w:val="0"/>
        <w:kinsoku/>
        <w:wordWrap/>
        <w:overflowPunct/>
        <w:topLinePunct w:val="0"/>
        <w:autoSpaceDE/>
        <w:autoSpaceDN/>
        <w:bidi w:val="0"/>
        <w:adjustRightInd/>
        <w:spacing w:line="360" w:lineRule="auto"/>
        <w:ind w:left="69"/>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甲方(盖章)：                            乙方(盖章)：</w:t>
      </w:r>
    </w:p>
    <w:p w14:paraId="03A84B39">
      <w:pPr>
        <w:keepNext w:val="0"/>
        <w:keepLines w:val="0"/>
        <w:pageBreakBefore w:val="0"/>
        <w:widowControl w:val="0"/>
        <w:kinsoku/>
        <w:wordWrap/>
        <w:overflowPunct/>
        <w:topLinePunct w:val="0"/>
        <w:autoSpaceDE/>
        <w:autoSpaceDN/>
        <w:bidi w:val="0"/>
        <w:adjustRightInd/>
        <w:spacing w:line="360" w:lineRule="auto"/>
        <w:ind w:left="37"/>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代表：                                  </w:t>
      </w:r>
      <w:r>
        <w:rPr>
          <w:rFonts w:hint="eastAsia" w:ascii="仿宋" w:hAnsi="仿宋" w:eastAsia="仿宋" w:cs="仿宋"/>
          <w:sz w:val="20"/>
          <w:szCs w:val="20"/>
          <w:highlight w:val="none"/>
          <w:lang w:val="en-US" w:eastAsia="zh-CN"/>
        </w:rPr>
        <w:t>法定代表人（签字或盖章）</w:t>
      </w:r>
      <w:r>
        <w:rPr>
          <w:rFonts w:hint="eastAsia" w:ascii="仿宋" w:hAnsi="仿宋" w:eastAsia="仿宋" w:cs="仿宋"/>
          <w:sz w:val="20"/>
          <w:szCs w:val="20"/>
          <w:highlight w:val="none"/>
        </w:rPr>
        <w:t>：</w:t>
      </w:r>
    </w:p>
    <w:p w14:paraId="1638DCC4">
      <w:pPr>
        <w:keepNext w:val="0"/>
        <w:keepLines w:val="0"/>
        <w:pageBreakBefore w:val="0"/>
        <w:widowControl w:val="0"/>
        <w:kinsoku/>
        <w:wordWrap/>
        <w:overflowPunct/>
        <w:topLinePunct w:val="0"/>
        <w:autoSpaceDE/>
        <w:autoSpaceDN/>
        <w:bidi w:val="0"/>
        <w:adjustRightInd/>
        <w:spacing w:line="360" w:lineRule="auto"/>
        <w:ind w:left="38"/>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地点：</w:t>
      </w:r>
    </w:p>
    <w:p w14:paraId="0AC8F3F7">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日期：     年     月    日    </w:t>
      </w:r>
      <w:r>
        <w:rPr>
          <w:rFonts w:hint="eastAsia" w:ascii="仿宋" w:hAnsi="仿宋" w:eastAsia="仿宋" w:cs="仿宋"/>
          <w:sz w:val="20"/>
          <w:szCs w:val="20"/>
          <w:highlight w:val="none"/>
          <w:lang w:val="en-US" w:eastAsia="zh-CN"/>
        </w:rPr>
        <w:t xml:space="preserve">         </w:t>
      </w:r>
      <w:r>
        <w:rPr>
          <w:rFonts w:hint="eastAsia" w:ascii="仿宋" w:hAnsi="仿宋" w:eastAsia="仿宋" w:cs="仿宋"/>
          <w:sz w:val="20"/>
          <w:szCs w:val="20"/>
          <w:highlight w:val="none"/>
        </w:rPr>
        <w:t>日期：      年     月     日</w:t>
      </w:r>
    </w:p>
    <w:p w14:paraId="31D176B7">
      <w:pPr>
        <w:spacing w:line="360" w:lineRule="auto"/>
        <w:rPr>
          <w:rFonts w:hint="eastAsia" w:ascii="仿宋" w:hAnsi="仿宋" w:eastAsia="仿宋" w:cs="仿宋"/>
          <w:sz w:val="20"/>
          <w:szCs w:val="20"/>
        </w:rPr>
      </w:pPr>
    </w:p>
    <w:p w14:paraId="635207ED">
      <w:pPr>
        <w:pStyle w:val="11"/>
        <w:rPr>
          <w:rFonts w:hint="eastAsia"/>
          <w:sz w:val="20"/>
          <w:szCs w:val="20"/>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AFC3C93"/>
    <w:rsid w:val="10AD661E"/>
    <w:rsid w:val="17244387"/>
    <w:rsid w:val="177F50ED"/>
    <w:rsid w:val="30334D8B"/>
    <w:rsid w:val="325C2C2C"/>
    <w:rsid w:val="3EB53D06"/>
    <w:rsid w:val="432E78CF"/>
    <w:rsid w:val="45394A48"/>
    <w:rsid w:val="53B52B8D"/>
    <w:rsid w:val="65BD7A6C"/>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keepNext/>
      <w:keepLines/>
      <w:jc w:val="center"/>
      <w:outlineLvl w:val="1"/>
    </w:pPr>
    <w:rPr>
      <w:rFonts w:ascii="Arial" w:hAnsi="Arial" w:eastAsia="宋体" w:cs="宋体"/>
      <w:b/>
      <w:color w:val="000000"/>
      <w:sz w:val="28"/>
      <w:szCs w:val="2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Hyperlink"/>
    <w:basedOn w:val="9"/>
    <w:qFormat/>
    <w:uiPriority w:val="0"/>
    <w:rPr>
      <w:color w:val="0000FF"/>
      <w:u w:val="single"/>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paragraph" w:customStyle="1" w:styleId="14">
    <w:name w:val="Body text|1"/>
    <w:basedOn w:val="1"/>
    <w:qFormat/>
    <w:uiPriority w:val="0"/>
    <w:pPr>
      <w:widowControl w:val="0"/>
      <w:spacing w:line="422"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3491</Words>
  <Characters>3580</Characters>
  <Lines>0</Lines>
  <Paragraphs>0</Paragraphs>
  <TotalTime>3</TotalTime>
  <ScaleCrop>false</ScaleCrop>
  <LinksUpToDate>false</LinksUpToDate>
  <CharactersWithSpaces>4018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THX-www</cp:lastModifiedBy>
  <cp:lastPrinted>2026-06-29T13:16:00Z</cp:lastPrinted>
  <dcterms:modified xsi:type="dcterms:W3CDTF">2026-06-30T15:49:48Z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eyJoZGlkIjoiNzRjYTdhZDc4NGRmOWVmNzNiOWUxZTc5NWYzNjU0MzkiLCJ1c2VySWQiOiIxMjk3MDkyODYyIn0=</vt:lpwstr>
  </property>
  <property fmtid="{D5CDD505-2E9C-101B-9397-08002B2CF9AE}" pid="4" name="ICV">
    <vt:lpwstr>C6550EC247FA42BA921F75B96C79D9D7_13</vt:lpwstr>
  </property>
</Properties>
</file>