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版本号：SZT2026-SN-SC-ZC-GC-040620260520002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雁塔校区土木楼环境提升改造项目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SZT2026-SN-SC-ZC-GC-0406</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雁塔校区土木楼环境提升改造项目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SZT2026-SN-SC-ZC-GC-0406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雁塔校区土木楼环境提升改造项目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建筑科技大学雁塔校区土木楼整体环境老化问题突出：公区走廊、办公室及部分区域的墙面、天棚出现墙皮脱落、开裂、破损等现象；卫生间存在渗漏问题，卫生间内装饰陈旧，给排水、电气等设施老化损坏明显；同时，室内灯具、钢结构雨棚及外立面也存在不同程度的老化和损坏，整体环境亟待提升改造。具体内容详见本项目竞争性磋商文件、图纸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采购包1（雁塔校区土木楼环境提升改造）：属于专门面向中小企业采购。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1、供应商资格：供应商需具备国家建设行政主管部门颁发的建筑工程施工总承包三级及以上资质或建筑装修装饰工程专业承包二级及以上资质，和有效期内的安全生产许可证。</w:t>
      </w:r>
    </w:p>
    <w:p>
      <w:pPr>
        <w:pStyle w:val="null3"/>
      </w:pPr>
      <w:r>
        <w:rPr>
          <w:rFonts w:ascii="仿宋_GB2312" w:hAnsi="仿宋_GB2312" w:cs="仿宋_GB2312" w:eastAsia="仿宋_GB2312"/>
        </w:rPr>
        <w:t>2、拟派项目经理：拟派项目经理须具备建设行政主管部门颁发的建筑工程专业注册建造师二级及以上执业资格和有效的安全生产考核合格B证，在本单位注册。</w:t>
      </w:r>
    </w:p>
    <w:p>
      <w:pPr>
        <w:pStyle w:val="null3"/>
      </w:pPr>
      <w:r>
        <w:rPr>
          <w:rFonts w:ascii="仿宋_GB2312" w:hAnsi="仿宋_GB2312" w:cs="仿宋_GB2312" w:eastAsia="仿宋_GB2312"/>
        </w:rPr>
        <w:t>3、其他要求：外地企业提供在“陕西省建筑市场监管与诚信信息发布平台”上登记的基本信息界面截图，要求字迹清晰可辨并加盖单位红色公章。</w:t>
      </w:r>
    </w:p>
    <w:p>
      <w:pPr>
        <w:pStyle w:val="null3"/>
      </w:pPr>
      <w:r>
        <w:rPr>
          <w:rFonts w:ascii="仿宋_GB2312" w:hAnsi="仿宋_GB2312" w:cs="仿宋_GB2312" w:eastAsia="仿宋_GB2312"/>
        </w:rPr>
        <w:t>4、法定代表人授权委托书：供应商应授权合法的人员参加投标全过程，其中法定代表人直接参加投标的，须出具法定代表人身份证，并与营业执照上信息一致。法定代表人授权代表参加投标的，须出具法定代表人授权书及授权代表身份证。</w:t>
      </w:r>
    </w:p>
    <w:p>
      <w:pPr>
        <w:pStyle w:val="null3"/>
      </w:pPr>
      <w:r>
        <w:rPr>
          <w:rFonts w:ascii="仿宋_GB2312" w:hAnsi="仿宋_GB2312" w:cs="仿宋_GB2312" w:eastAsia="仿宋_GB2312"/>
        </w:rPr>
        <w:t>5、本项目不接受联合体投标：本项目不接受联合体投标。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029-82202221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连杰、马帅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029-87304326-849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采购包1：1,729,400.00元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说明：供应商成交后凭成交通知书向采购人缴纳成交金额的3%作为履约保证金，待合同（含保修期）履约完毕后无息退还。若保修期内出现质量问题未及时处理或处理不当造成事故的，履约保证金不予退还。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应依据中标金额向采购代理机构交纳中标服务费，交费金额以国家计委颁布的《招标代理服务收费管理暂行办法》(计价格[2002]1980号)文件为依据计代理服务费，按照以下要求计：1、100万元(不含)以下的项目，按照文件标准计费收取；2、100万元(含)以上的项目，按照文件标准上限75%计费。开户名称：陕西中技招标有限公司。开户行名称：招商银行西安分行营业部。账 号：129916812810001</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踏勘时间：2026-05-26 10:41:00</w:t>
            </w:r>
          </w:p>
          <w:p>
            <w:pPr>
              <w:pStyle w:val="null3"/>
              <w:ind w:firstLine="975"/>
            </w:pPr>
            <w:r>
              <w:rPr>
                <w:rFonts w:ascii="仿宋_GB2312" w:hAnsi="仿宋_GB2312" w:cs="仿宋_GB2312" w:eastAsia="仿宋_GB2312"/>
              </w:rPr>
              <w:t>踏勘地点：雁塔校区北院土木楼</w:t>
            </w:r>
          </w:p>
          <w:p>
            <w:pPr>
              <w:pStyle w:val="null3"/>
              <w:ind w:firstLine="975"/>
            </w:pPr>
            <w:r>
              <w:rPr>
                <w:rFonts w:ascii="仿宋_GB2312" w:hAnsi="仿宋_GB2312" w:cs="仿宋_GB2312" w:eastAsia="仿宋_GB2312"/>
              </w:rPr>
              <w:t>联系人：连杰</w:t>
            </w:r>
          </w:p>
          <w:p>
            <w:pPr>
              <w:pStyle w:val="null3"/>
              <w:ind w:firstLine="975"/>
            </w:pPr>
            <w:r>
              <w:rPr>
                <w:rFonts w:ascii="仿宋_GB2312" w:hAnsi="仿宋_GB2312" w:cs="仿宋_GB2312" w:eastAsia="仿宋_GB2312"/>
              </w:rPr>
              <w:t>联系电话号码：15002969513</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西安建筑科技大学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 一、达到国家施工验收规范合格标准。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 三、验收结果合格的，采购人应向成交供应商出具履约验收报告，成交供应商凭验收报告办理相关手续。 四、验收结果不合格的，履约保证金将不予退还，给采购人造成的损失超过履约保证金数额的，还应当对超过部分予以赔偿；没有提交履约保证金的，应当对采购人的损失承担赔偿责任。</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1,729,400.00</w:t>
      </w:r>
    </w:p>
    <w:p>
      <w:pPr>
        <w:pStyle w:val="null3"/>
      </w:pPr>
      <w:r>
        <w:rPr>
          <w:rFonts w:ascii="仿宋_GB2312" w:hAnsi="仿宋_GB2312" w:cs="仿宋_GB2312" w:eastAsia="仿宋_GB2312"/>
        </w:rPr>
        <w:t>采购包最高限价（元）: 1,729,400.00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雁塔校区土木楼环境提升改造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1,729,400.00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标的名称：雁塔校区土木楼环境提升改造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一、工程概况</w:t>
            </w:r>
          </w:p>
          <w:p>
            <w:pPr>
              <w:pStyle w:val="null3"/>
            </w:pPr>
            <w:r>
              <w:rPr>
                <w:rFonts w:ascii="仿宋_GB2312" w:hAnsi="仿宋_GB2312" w:cs="仿宋_GB2312" w:eastAsia="仿宋_GB2312"/>
              </w:rPr>
              <w:t>“雁塔校区土木楼环境提升改造”位于西安市西安建筑科技大学雁塔校区。</w:t>
            </w:r>
          </w:p>
          <w:p>
            <w:pPr>
              <w:pStyle w:val="null3"/>
            </w:pPr>
            <w:r>
              <w:rPr>
                <w:rFonts w:ascii="仿宋_GB2312" w:hAnsi="仿宋_GB2312" w:cs="仿宋_GB2312" w:eastAsia="仿宋_GB2312"/>
              </w:rPr>
              <w:t>二、工程范围</w:t>
            </w:r>
          </w:p>
          <w:p>
            <w:pPr>
              <w:pStyle w:val="null3"/>
            </w:pPr>
            <w:r>
              <w:rPr>
                <w:rFonts w:ascii="仿宋_GB2312" w:hAnsi="仿宋_GB2312" w:cs="仿宋_GB2312" w:eastAsia="仿宋_GB2312"/>
              </w:rPr>
              <w:t>本次编制范围包括</w:t>
            </w:r>
            <w:r>
              <w:rPr>
                <w:rFonts w:ascii="仿宋_GB2312" w:hAnsi="仿宋_GB2312" w:cs="仿宋_GB2312" w:eastAsia="仿宋_GB2312"/>
              </w:rPr>
              <w:t>:雁塔校区土木楼环境提升改造工程。</w:t>
            </w:r>
          </w:p>
          <w:p>
            <w:pPr>
              <w:pStyle w:val="null3"/>
            </w:pPr>
            <w:r>
              <w:rPr>
                <w:rFonts w:ascii="仿宋_GB2312" w:hAnsi="仿宋_GB2312" w:cs="仿宋_GB2312" w:eastAsia="仿宋_GB2312"/>
              </w:rPr>
              <w:t>三、编制依据</w:t>
            </w:r>
          </w:p>
          <w:p>
            <w:pPr>
              <w:pStyle w:val="null3"/>
            </w:pPr>
            <w:r>
              <w:rPr>
                <w:rFonts w:ascii="仿宋_GB2312" w:hAnsi="仿宋_GB2312" w:cs="仿宋_GB2312" w:eastAsia="仿宋_GB2312"/>
              </w:rPr>
              <w:t>1.委托方提供的设计图纸及图纸答疑回复；</w:t>
            </w:r>
          </w:p>
          <w:p>
            <w:pPr>
              <w:pStyle w:val="null3"/>
            </w:pPr>
            <w:r>
              <w:rPr>
                <w:rFonts w:ascii="仿宋_GB2312" w:hAnsi="仿宋_GB2312" w:cs="仿宋_GB2312" w:eastAsia="仿宋_GB2312"/>
              </w:rPr>
              <w:t>2.陕西省工程建设标准《建设工程工程量清单计价标准》(DB 61/T 5126-2025)、《房屋建筑与装饰工程工程量计算标准》(DB 61/T 5129-2025)、《通用安装工程工程量清单计算标准》(DB 61/T 5130-2025)；</w:t>
            </w:r>
          </w:p>
          <w:p>
            <w:pPr>
              <w:pStyle w:val="null3"/>
            </w:pPr>
            <w:r>
              <w:rPr>
                <w:rFonts w:ascii="仿宋_GB2312" w:hAnsi="仿宋_GB2312" w:cs="仿宋_GB2312" w:eastAsia="仿宋_GB2312"/>
              </w:rPr>
              <w:t>3.《陕西省建设工程费用规则》（2025）、《陕西省建设工程施工机械台班费用定额》（2025）、《陕西省建设工程施工仪器仪表台班费用定额》（2025）、《陕西省房屋建筑与装饰工程消耗量定额》（2025）、《陕西省通用安装工程消耗量定额》（2025）《陕西省房屋建筑与装饰工程基价表》（2025）、《陕西省通用安装工程基价表》（2025）；</w:t>
            </w:r>
          </w:p>
          <w:p>
            <w:pPr>
              <w:pStyle w:val="null3"/>
            </w:pPr>
            <w:r>
              <w:rPr>
                <w:rFonts w:ascii="仿宋_GB2312" w:hAnsi="仿宋_GB2312" w:cs="仿宋_GB2312" w:eastAsia="仿宋_GB2312"/>
              </w:rPr>
              <w:t>4.图纸答疑回复、常规的施工组织设计、施工方法及相关标准图集、施工规范、验收规范。</w:t>
            </w:r>
          </w:p>
          <w:p>
            <w:pPr>
              <w:pStyle w:val="null3"/>
            </w:pPr>
            <w:r>
              <w:rPr>
                <w:rFonts w:ascii="仿宋_GB2312" w:hAnsi="仿宋_GB2312" w:cs="仿宋_GB2312" w:eastAsia="仿宋_GB2312"/>
              </w:rPr>
              <w:t>四、其他需要说明的问题</w:t>
            </w:r>
          </w:p>
          <w:p>
            <w:pPr>
              <w:pStyle w:val="null3"/>
            </w:pPr>
            <w:r>
              <w:rPr>
                <w:rFonts w:ascii="仿宋_GB2312" w:hAnsi="仿宋_GB2312" w:cs="仿宋_GB2312" w:eastAsia="仿宋_GB2312"/>
              </w:rPr>
              <w:t>（一）编制使用软件</w:t>
            </w:r>
          </w:p>
          <w:p>
            <w:pPr>
              <w:pStyle w:val="null3"/>
            </w:pPr>
            <w:r>
              <w:rPr>
                <w:rFonts w:ascii="仿宋_GB2312" w:hAnsi="仿宋_GB2312" w:cs="仿宋_GB2312" w:eastAsia="仿宋_GB2312"/>
              </w:rPr>
              <w:t>广联达云计价平台</w:t>
            </w:r>
            <w:r>
              <w:rPr>
                <w:rFonts w:ascii="仿宋_GB2312" w:hAnsi="仿宋_GB2312" w:cs="仿宋_GB2312" w:eastAsia="仿宋_GB2312"/>
              </w:rPr>
              <w:t>GCCP7.0（版本号：7.5000.23.2）。</w:t>
            </w:r>
          </w:p>
          <w:p>
            <w:pPr>
              <w:pStyle w:val="null3"/>
            </w:pPr>
            <w:r>
              <w:rPr>
                <w:rFonts w:ascii="仿宋_GB2312" w:hAnsi="仿宋_GB2312" w:cs="仿宋_GB2312" w:eastAsia="仿宋_GB2312"/>
              </w:rPr>
              <w:t>五、技术要求</w:t>
            </w:r>
          </w:p>
          <w:p>
            <w:pPr>
              <w:pStyle w:val="null3"/>
            </w:pPr>
            <w:r>
              <w:rPr>
                <w:rFonts w:ascii="仿宋_GB2312" w:hAnsi="仿宋_GB2312" w:cs="仿宋_GB2312" w:eastAsia="仿宋_GB2312"/>
              </w:rPr>
              <w:t>1.图纸及工程量清单详见附件。</w:t>
            </w:r>
          </w:p>
          <w:p>
            <w:pPr>
              <w:pStyle w:val="null3"/>
            </w:pPr>
            <w:r>
              <w:rPr>
                <w:rFonts w:ascii="仿宋_GB2312" w:hAnsi="仿宋_GB2312" w:cs="仿宋_GB2312" w:eastAsia="仿宋_GB2312"/>
              </w:rPr>
              <w:t>2.主要材料规格型号及技术参数要求：</w:t>
            </w:r>
          </w:p>
          <w:tbl>
            <w:tblPr>
              <w:tblBorders>
                <w:top w:val="none" w:color="000000" w:sz="4"/>
                <w:left w:val="none" w:color="000000" w:sz="4"/>
                <w:bottom w:val="none" w:color="000000" w:sz="4"/>
                <w:right w:val="none" w:color="000000" w:sz="4"/>
                <w:insideH w:val="none"/>
                <w:insideV w:val="none"/>
              </w:tblBorders>
            </w:tblPr>
            <w:tblGrid>
              <w:gridCol w:w="178"/>
              <w:gridCol w:w="179"/>
              <w:gridCol w:w="222"/>
              <w:gridCol w:w="1751"/>
            </w:tblGrid>
            <w:tr>
              <w:tc>
                <w:tcPr>
                  <w:tcW w:type="dxa" w:w="1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类别</w:t>
                  </w:r>
                </w:p>
              </w:tc>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材料名称</w:t>
                  </w:r>
                </w:p>
              </w:tc>
              <w:tc>
                <w:tcPr>
                  <w:tcW w:type="dxa" w:w="17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参数、标准、要求</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装饰装修</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乳胶漆</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 乳胶漆挥发性有机化合物含量（60°光泽≤10）≤50g/L</w:t>
                  </w:r>
                </w:p>
                <w:p>
                  <w:pPr>
                    <w:pStyle w:val="null3"/>
                    <w:jc w:val="left"/>
                  </w:pPr>
                  <w:r>
                    <w:rPr>
                      <w:rFonts w:ascii="仿宋_GB2312" w:hAnsi="仿宋_GB2312" w:cs="仿宋_GB2312" w:eastAsia="仿宋_GB2312"/>
                      <w:sz w:val="21"/>
                      <w:color w:val="000000"/>
                    </w:rPr>
                    <w:t>2. 乳胶漆挥发性有机化合物含量（60°光泽＞10）≤80g/L</w:t>
                  </w:r>
                </w:p>
                <w:p>
                  <w:pPr>
                    <w:pStyle w:val="null3"/>
                    <w:jc w:val="left"/>
                  </w:pPr>
                  <w:r>
                    <w:rPr>
                      <w:rFonts w:ascii="仿宋_GB2312" w:hAnsi="仿宋_GB2312" w:cs="仿宋_GB2312" w:eastAsia="仿宋_GB2312"/>
                      <w:sz w:val="21"/>
                      <w:color w:val="000000"/>
                    </w:rPr>
                    <w:t>3. 乳胶漆甲醛含量（乙酰丙酮法）≤30mg/kg</w:t>
                  </w:r>
                </w:p>
                <w:p>
                  <w:pPr>
                    <w:pStyle w:val="null3"/>
                    <w:jc w:val="left"/>
                  </w:pPr>
                  <w:r>
                    <w:rPr>
                      <w:rFonts w:ascii="仿宋_GB2312" w:hAnsi="仿宋_GB2312" w:cs="仿宋_GB2312" w:eastAsia="仿宋_GB2312"/>
                      <w:sz w:val="21"/>
                      <w:color w:val="000000"/>
                    </w:rPr>
                    <w:t>4. 乳胶漆苯、甲苯、乙苯、二甲苯总和≤80mg/kg</w:t>
                  </w:r>
                </w:p>
                <w:p>
                  <w:pPr>
                    <w:pStyle w:val="null3"/>
                    <w:jc w:val="left"/>
                  </w:pPr>
                  <w:r>
                    <w:rPr>
                      <w:rFonts w:ascii="仿宋_GB2312" w:hAnsi="仿宋_GB2312" w:cs="仿宋_GB2312" w:eastAsia="仿宋_GB2312"/>
                      <w:sz w:val="21"/>
                      <w:color w:val="000000"/>
                    </w:rPr>
                    <w:t>5.耐洗刷性：≥6000 次</w:t>
                  </w:r>
                </w:p>
                <w:p>
                  <w:pPr>
                    <w:pStyle w:val="null3"/>
                    <w:jc w:val="left"/>
                  </w:pPr>
                  <w:r>
                    <w:rPr>
                      <w:rFonts w:ascii="仿宋_GB2312" w:hAnsi="仿宋_GB2312" w:cs="仿宋_GB2312" w:eastAsia="仿宋_GB2312"/>
                      <w:sz w:val="21"/>
                      <w:color w:val="000000"/>
                    </w:rPr>
                    <w:t>非工程款竹炭净味漆，</w:t>
                  </w:r>
                  <w:r>
                    <w:rPr>
                      <w:rFonts w:ascii="仿宋_GB2312" w:hAnsi="仿宋_GB2312" w:cs="仿宋_GB2312" w:eastAsia="仿宋_GB2312"/>
                      <w:sz w:val="21"/>
                      <w:color w:val="000000"/>
                    </w:rPr>
                    <w:t>甲醛净化效率</w:t>
                  </w:r>
                  <w:r>
                    <w:rPr>
                      <w:rFonts w:ascii="仿宋_GB2312" w:hAnsi="仿宋_GB2312" w:cs="仿宋_GB2312" w:eastAsia="仿宋_GB2312"/>
                      <w:sz w:val="21"/>
                      <w:color w:val="000000"/>
                    </w:rPr>
                    <w:t>≥80%，竹炭颗粒细度≤50纳米，VOC≤10g/L，符合GB18582-2020标准，未添加香精、溶剂，游离甲醛≤5mg/kg，通过CNAS认证，</w:t>
                  </w:r>
                  <w:r>
                    <w:rPr>
                      <w:rFonts w:ascii="仿宋_GB2312" w:hAnsi="仿宋_GB2312" w:cs="仿宋_GB2312" w:eastAsia="仿宋_GB2312"/>
                      <w:sz w:val="21"/>
                      <w:color w:val="000000"/>
                    </w:rPr>
                    <w:t>节能环保产品，符合本项目工程量清单、施工图纸相关要求，符合</w:t>
                  </w:r>
                  <w:r>
                    <w:rPr>
                      <w:rFonts w:ascii="仿宋_GB2312" w:hAnsi="仿宋_GB2312" w:cs="仿宋_GB2312" w:eastAsia="仿宋_GB2312"/>
                      <w:sz w:val="21"/>
                      <w:color w:val="000000"/>
                    </w:rPr>
                    <w:t>国家相关标准、规范</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79"/>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墙地瓷砖</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优等品，通过</w:t>
                  </w:r>
                  <w:r>
                    <w:rPr>
                      <w:rFonts w:ascii="仿宋_GB2312" w:hAnsi="仿宋_GB2312" w:cs="仿宋_GB2312" w:eastAsia="仿宋_GB2312"/>
                      <w:sz w:val="21"/>
                      <w:color w:val="000000"/>
                    </w:rPr>
                    <w:t>3C认证，执行标准GB/T4100-2015附录G，干压陶瓷E≤0.5%BIa类M，吸水率≤0.5%，摩擦系数≥0.5，符合GB6566-2010建筑材料放射性核素限量中放射性水平A类。</w:t>
                  </w:r>
                  <w:r>
                    <w:rPr>
                      <w:rFonts w:ascii="仿宋_GB2312" w:hAnsi="仿宋_GB2312" w:cs="仿宋_GB2312" w:eastAsia="仿宋_GB2312"/>
                      <w:sz w:val="21"/>
                      <w:color w:val="000000"/>
                    </w:rPr>
                    <w:t>产品内照射指数</w:t>
                  </w:r>
                  <w:r>
                    <w:rPr>
                      <w:rFonts w:ascii="仿宋_GB2312" w:hAnsi="仿宋_GB2312" w:cs="仿宋_GB2312" w:eastAsia="仿宋_GB2312"/>
                      <w:sz w:val="21"/>
                      <w:color w:val="000000"/>
                    </w:rPr>
                    <w:t>IRa≤0.9</w:t>
                  </w:r>
                  <w:r>
                    <w:rPr>
                      <w:rFonts w:ascii="仿宋_GB2312" w:hAnsi="仿宋_GB2312" w:cs="仿宋_GB2312" w:eastAsia="仿宋_GB2312"/>
                      <w:sz w:val="21"/>
                      <w:color w:val="000000"/>
                    </w:rPr>
                    <w:t>，</w:t>
                  </w:r>
                  <w:r>
                    <w:rPr>
                      <w:rFonts w:ascii="仿宋_GB2312" w:hAnsi="仿宋_GB2312" w:cs="仿宋_GB2312" w:eastAsia="仿宋_GB2312"/>
                      <w:sz w:val="21"/>
                      <w:color w:val="000000"/>
                    </w:rPr>
                    <w:t>外照射指数</w:t>
                  </w:r>
                  <w:r>
                    <w:rPr>
                      <w:rFonts w:ascii="仿宋_GB2312" w:hAnsi="仿宋_GB2312" w:cs="仿宋_GB2312" w:eastAsia="仿宋_GB2312"/>
                      <w:sz w:val="21"/>
                      <w:color w:val="000000"/>
                    </w:rPr>
                    <w:t>Ir≤1.2</w:t>
                  </w:r>
                  <w:r>
                    <w:rPr>
                      <w:rFonts w:ascii="仿宋_GB2312" w:hAnsi="仿宋_GB2312" w:cs="仿宋_GB2312" w:eastAsia="仿宋_GB2312"/>
                      <w:sz w:val="21"/>
                      <w:color w:val="000000"/>
                    </w:rPr>
                    <w:t>，</w:t>
                  </w:r>
                  <w:r>
                    <w:rPr>
                      <w:rFonts w:ascii="仿宋_GB2312" w:hAnsi="仿宋_GB2312" w:cs="仿宋_GB2312" w:eastAsia="仿宋_GB2312"/>
                      <w:sz w:val="21"/>
                      <w:color w:val="000000"/>
                    </w:rPr>
                    <w:t>耐污染性</w:t>
                  </w:r>
                  <w:r>
                    <w:rPr>
                      <w:rFonts w:ascii="仿宋_GB2312" w:hAnsi="仿宋_GB2312" w:cs="仿宋_GB2312" w:eastAsia="仿宋_GB2312"/>
                      <w:sz w:val="21"/>
                      <w:color w:val="000000"/>
                    </w:rPr>
                    <w:t>≥3 级</w:t>
                  </w:r>
                  <w:r>
                    <w:rPr>
                      <w:rFonts w:ascii="仿宋_GB2312" w:hAnsi="仿宋_GB2312" w:cs="仿宋_GB2312" w:eastAsia="仿宋_GB2312"/>
                      <w:sz w:val="21"/>
                      <w:color w:val="000000"/>
                    </w:rPr>
                    <w:t>，</w:t>
                  </w:r>
                  <w:r>
                    <w:rPr>
                      <w:rFonts w:ascii="仿宋_GB2312" w:hAnsi="仿宋_GB2312" w:cs="仿宋_GB2312" w:eastAsia="仿宋_GB2312"/>
                      <w:sz w:val="21"/>
                      <w:color w:val="000000"/>
                    </w:rPr>
                    <w:t>节能环保产品，符合本项目工程量清单、施工图纸相关要求，符合</w:t>
                  </w:r>
                  <w:r>
                    <w:rPr>
                      <w:rFonts w:ascii="仿宋_GB2312" w:hAnsi="仿宋_GB2312" w:cs="仿宋_GB2312" w:eastAsia="仿宋_GB2312"/>
                      <w:sz w:val="21"/>
                      <w:color w:val="000000"/>
                    </w:rPr>
                    <w:t>国家相关标准、规范</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79"/>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不锈钢</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1.2mm厚304哑光不锈钢,节能环保产品，符合本项目工程量清单、施工图纸相关要求，符合</w:t>
                  </w:r>
                  <w:r>
                    <w:rPr>
                      <w:rFonts w:ascii="仿宋_GB2312" w:hAnsi="仿宋_GB2312" w:cs="仿宋_GB2312" w:eastAsia="仿宋_GB2312"/>
                      <w:sz w:val="21"/>
                      <w:color w:val="000000"/>
                    </w:rPr>
                    <w:t>国家相关标准、规范</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79"/>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人造石</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20、18mm厚，防水、防渗、防霉，抗压≥160MPa，抗冲击≥15kg/㎡，弯曲强度≥40MPa，耐磨≤0.02g/cm</w:t>
                  </w:r>
                  <w:r>
                    <w:rPr>
                      <w:rFonts w:ascii="仿宋_GB2312" w:hAnsi="仿宋_GB2312" w:cs="仿宋_GB2312" w:eastAsia="仿宋_GB2312"/>
                      <w:sz w:val="21"/>
                      <w:color w:val="000000"/>
                      <w:vertAlign w:val="superscript"/>
                    </w:rPr>
                    <w:t>2</w:t>
                  </w:r>
                  <w:r>
                    <w:rPr>
                      <w:rFonts w:ascii="仿宋_GB2312" w:hAnsi="仿宋_GB2312" w:cs="仿宋_GB2312" w:eastAsia="仿宋_GB2312"/>
                      <w:sz w:val="21"/>
                      <w:color w:val="000000"/>
                    </w:rPr>
                    <w:t>，抗菌率</w:t>
                  </w:r>
                  <w:r>
                    <w:rPr>
                      <w:rFonts w:ascii="仿宋_GB2312" w:hAnsi="仿宋_GB2312" w:cs="仿宋_GB2312" w:eastAsia="仿宋_GB2312"/>
                      <w:sz w:val="21"/>
                      <w:color w:val="000000"/>
                    </w:rPr>
                    <w:t>≥99%，耐温差-20℃~120℃，耐酸碱10%盐酸，耐污≥4级，甲醛符合GB18580-2017，E0级≤0.05mg/m³，VOC含量≤100g/L，放射性核素内照≤1.0外照≤1.3，符合</w:t>
                  </w:r>
                  <w:r>
                    <w:rPr>
                      <w:rFonts w:ascii="仿宋_GB2312" w:hAnsi="仿宋_GB2312" w:cs="仿宋_GB2312" w:eastAsia="仿宋_GB2312"/>
                      <w:sz w:val="21"/>
                      <w:color w:val="000000"/>
                    </w:rPr>
                    <w:t>国家相关标准、规范</w:t>
                  </w:r>
                  <w:r>
                    <w:rPr>
                      <w:rFonts w:ascii="仿宋_GB2312" w:hAnsi="仿宋_GB2312" w:cs="仿宋_GB2312" w:eastAsia="仿宋_GB2312"/>
                      <w:sz w:val="21"/>
                      <w:color w:val="000000"/>
                    </w:rPr>
                    <w:t>，</w:t>
                  </w:r>
                  <w:r>
                    <w:rPr>
                      <w:rFonts w:ascii="仿宋_GB2312" w:hAnsi="仿宋_GB2312" w:cs="仿宋_GB2312" w:eastAsia="仿宋_GB2312"/>
                      <w:sz w:val="21"/>
                      <w:color w:val="000000"/>
                    </w:rPr>
                    <w:t>满足设计需求</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79"/>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阻燃木工板</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15mm厚，节能环保产品，符合本项目工程量清单、施工图纸相关要求，符合</w:t>
                  </w:r>
                  <w:r>
                    <w:rPr>
                      <w:rFonts w:ascii="仿宋_GB2312" w:hAnsi="仿宋_GB2312" w:cs="仿宋_GB2312" w:eastAsia="仿宋_GB2312"/>
                      <w:sz w:val="21"/>
                      <w:color w:val="000000"/>
                    </w:rPr>
                    <w:t>国家相关标准、规范</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79"/>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石膏板</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9/12mm厚节能环保产品，符合本项目工程量清单、施工图纸相关要求，符合</w:t>
                  </w:r>
                  <w:r>
                    <w:rPr>
                      <w:rFonts w:ascii="仿宋_GB2312" w:hAnsi="仿宋_GB2312" w:cs="仿宋_GB2312" w:eastAsia="仿宋_GB2312"/>
                      <w:sz w:val="21"/>
                      <w:color w:val="000000"/>
                    </w:rPr>
                    <w:t>国家相关标准、规范</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79"/>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轻钢龙骨</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节能环保产品，符合本项目工程量清单、施工图纸相关要求，</w:t>
                  </w:r>
                  <w:r>
                    <w:rPr>
                      <w:rFonts w:ascii="仿宋_GB2312" w:hAnsi="仿宋_GB2312" w:cs="仿宋_GB2312" w:eastAsia="仿宋_GB2312"/>
                      <w:sz w:val="21"/>
                      <w:color w:val="000000"/>
                    </w:rPr>
                    <w:t>符合国家相关标准、规范</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79"/>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铝扣板</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1.2mm厚，节能环保产品，符合本项目工程量清单、施工图纸相关要求，符合国家相关标准、规范</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79"/>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玻璃胶</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1.单位产品总挥发性有机物（TVOC）含量≤80g/kg</w:t>
                  </w:r>
                </w:p>
                <w:p>
                  <w:pPr>
                    <w:pStyle w:val="null3"/>
                    <w:jc w:val="left"/>
                  </w:pPr>
                  <w:r>
                    <w:rPr>
                      <w:rFonts w:ascii="仿宋_GB2312" w:hAnsi="仿宋_GB2312" w:cs="仿宋_GB2312" w:eastAsia="仿宋_GB2312"/>
                      <w:sz w:val="21"/>
                      <w:color w:val="000000"/>
                    </w:rPr>
                    <w:t>2.烷烃增塑剂（红外光谱）不得检出</w:t>
                  </w:r>
                </w:p>
                <w:p>
                  <w:pPr>
                    <w:pStyle w:val="null3"/>
                    <w:jc w:val="left"/>
                  </w:pPr>
                  <w:r>
                    <w:rPr>
                      <w:rFonts w:ascii="仿宋_GB2312" w:hAnsi="仿宋_GB2312" w:cs="仿宋_GB2312" w:eastAsia="仿宋_GB2312"/>
                      <w:sz w:val="21"/>
                      <w:color w:val="000000"/>
                    </w:rPr>
                    <w:t>3. 密封胶分级达到 20HM、25HM、20LM</w:t>
                  </w:r>
                </w:p>
                <w:p>
                  <w:pPr>
                    <w:pStyle w:val="null3"/>
                    <w:jc w:val="left"/>
                  </w:pPr>
                  <w:r>
                    <w:rPr>
                      <w:rFonts w:ascii="仿宋_GB2312" w:hAnsi="仿宋_GB2312" w:cs="仿宋_GB2312" w:eastAsia="仿宋_GB2312"/>
                      <w:sz w:val="21"/>
                      <w:color w:val="000000"/>
                    </w:rPr>
                    <w:t>4.符合《胶粘剂中有害物质限量》</w:t>
                  </w:r>
                  <w:r>
                    <w:rPr>
                      <w:rFonts w:ascii="仿宋_GB2312" w:hAnsi="仿宋_GB2312" w:cs="仿宋_GB2312" w:eastAsia="仿宋_GB2312"/>
                      <w:sz w:val="21"/>
                      <w:color w:val="000000"/>
                    </w:rPr>
                    <w:t>GB</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18583-2008</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79"/>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结构胶</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1.单位产品总挥发性有机物（TVOC）含量≤80g/kg</w:t>
                  </w:r>
                </w:p>
                <w:p>
                  <w:pPr>
                    <w:pStyle w:val="null3"/>
                    <w:jc w:val="left"/>
                  </w:pPr>
                  <w:r>
                    <w:rPr>
                      <w:rFonts w:ascii="仿宋_GB2312" w:hAnsi="仿宋_GB2312" w:cs="仿宋_GB2312" w:eastAsia="仿宋_GB2312"/>
                      <w:sz w:val="21"/>
                      <w:color w:val="000000"/>
                    </w:rPr>
                    <w:t>2.烷烃增塑剂（红外光谱）不得检出</w:t>
                  </w:r>
                </w:p>
                <w:p>
                  <w:pPr>
                    <w:pStyle w:val="null3"/>
                    <w:jc w:val="left"/>
                  </w:pPr>
                  <w:r>
                    <w:rPr>
                      <w:rFonts w:ascii="仿宋_GB2312" w:hAnsi="仿宋_GB2312" w:cs="仿宋_GB2312" w:eastAsia="仿宋_GB2312"/>
                      <w:sz w:val="21"/>
                      <w:color w:val="000000"/>
                    </w:rPr>
                    <w:t>3.23℃拉伸粘结强度标准值≥0.6MPa</w:t>
                  </w:r>
                </w:p>
                <w:p>
                  <w:pPr>
                    <w:pStyle w:val="null3"/>
                    <w:jc w:val="left"/>
                  </w:pPr>
                  <w:r>
                    <w:rPr>
                      <w:rFonts w:ascii="仿宋_GB2312" w:hAnsi="仿宋_GB2312" w:cs="仿宋_GB2312" w:eastAsia="仿宋_GB2312"/>
                      <w:sz w:val="21"/>
                      <w:color w:val="000000"/>
                    </w:rPr>
                    <w:t>4.粘结破坏面积≤5%</w:t>
                  </w:r>
                </w:p>
                <w:p>
                  <w:pPr>
                    <w:pStyle w:val="null3"/>
                    <w:jc w:val="left"/>
                  </w:pPr>
                  <w:r>
                    <w:rPr>
                      <w:rFonts w:ascii="仿宋_GB2312" w:hAnsi="仿宋_GB2312" w:cs="仿宋_GB2312" w:eastAsia="仿宋_GB2312"/>
                      <w:sz w:val="21"/>
                      <w:color w:val="000000"/>
                    </w:rPr>
                    <w:t>4.符合《胶粘剂中有害物质限量》</w:t>
                  </w:r>
                  <w:r>
                    <w:rPr>
                      <w:rFonts w:ascii="仿宋_GB2312" w:hAnsi="仿宋_GB2312" w:cs="仿宋_GB2312" w:eastAsia="仿宋_GB2312"/>
                      <w:sz w:val="21"/>
                      <w:color w:val="000000"/>
                    </w:rPr>
                    <w:t>GB</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18583-2008</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79"/>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抗倍特板隔断</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防水防潮，</w:t>
                  </w:r>
                  <w:r>
                    <w:rPr>
                      <w:rFonts w:ascii="仿宋_GB2312" w:hAnsi="仿宋_GB2312" w:cs="仿宋_GB2312" w:eastAsia="仿宋_GB2312"/>
                      <w:sz w:val="21"/>
                      <w:color w:val="000000"/>
                    </w:rPr>
                    <w:t>符合国家相关标准、规范。</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79"/>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防水涂料</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水泥基渗透结晶型防水涂料</w:t>
                  </w:r>
                  <w:r>
                    <w:rPr>
                      <w:rFonts w:ascii="仿宋_GB2312" w:hAnsi="仿宋_GB2312" w:cs="仿宋_GB2312" w:eastAsia="仿宋_GB2312"/>
                      <w:sz w:val="21"/>
                      <w:color w:val="000000"/>
                    </w:rPr>
                    <w:t>、</w:t>
                  </w:r>
                  <w:r>
                    <w:rPr>
                      <w:rFonts w:ascii="仿宋_GB2312" w:hAnsi="仿宋_GB2312" w:cs="仿宋_GB2312" w:eastAsia="仿宋_GB2312"/>
                      <w:sz w:val="21"/>
                      <w:color w:val="000000"/>
                    </w:rPr>
                    <w:t>聚合物水泥防水涂料</w:t>
                  </w:r>
                  <w:r>
                    <w:rPr>
                      <w:rFonts w:ascii="仿宋_GB2312" w:hAnsi="仿宋_GB2312" w:cs="仿宋_GB2312" w:eastAsia="仿宋_GB2312"/>
                      <w:sz w:val="21"/>
                      <w:color w:val="000000"/>
                    </w:rPr>
                    <w:t>、</w:t>
                  </w:r>
                  <w:r>
                    <w:rPr>
                      <w:rFonts w:ascii="仿宋_GB2312" w:hAnsi="仿宋_GB2312" w:cs="仿宋_GB2312" w:eastAsia="仿宋_GB2312"/>
                      <w:sz w:val="21"/>
                      <w:color w:val="000000"/>
                    </w:rPr>
                    <w:t>聚氨酯防水涂料</w:t>
                  </w:r>
                  <w:r>
                    <w:rPr>
                      <w:rFonts w:ascii="仿宋_GB2312" w:hAnsi="仿宋_GB2312" w:cs="仿宋_GB2312" w:eastAsia="仿宋_GB2312"/>
                      <w:sz w:val="21"/>
                      <w:color w:val="000000"/>
                    </w:rPr>
                    <w:t>,</w:t>
                  </w:r>
                  <w:r>
                    <w:rPr>
                      <w:rFonts w:ascii="仿宋_GB2312" w:hAnsi="仿宋_GB2312" w:cs="仿宋_GB2312" w:eastAsia="仿宋_GB2312"/>
                      <w:sz w:val="21"/>
                      <w:color w:val="000000"/>
                    </w:rPr>
                    <w:t>符合本项目工程量清单、施工图纸相关要求，符合</w:t>
                  </w:r>
                  <w:r>
                    <w:rPr>
                      <w:rFonts w:ascii="仿宋_GB2312" w:hAnsi="仿宋_GB2312" w:cs="仿宋_GB2312" w:eastAsia="仿宋_GB2312"/>
                      <w:sz w:val="21"/>
                      <w:color w:val="000000"/>
                    </w:rPr>
                    <w:t>国家相关标准、规范</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电气</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配电箱</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1.符合本项目工程量清单、施工图纸相关要求和国家相关标准、规范；</w:t>
                  </w:r>
                </w:p>
                <w:p>
                  <w:pPr>
                    <w:pStyle w:val="null3"/>
                    <w:jc w:val="left"/>
                  </w:pPr>
                  <w:r>
                    <w:rPr>
                      <w:rFonts w:ascii="仿宋_GB2312" w:hAnsi="仿宋_GB2312" w:cs="仿宋_GB2312" w:eastAsia="仿宋_GB2312"/>
                      <w:sz w:val="21"/>
                      <w:color w:val="000000"/>
                    </w:rPr>
                    <w:t>2.箱体、元器件安装底板均采用大型钢厂冷轧钢板。配电箱箱体为喷塑，颜色为电脑灰色；安装底板应镀锌；</w:t>
                  </w:r>
                </w:p>
                <w:p>
                  <w:pPr>
                    <w:pStyle w:val="null3"/>
                    <w:jc w:val="left"/>
                  </w:pPr>
                  <w:r>
                    <w:rPr>
                      <w:rFonts w:ascii="仿宋_GB2312" w:hAnsi="仿宋_GB2312" w:cs="仿宋_GB2312" w:eastAsia="仿宋_GB2312"/>
                      <w:sz w:val="21"/>
                      <w:color w:val="000000"/>
                    </w:rPr>
                    <w:t>3.箱内布线要分色；一次线、铜排、辅料均采用合格产品。</w:t>
                  </w:r>
                </w:p>
                <w:p>
                  <w:pPr>
                    <w:pStyle w:val="null3"/>
                    <w:jc w:val="left"/>
                  </w:pPr>
                  <w:r>
                    <w:rPr>
                      <w:rFonts w:ascii="仿宋_GB2312" w:hAnsi="仿宋_GB2312" w:cs="仿宋_GB2312" w:eastAsia="仿宋_GB2312"/>
                      <w:sz w:val="21"/>
                      <w:color w:val="000000"/>
                    </w:rPr>
                    <w:t>4.施工图纸中箱体规格尺寸仅供参考，报价不再因箱体尺寸变化而变化</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79"/>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电线</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采用低烟低毒阻燃型线缆、矿物绝缘类不燃性电缆等，且导体材料采用铜芯</w:t>
                  </w:r>
                  <w:r>
                    <w:rPr>
                      <w:rFonts w:ascii="仿宋_GB2312" w:hAnsi="仿宋_GB2312" w:cs="仿宋_GB2312" w:eastAsia="仿宋_GB2312"/>
                      <w:sz w:val="21"/>
                      <w:color w:val="000000"/>
                    </w:rPr>
                    <w:t>,中国机械工业百强工厂产品，</w:t>
                  </w:r>
                  <w:r>
                    <w:rPr>
                      <w:rFonts w:ascii="仿宋_GB2312" w:hAnsi="仿宋_GB2312" w:cs="仿宋_GB2312" w:eastAsia="仿宋_GB2312"/>
                      <w:sz w:val="21"/>
                      <w:color w:val="000000"/>
                    </w:rPr>
                    <w:t>符合本项目工程量清单、施工图纸相关要求，符合</w:t>
                  </w:r>
                  <w:r>
                    <w:rPr>
                      <w:rFonts w:ascii="仿宋_GB2312" w:hAnsi="仿宋_GB2312" w:cs="仿宋_GB2312" w:eastAsia="仿宋_GB2312"/>
                      <w:sz w:val="21"/>
                      <w:color w:val="000000"/>
                    </w:rPr>
                    <w:t>国家相关标准、规范</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79"/>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线管</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节能环保产品，符合本项目工程量清单、施工图纸相关要求，符合</w:t>
                  </w:r>
                  <w:r>
                    <w:rPr>
                      <w:rFonts w:ascii="仿宋_GB2312" w:hAnsi="仿宋_GB2312" w:cs="仿宋_GB2312" w:eastAsia="仿宋_GB2312"/>
                      <w:sz w:val="21"/>
                      <w:color w:val="000000"/>
                    </w:rPr>
                    <w:t>国家相关标准、规范</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79"/>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开关</w:t>
                  </w:r>
                  <w:r>
                    <w:rPr>
                      <w:rFonts w:ascii="仿宋_GB2312" w:hAnsi="仿宋_GB2312" w:cs="仿宋_GB2312" w:eastAsia="仿宋_GB2312"/>
                      <w:sz w:val="21"/>
                      <w:color w:val="000000"/>
                    </w:rPr>
                    <w:t>/插座</w:t>
                  </w:r>
                  <w:r>
                    <w:rPr>
                      <w:rFonts w:ascii="仿宋_GB2312" w:hAnsi="仿宋_GB2312" w:cs="仿宋_GB2312" w:eastAsia="仿宋_GB2312"/>
                      <w:sz w:val="21"/>
                      <w:color w:val="000000"/>
                    </w:rPr>
                    <w:t>面板</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220V，64A/32A/16A/10A等，</w:t>
                  </w:r>
                  <w:r>
                    <w:rPr>
                      <w:rFonts w:ascii="仿宋_GB2312" w:hAnsi="仿宋_GB2312" w:cs="仿宋_GB2312" w:eastAsia="仿宋_GB2312"/>
                      <w:sz w:val="21"/>
                      <w:color w:val="000000"/>
                    </w:rPr>
                    <w:t>节能环保产品，符合本项目工程量清单、施工图纸相关要求，符合</w:t>
                  </w:r>
                  <w:r>
                    <w:rPr>
                      <w:rFonts w:ascii="仿宋_GB2312" w:hAnsi="仿宋_GB2312" w:cs="仿宋_GB2312" w:eastAsia="仿宋_GB2312"/>
                      <w:sz w:val="21"/>
                      <w:color w:val="000000"/>
                    </w:rPr>
                    <w:t>国家相关标准、规范</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79"/>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空气开关</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16/32A等，带漏电保护。节能环保产品，符合本项目工程量清单、施工图纸相关要求，符合</w:t>
                  </w:r>
                  <w:r>
                    <w:rPr>
                      <w:rFonts w:ascii="仿宋_GB2312" w:hAnsi="仿宋_GB2312" w:cs="仿宋_GB2312" w:eastAsia="仿宋_GB2312"/>
                      <w:sz w:val="21"/>
                      <w:color w:val="000000"/>
                    </w:rPr>
                    <w:t>国家相关标准、规范</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179"/>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照明灯具</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参数详见设计图纸、工程量清单，符合本项目工程量清单、施工图纸相关要求，符合</w:t>
                  </w:r>
                  <w:r>
                    <w:rPr>
                      <w:rFonts w:ascii="仿宋_GB2312" w:hAnsi="仿宋_GB2312" w:cs="仿宋_GB2312" w:eastAsia="仿宋_GB2312"/>
                      <w:sz w:val="21"/>
                      <w:color w:val="000000"/>
                    </w:rPr>
                    <w:t>国家相关标准、规范</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1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给排水</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PVC</w:t>
                  </w:r>
                  <w:r>
                    <w:rPr>
                      <w:rFonts w:ascii="仿宋_GB2312" w:hAnsi="仿宋_GB2312" w:cs="仿宋_GB2312" w:eastAsia="仿宋_GB2312"/>
                      <w:sz w:val="21"/>
                      <w:color w:val="000000"/>
                    </w:rPr>
                    <w:t>水管</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1.铅限量≤100mg/kg（适用于聚氯乙烯（PVC）类塑料管材管件）；</w:t>
                  </w:r>
                </w:p>
                <w:p>
                  <w:pPr>
                    <w:pStyle w:val="null3"/>
                    <w:jc w:val="left"/>
                  </w:pPr>
                  <w:r>
                    <w:rPr>
                      <w:rFonts w:ascii="仿宋_GB2312" w:hAnsi="仿宋_GB2312" w:cs="仿宋_GB2312" w:eastAsia="仿宋_GB2312"/>
                      <w:sz w:val="21"/>
                      <w:color w:val="000000"/>
                    </w:rPr>
                    <w:t>2.密度＜1450kg/m</w:t>
                  </w:r>
                  <w:r>
                    <w:rPr>
                      <w:rFonts w:ascii="仿宋_GB2312" w:hAnsi="仿宋_GB2312" w:cs="仿宋_GB2312" w:eastAsia="仿宋_GB2312"/>
                      <w:sz w:val="21"/>
                      <w:color w:val="000000"/>
                      <w:vertAlign w:val="superscript"/>
                    </w:rPr>
                    <w:t>3</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3.内排水管道系统噪声＜48dB（适用于聚氯乙烯（PVC）类塑料管材管件）。</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79"/>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洁具</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全部洁具的用水效率等级达到</w:t>
                  </w:r>
                  <w:r>
                    <w:rPr>
                      <w:rFonts w:ascii="仿宋_GB2312" w:hAnsi="仿宋_GB2312" w:cs="仿宋_GB2312" w:eastAsia="仿宋_GB2312"/>
                      <w:sz w:val="21"/>
                      <w:color w:val="000000"/>
                    </w:rPr>
                    <w:t>2 级（依据 GB 28377、GB 28379、GB 30717、GB/T 50378）</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179"/>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洗手盆</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成品台盆含柜体，</w:t>
                  </w:r>
                  <w:r>
                    <w:rPr>
                      <w:rFonts w:ascii="仿宋_GB2312" w:hAnsi="仿宋_GB2312" w:cs="仿宋_GB2312" w:eastAsia="仿宋_GB2312"/>
                      <w:sz w:val="21"/>
                      <w:color w:val="000000"/>
                    </w:rPr>
                    <w:t>含柜体、下水线、五金件、把手等</w:t>
                  </w:r>
                  <w:r>
                    <w:rPr>
                      <w:rFonts w:ascii="仿宋_GB2312" w:hAnsi="仿宋_GB2312" w:cs="仿宋_GB2312" w:eastAsia="仿宋_GB2312"/>
                      <w:sz w:val="21"/>
                      <w:color w:val="000000"/>
                    </w:rPr>
                    <w:t>；</w:t>
                  </w:r>
                  <w:r>
                    <w:rPr>
                      <w:rFonts w:ascii="仿宋_GB2312" w:hAnsi="仿宋_GB2312" w:cs="仿宋_GB2312" w:eastAsia="仿宋_GB2312"/>
                      <w:sz w:val="21"/>
                      <w:color w:val="000000"/>
                    </w:rPr>
                    <w:t>板材为</w:t>
                  </w:r>
                  <w:r>
                    <w:rPr>
                      <w:rFonts w:ascii="仿宋_GB2312" w:hAnsi="仿宋_GB2312" w:cs="仿宋_GB2312" w:eastAsia="仿宋_GB2312"/>
                      <w:sz w:val="21"/>
                      <w:color w:val="000000"/>
                    </w:rPr>
                    <w:t>E1级多层实木板；陶瓷</w:t>
                  </w:r>
                  <w:r>
                    <w:rPr>
                      <w:rFonts w:ascii="仿宋_GB2312" w:hAnsi="仿宋_GB2312" w:cs="仿宋_GB2312" w:eastAsia="仿宋_GB2312"/>
                      <w:sz w:val="21"/>
                      <w:color w:val="000000"/>
                    </w:rPr>
                    <w:t>耐污染性</w:t>
                  </w:r>
                  <w:r>
                    <w:rPr>
                      <w:rFonts w:ascii="仿宋_GB2312" w:hAnsi="仿宋_GB2312" w:cs="仿宋_GB2312" w:eastAsia="仿宋_GB2312"/>
                      <w:sz w:val="21"/>
                      <w:color w:val="000000"/>
                    </w:rPr>
                    <w:t>≥3 级</w:t>
                  </w:r>
                  <w:r>
                    <w:rPr>
                      <w:rFonts w:ascii="仿宋_GB2312" w:hAnsi="仿宋_GB2312" w:cs="仿宋_GB2312" w:eastAsia="仿宋_GB2312"/>
                      <w:sz w:val="21"/>
                      <w:color w:val="000000"/>
                    </w:rPr>
                    <w:t>；</w:t>
                  </w:r>
                  <w:r>
                    <w:rPr>
                      <w:rFonts w:ascii="仿宋_GB2312" w:hAnsi="仿宋_GB2312" w:cs="仿宋_GB2312" w:eastAsia="仿宋_GB2312"/>
                      <w:sz w:val="21"/>
                      <w:color w:val="000000"/>
                    </w:rPr>
                    <w:t>不锈钢下水线</w:t>
                  </w:r>
                  <w:r>
                    <w:rPr>
                      <w:rFonts w:ascii="仿宋_GB2312" w:hAnsi="仿宋_GB2312" w:cs="仿宋_GB2312" w:eastAsia="仿宋_GB2312"/>
                      <w:sz w:val="21"/>
                      <w:color w:val="000000"/>
                    </w:rPr>
                    <w:t>。</w:t>
                  </w:r>
                  <w:r>
                    <w:rPr>
                      <w:rFonts w:ascii="仿宋_GB2312" w:hAnsi="仿宋_GB2312" w:cs="仿宋_GB2312" w:eastAsia="仿宋_GB2312"/>
                      <w:sz w:val="21"/>
                      <w:color w:val="000000"/>
                    </w:rPr>
                    <w:t>节能环保产品，符合本项目工程量清单、施工图纸相关要求，符合</w:t>
                  </w:r>
                  <w:r>
                    <w:rPr>
                      <w:rFonts w:ascii="仿宋_GB2312" w:hAnsi="仿宋_GB2312" w:cs="仿宋_GB2312" w:eastAsia="仿宋_GB2312"/>
                      <w:sz w:val="21"/>
                      <w:color w:val="000000"/>
                    </w:rPr>
                    <w:t>国家相关标准、规范</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179"/>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水咀</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不锈钢拉丝水咀，</w:t>
                  </w:r>
                  <w:r>
                    <w:rPr>
                      <w:rFonts w:ascii="仿宋_GB2312" w:hAnsi="仿宋_GB2312" w:cs="仿宋_GB2312" w:eastAsia="仿宋_GB2312"/>
                      <w:sz w:val="21"/>
                      <w:color w:val="000000"/>
                    </w:rPr>
                    <w:t>产品金属污染物析出统计值：</w:t>
                  </w:r>
                </w:p>
                <w:p>
                  <w:pPr>
                    <w:pStyle w:val="null3"/>
                    <w:jc w:val="left"/>
                  </w:pPr>
                  <w:r>
                    <w:rPr>
                      <w:rFonts w:ascii="仿宋_GB2312" w:hAnsi="仿宋_GB2312" w:cs="仿宋_GB2312" w:eastAsia="仿宋_GB2312"/>
                      <w:sz w:val="21"/>
                      <w:color w:val="000000"/>
                    </w:rPr>
                    <w:t>Pb≤4μg/L</w:t>
                  </w:r>
                </w:p>
                <w:p>
                  <w:pPr>
                    <w:pStyle w:val="null3"/>
                    <w:jc w:val="left"/>
                  </w:pPr>
                  <w:r>
                    <w:rPr>
                      <w:rFonts w:ascii="仿宋_GB2312" w:hAnsi="仿宋_GB2312" w:cs="仿宋_GB2312" w:eastAsia="仿宋_GB2312"/>
                      <w:sz w:val="21"/>
                      <w:color w:val="000000"/>
                    </w:rPr>
                    <w:t>Cu≤100μg/L</w:t>
                  </w:r>
                </w:p>
                <w:p>
                  <w:pPr>
                    <w:pStyle w:val="null3"/>
                    <w:jc w:val="left"/>
                  </w:pPr>
                  <w:r>
                    <w:rPr>
                      <w:rFonts w:ascii="仿宋_GB2312" w:hAnsi="仿宋_GB2312" w:cs="仿宋_GB2312" w:eastAsia="仿宋_GB2312"/>
                      <w:sz w:val="21"/>
                      <w:color w:val="000000"/>
                    </w:rPr>
                    <w:t>Cr≤7μg/L</w:t>
                  </w:r>
                </w:p>
                <w:p>
                  <w:pPr>
                    <w:pStyle w:val="null3"/>
                    <w:jc w:val="left"/>
                  </w:pPr>
                  <w:r>
                    <w:rPr>
                      <w:rFonts w:ascii="仿宋_GB2312" w:hAnsi="仿宋_GB2312" w:cs="仿宋_GB2312" w:eastAsia="仿宋_GB2312"/>
                      <w:sz w:val="21"/>
                      <w:color w:val="000000"/>
                    </w:rPr>
                    <w:t>Cd≤0.4μg/L</w:t>
                  </w:r>
                </w:p>
                <w:p>
                  <w:pPr>
                    <w:pStyle w:val="null3"/>
                    <w:jc w:val="left"/>
                  </w:pPr>
                  <w:r>
                    <w:rPr>
                      <w:rFonts w:ascii="仿宋_GB2312" w:hAnsi="仿宋_GB2312" w:cs="仿宋_GB2312" w:eastAsia="仿宋_GB2312"/>
                      <w:sz w:val="21"/>
                      <w:color w:val="000000"/>
                    </w:rPr>
                    <w:t>As≤0.7μg/L</w:t>
                  </w:r>
                </w:p>
                <w:p>
                  <w:pPr>
                    <w:pStyle w:val="null3"/>
                    <w:jc w:val="left"/>
                  </w:pPr>
                  <w:r>
                    <w:rPr>
                      <w:rFonts w:ascii="仿宋_GB2312" w:hAnsi="仿宋_GB2312" w:cs="仿宋_GB2312" w:eastAsia="仿宋_GB2312"/>
                      <w:sz w:val="21"/>
                      <w:color w:val="000000"/>
                    </w:rPr>
                    <w:t>Cr6+≤1.5μg/L</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179"/>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大便器</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液压</w:t>
                  </w:r>
                  <w:r>
                    <w:rPr>
                      <w:rFonts w:ascii="仿宋_GB2312" w:hAnsi="仿宋_GB2312" w:cs="仿宋_GB2312" w:eastAsia="仿宋_GB2312"/>
                      <w:sz w:val="21"/>
                      <w:color w:val="000000"/>
                    </w:rPr>
                    <w:t>不锈钢</w:t>
                  </w:r>
                  <w:r>
                    <w:rPr>
                      <w:rFonts w:ascii="仿宋_GB2312" w:hAnsi="仿宋_GB2312" w:cs="仿宋_GB2312" w:eastAsia="仿宋_GB2312"/>
                      <w:sz w:val="21"/>
                      <w:color w:val="000000"/>
                    </w:rPr>
                    <w:t>脚踏冲洗阀</w:t>
                  </w:r>
                  <w:r>
                    <w:rPr>
                      <w:rFonts w:ascii="仿宋_GB2312" w:hAnsi="仿宋_GB2312" w:cs="仿宋_GB2312" w:eastAsia="仿宋_GB2312"/>
                      <w:sz w:val="21"/>
                      <w:color w:val="000000"/>
                    </w:rPr>
                    <w:t>/感应阀前排水单排</w:t>
                  </w:r>
                  <w:r>
                    <w:rPr>
                      <w:rFonts w:ascii="仿宋_GB2312" w:hAnsi="仿宋_GB2312" w:cs="仿宋_GB2312" w:eastAsia="仿宋_GB2312"/>
                      <w:sz w:val="21"/>
                      <w:color w:val="000000"/>
                    </w:rPr>
                    <w:t>蹲式大便器</w:t>
                  </w:r>
                  <w:r>
                    <w:rPr>
                      <w:rFonts w:ascii="仿宋_GB2312" w:hAnsi="仿宋_GB2312" w:cs="仿宋_GB2312" w:eastAsia="仿宋_GB2312"/>
                      <w:sz w:val="21"/>
                      <w:color w:val="000000"/>
                    </w:rPr>
                    <w:t>带存水弯</w:t>
                  </w:r>
                  <w:r>
                    <w:rPr>
                      <w:rFonts w:ascii="仿宋_GB2312" w:hAnsi="仿宋_GB2312" w:cs="仿宋_GB2312" w:eastAsia="仿宋_GB2312"/>
                      <w:sz w:val="21"/>
                      <w:color w:val="000000"/>
                    </w:rPr>
                    <w:t>，</w:t>
                  </w:r>
                  <w:r>
                    <w:rPr>
                      <w:rFonts w:ascii="仿宋_GB2312" w:hAnsi="仿宋_GB2312" w:cs="仿宋_GB2312" w:eastAsia="仿宋_GB2312"/>
                      <w:sz w:val="21"/>
                      <w:color w:val="000000"/>
                    </w:rPr>
                    <w:t>符合国家相关标准、规范。</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79"/>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小便器</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上进地排分体式悬挂小便器</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79"/>
                  <w:vMerge/>
                  <w:tcBorders>
                    <w:top w:val="none" w:color="000000" w:sz="4"/>
                    <w:left w:val="single" w:color="000000" w:sz="4"/>
                    <w:bottom w:val="single" w:color="000000" w:sz="4"/>
                    <w:right w:val="single" w:color="000000" w:sz="4"/>
                  </w:tcBorders>
                </w:tcP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阀门</w:t>
                  </w:r>
                </w:p>
              </w:tc>
              <w:tc>
                <w:tcPr>
                  <w:tcW w:type="dxa" w:w="1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参数详见设计图纸、工程量清单，符合本项目工程量清单、施工图纸相关要求，符合</w:t>
                  </w:r>
                  <w:r>
                    <w:rPr>
                      <w:rFonts w:ascii="仿宋_GB2312" w:hAnsi="仿宋_GB2312" w:cs="仿宋_GB2312" w:eastAsia="仿宋_GB2312"/>
                      <w:sz w:val="21"/>
                      <w:color w:val="000000"/>
                    </w:rPr>
                    <w:t>国家相关标准、规范</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1、工期：60天 2、付款方式：□签订合同完毕，供应商提供由工商银行、农业银行、中国银行、建设银行、交通银行其中一家出具的不可撤销、见索即付独立保函，且保函文本须载明“开证行仅凭受益人单方签署的索赔声明付款”，采购人支付合同总价的40%作为预付款，否则，采购人不予支付预付款。□签订合同完毕，供应商无法提供预付款保函，施工满一个月，且经核算完成80%改造工程内容后，支付合同额60%进度款。工程竣工验收合格后经审计部门或其委托有工程造价咨询资质的机构审定结算后，缴纳施工水电费后，支付至审定结算价的100%；但在国家规定的保修期限内，保修责任仍由承包人继续承担。本工程的工程量据实结算，若供应商报送的原始结算价超出采购人审定结算价的3％，则供应商承担全部审计费，在结算付款时一次性扣除。 3、履约保证金要求：供应商成交后凭成交通知书向采购人缴纳成交金额的3%作为履约保证金，待合同（含保修期）履约完毕后无息退还。若保修期内出现质量问题未及时处理或处理不当造成事故的，履约保证金不予退还。 4、质量标准：质量标准执行国家、陕西省、西安市现行工程质量验评标准，施工结束后提供具有CMA/CNAS资格的第三方检测机构空气质量检测报告。 5、质保期及保修要求：（1）质保期：本项目竣工验收合格通过之日起2年，其中防水5年；（2）保修要求①属于保修范围和内容的项目，供应商应在接到维修通知后，1天内派人维修。发生紧急抢修事故（如上水管跑水、爆裂，供电设施漏、断电等），供应商应在接到事故通知后2小时内到达事故现场并于4小时内完成应急维修。 6、投标报价要求：（1）磋商文件中提供的工程量清单是按照本工程施工图纸，依据《陕西省建设工程费用规则》、2025版《陕西省建设工程工程量清单计价标准》、2025版《陕西省房屋建筑与装饰工程工程量计算标准》、2025版《陕西省通用安装工程工程量计算标准》、2025版《陕西省市政工程工程量计算标准》、2025版《陕西省园林绿化工程工程量计算标准》等现行陕西省工程建设标准的规定项目编码、项目名称、计量单位和工程量计算规则进行编制的，请各供应商根据提供的施工图纸认真核对，并确认无误；供应商成交后，若出现磋商文件中工程量清单描述与图纸不符等问题时，此部分工程量清单项的综合单价不予调整。（2）供应商投标前，应仔细勘察现场，应充分了解工程建设现状与本工程发包内容相关的实际情况，应充分考虑实际情况对投标报价的影响，任何因忽视或误解现状情况而导致的索赔、价款调整或工期延长申请将不被批准。供应商应充分考虑工程建设现状与本工程计价有关的任何因素均应考虑在投标报价中。</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1.供应商需要在线提交所有通过电子化交易平台实施的政府采购项目的响应文件。 2、定标环节采购人有权对响应文件承诺响应的内容进行复核，如有虚假响应，一经发现，取消成交资格并上报财政主管部门，列入政府采购黑名单。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具有独立承担民事责任的能力（企业法人应提供统一社会信用代码的营业执照；事业法人应提供事业单位法人证、组织机构代码证等证明文件；其他组织应提供合法证明文件；自然人提供身份证明文件）；2、具有良好的商业信誉和健全的财务会计制度，提供2024年度或2025年度经审计完整的财务审计报告（成立时间至提交响应文件截止时间不足一年的可提供成立后任意时段的资产负债表），或其开标前12个月内银行出具的资信证明，或财政部门认可的政府采购专业担保机构出具的投标担保函；3、具有履行合同所必需的设备和专业技术能力的书面声明（格式详见附件）；4、有依法缴纳税收和社会保障资金的良好记录（提供开标前12个月内任一月份的社保和缴纳税收的证明，依法不需要缴纳社会保障资金、免税或无须缴纳税款的供应商，应提供相关证明文件)；5、参加政府采购活动前3年内在经营活动中没有重大违法记录的书面声明（格式详见附件）。</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具有良好的商业信誉和健全的财务会计制度，提供2024年度或2025年度经审计完整的财务审计报告（成立时间至提交响应文件截止时间不足一年的可提供成立后任意时段的资产负债表），或其开标前12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供应商资格</w:t>
            </w:r>
          </w:p>
        </w:tc>
        <w:tc>
          <w:tcPr>
            <w:tcW w:type="dxa" w:w="3322"/>
          </w:tcPr>
          <w:p>
            <w:pPr>
              <w:pStyle w:val="null3"/>
            </w:pPr>
            <w:r>
              <w:rPr>
                <w:rFonts w:ascii="仿宋_GB2312" w:hAnsi="仿宋_GB2312" w:cs="仿宋_GB2312" w:eastAsia="仿宋_GB2312"/>
              </w:rPr>
              <w:t>供应商需具备国家建设行政主管部门颁发的建筑工程施工总承包三级及以上资质或建筑装修装饰工程专业承包二级及以上资质，和有效期内的安全生产许可证。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拟派项目经理须具备建设行政主管部门颁发的建筑工程专业注册建造师二级及以上执业资格和有效的安全生产考核合格B证，在本单位注册。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外地企业提供在“陕西省建筑市场监管与诚信信息发布平台”上登记的基本信息界面截图，要求字迹清晰可辨并加盖单位红色公章。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供应商应授权合法的人员参加投标全过程，其中法定代表人直接参加投标的，须出具法定代表人身份证，并与营业执照上信息一致。法定代表人授权代表参加投标的，须出具法定代表人授权书及授权代表身份证。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磋商报价表.docx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响应文件上法定代表人（负责人）或其授权代表人的签字齐全并加盖公章.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响应文件格式、语言、计量单位、报价货币</w:t>
            </w:r>
          </w:p>
        </w:tc>
        <w:tc>
          <w:tcPr>
            <w:tcW w:type="dxa" w:w="3322"/>
          </w:tcPr>
          <w:p>
            <w:pPr>
              <w:pStyle w:val="null3"/>
            </w:pPr>
            <w:r>
              <w:rPr>
                <w:rFonts w:ascii="仿宋_GB2312" w:hAnsi="仿宋_GB2312" w:cs="仿宋_GB2312" w:eastAsia="仿宋_GB2312"/>
              </w:rPr>
              <w:t>应符合“响应文件格式”和磋商文件要求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响应文件中的一次报价，只能有一个有效报价</w:t>
            </w:r>
          </w:p>
        </w:tc>
        <w:tc>
          <w:tcPr>
            <w:tcW w:type="dxa" w:w="1661"/>
          </w:tcPr>
          <w:p>
            <w:pPr>
              <w:pStyle w:val="null3"/>
            </w:pPr>
            <w:r>
              <w:rPr>
                <w:rFonts w:ascii="仿宋_GB2312" w:hAnsi="仿宋_GB2312" w:cs="仿宋_GB2312" w:eastAsia="仿宋_GB2312"/>
              </w:rPr>
              <w:t>已标价工程量清单 磋商报价表.docx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不能有任何采购人不能接受的附加条件</w:t>
            </w:r>
          </w:p>
        </w:tc>
        <w:tc>
          <w:tcPr>
            <w:tcW w:type="dxa" w:w="1661"/>
          </w:tcPr>
          <w:p>
            <w:pPr>
              <w:pStyle w:val="null3"/>
            </w:pPr>
            <w:r>
              <w:rPr>
                <w:rFonts w:ascii="仿宋_GB2312" w:hAnsi="仿宋_GB2312" w:cs="仿宋_GB2312" w:eastAsia="仿宋_GB2312"/>
              </w:rPr>
              <w:t>商务及技术要求偏离表.docx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工期、保修期、付款方式、响应有效期</w:t>
            </w:r>
          </w:p>
        </w:tc>
        <w:tc>
          <w:tcPr>
            <w:tcW w:type="dxa" w:w="3322"/>
          </w:tcPr>
          <w:p>
            <w:pPr>
              <w:pStyle w:val="null3"/>
            </w:pPr>
            <w:r>
              <w:rPr>
                <w:rFonts w:ascii="仿宋_GB2312" w:hAnsi="仿宋_GB2312" w:cs="仿宋_GB2312" w:eastAsia="仿宋_GB2312"/>
              </w:rPr>
              <w:t>应满足竞争性磋商文件中要求</w:t>
            </w:r>
          </w:p>
        </w:tc>
        <w:tc>
          <w:tcPr>
            <w:tcW w:type="dxa" w:w="1661"/>
          </w:tcPr>
          <w:p>
            <w:pPr>
              <w:pStyle w:val="null3"/>
            </w:pPr>
            <w:r>
              <w:rPr>
                <w:rFonts w:ascii="仿宋_GB2312" w:hAnsi="仿宋_GB2312" w:cs="仿宋_GB2312" w:eastAsia="仿宋_GB2312"/>
              </w:rPr>
              <w:t>商务及技术要求偏离表.docx 磋商报价表.docx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工程量清单</w:t>
            </w:r>
          </w:p>
        </w:tc>
        <w:tc>
          <w:tcPr>
            <w:tcW w:type="dxa" w:w="3322"/>
          </w:tcPr>
          <w:p>
            <w:pPr>
              <w:pStyle w:val="null3"/>
            </w:pPr>
            <w:r>
              <w:rPr>
                <w:rFonts w:ascii="仿宋_GB2312" w:hAnsi="仿宋_GB2312" w:cs="仿宋_GB2312" w:eastAsia="仿宋_GB2312"/>
              </w:rPr>
              <w:t>己标价工程量清单扉页(仅指投标总价扉页)需加盖有注册或登记在本单位的造价人员签字并盖执业印章</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项目团队</w:t>
            </w:r>
          </w:p>
        </w:tc>
        <w:tc>
          <w:tcPr>
            <w:tcW w:type="dxa" w:w="3322"/>
          </w:tcPr>
          <w:p>
            <w:pPr>
              <w:pStyle w:val="null3"/>
            </w:pPr>
            <w:r>
              <w:rPr>
                <w:rFonts w:ascii="仿宋_GB2312" w:hAnsi="仿宋_GB2312" w:cs="仿宋_GB2312" w:eastAsia="仿宋_GB2312"/>
              </w:rPr>
              <w:t>提供拟派项目经理及项目组成员在项目结束前不可更换的承诺函</w:t>
            </w:r>
          </w:p>
        </w:tc>
        <w:tc>
          <w:tcPr>
            <w:tcW w:type="dxa" w:w="1661"/>
          </w:tcPr>
          <w:p>
            <w:pPr>
              <w:pStyle w:val="null3"/>
            </w:pPr>
            <w:r>
              <w:rPr>
                <w:rFonts w:ascii="仿宋_GB2312" w:hAnsi="仿宋_GB2312" w:cs="仿宋_GB2312" w:eastAsia="仿宋_GB2312"/>
              </w:rPr>
              <w:t>项目团队.docx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提供拟派项目经理在本单位近6个月内社保缴纳证明</w:t>
            </w:r>
          </w:p>
        </w:tc>
        <w:tc>
          <w:tcPr>
            <w:tcW w:type="dxa" w:w="1661"/>
          </w:tcPr>
          <w:p>
            <w:pPr>
              <w:pStyle w:val="null3"/>
            </w:pPr>
            <w:r>
              <w:rPr>
                <w:rFonts w:ascii="仿宋_GB2312" w:hAnsi="仿宋_GB2312" w:cs="仿宋_GB2312" w:eastAsia="仿宋_GB2312"/>
              </w:rPr>
              <w:t>项目团队.docx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工程量清单2</w:t>
            </w:r>
          </w:p>
        </w:tc>
        <w:tc>
          <w:tcPr>
            <w:tcW w:type="dxa" w:w="3322"/>
          </w:tcPr>
          <w:p>
            <w:pPr>
              <w:pStyle w:val="null3"/>
            </w:pPr>
            <w:r>
              <w:rPr>
                <w:rFonts w:ascii="仿宋_GB2312" w:hAnsi="仿宋_GB2312" w:cs="仿宋_GB2312" w:eastAsia="仿宋_GB2312"/>
              </w:rPr>
              <w:t>响应文件出现工程量漏项或工程量清单与要求不符的</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磋商文件规定的其他情形</w:t>
            </w:r>
          </w:p>
        </w:tc>
        <w:tc>
          <w:tcPr>
            <w:tcW w:type="dxa" w:w="3322"/>
          </w:tcPr>
          <w:p>
            <w:pPr>
              <w:pStyle w:val="null3"/>
            </w:pPr>
            <w:r>
              <w:rPr>
                <w:rFonts w:ascii="仿宋_GB2312" w:hAnsi="仿宋_GB2312" w:cs="仿宋_GB2312" w:eastAsia="仿宋_GB2312"/>
              </w:rPr>
              <w:t>是否符合磋商文件规定的其他情形。</w:t>
            </w:r>
          </w:p>
        </w:tc>
        <w:tc>
          <w:tcPr>
            <w:tcW w:type="dxa" w:w="1661"/>
          </w:tcPr>
          <w:p>
            <w:pPr>
              <w:pStyle w:val="null3"/>
            </w:pPr>
            <w:r>
              <w:rPr>
                <w:rFonts w:ascii="仿宋_GB2312" w:hAnsi="仿宋_GB2312" w:cs="仿宋_GB2312" w:eastAsia="仿宋_GB2312"/>
              </w:rPr>
              <w:t>商务及技术要求偏离表.docx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详细评审45.00分</w:t>
            </w:r>
          </w:p>
          <w:p>
            <w:pPr>
              <w:pStyle w:val="null3"/>
            </w:pPr>
            <w:r>
              <w:rPr>
                <w:rFonts w:ascii="仿宋_GB2312" w:hAnsi="仿宋_GB2312" w:cs="仿宋_GB2312" w:eastAsia="仿宋_GB2312"/>
              </w:rPr>
              <w:t>报价得分55.00分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对项目整体理解及施工方案</w:t>
            </w:r>
          </w:p>
        </w:tc>
        <w:tc>
          <w:tcPr>
            <w:tcW w:type="dxa" w:w="2492"/>
          </w:tcPr>
          <w:p>
            <w:pPr>
              <w:pStyle w:val="null3"/>
            </w:pPr>
            <w:r>
              <w:rPr>
                <w:rFonts w:ascii="仿宋_GB2312" w:hAnsi="仿宋_GB2312" w:cs="仿宋_GB2312" w:eastAsia="仿宋_GB2312"/>
              </w:rPr>
              <w:t>1、对项目实施的现场情况、难易程度、历史资料匹配、成品保护等重点、难点进行分析；根据对项目整体理解内容进行评审： 内容完备、科学、合理、针对性强得1.5分； 内容较为完备，针对性较强的得1分； 内容较为简略、基本可行得0.5分； 内容缺失严重、不合理和未提供的均不计分。 2、根据供应商针对本项目易发生质量通病、易出现安全问题、施工难度大、技术含量高的分项工程等进行说明并给出施工保障措施和专项技术方案（含主要施工工法、组织措施、检验手段等）进行评审： 内容完备、科学、合理、针对性强得2分； 内容较为完备，针对性较强的得1.4分； 内容较为简略、基本可行得0.7分； 内容缺失严重、不合理和未提供的均不计分。 3、根据供应商针对本项目影响本项目的外在因素和可能出现的问题进行分析，并制定相关应急预案或保证措施进行评审： 内容完备、科学、合理、针对性强得1.5分； 内容较为完备，针对性较强的得1分； 内容较为简略、基本可行得0.5分； 内容缺失严重、不合理和未提供的均不计分。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1、根据供应商针对本项目工期、质量高的特点，制定切实可行的施工进度计划（网络图/横道图）和工期保证措施，施工顺序具体说明及施工流水段划分；工期控制要点及分级控制措施；进度监管手段、人材机组织保证进行评审： 内容完备、科学、合理、针对性强得3分； 内容较为完备，针对性较强的得2分； 内容较为简略、基本可行得1分； 内容缺失严重、不合理和未提供的均不计分。 2、根据供应商针对本项目工期紧、质量高的特点，制定切实可行的现场调度及总包分包协调方案；赶工方案及奖惩措施；劳动力配置计划和生产效率及生活保障措施；检测及机具设备计划、材料准备计划及相关保证措施进行评审： 内容完备、科学、合理、针对性强得3分； 内容较为完备，针对性较强的得2分； 内容较为简略、基本可行得1分； 内容缺失严重、不合理和未提供的均不计分。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质量管理体系与保证措施</w:t>
            </w:r>
          </w:p>
        </w:tc>
        <w:tc>
          <w:tcPr>
            <w:tcW w:type="dxa" w:w="2492"/>
          </w:tcPr>
          <w:p>
            <w:pPr>
              <w:pStyle w:val="null3"/>
            </w:pPr>
            <w:r>
              <w:rPr>
                <w:rFonts w:ascii="仿宋_GB2312" w:hAnsi="仿宋_GB2312" w:cs="仿宋_GB2312" w:eastAsia="仿宋_GB2312"/>
              </w:rPr>
              <w:t>1、根据供应商针对本项目特点制定切实可行质量管理预控措施（各项质量目标及控制措施、质量检验和实验计划、事前控制、材料质量控制、施工机具控制等）进行评审： 内容完备、科学、合理、针对性强得2分； 内容较为完备，针对性较强的得1.4分； 内容较为简略、基本可行得0.7分； 内容缺失严重、不合理和未提供的均不计分。。 2、根据供应商针对本项目提供分部分项工程质量保证措施；成品保护和工程保修管理措施进行评审： 内容完备、科学、合理、针对性强得2分； 内容较为完备，针对性较强的得1.4分； 内容较为简略、基本可行得0.7分； 内容缺失严重、不合理和未提供的均不计分。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确保安全生产、文明施工的技术组织措施及环境保护措施</w:t>
            </w:r>
          </w:p>
        </w:tc>
        <w:tc>
          <w:tcPr>
            <w:tcW w:type="dxa" w:w="2492"/>
          </w:tcPr>
          <w:p>
            <w:pPr>
              <w:pStyle w:val="null3"/>
            </w:pPr>
            <w:r>
              <w:rPr>
                <w:rFonts w:ascii="仿宋_GB2312" w:hAnsi="仿宋_GB2312" w:cs="仿宋_GB2312" w:eastAsia="仿宋_GB2312"/>
              </w:rPr>
              <w:t>1、根据供应商针对本项目结合工程环境、特点分析安全隐患，给出有针对性的安全生产、文明施工、环保施工、防尘降噪等保证措施进行评审： 内容完备、科学、合理、针对性强得2分； 内容较为完备，针对性较强的得1.5分； 内容较为简略、基本可行得1分； 内容缺失严重、不合理和未提供的均不计分。 2、根据供应商针对本项目安全文明、环保施工保证体系和控制点设置合理，给出的满足国家、省市相关法规规定及采购文件要求的保护措施进行评审： 内容完备、科学、合理、针对性强得2分； 内容较为完备，针对性较强的得1.5分； 内容较为简略、基本可行得1分； 内容缺失严重、不合理和未提供的均不计分。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项目人员组成</w:t>
            </w:r>
          </w:p>
        </w:tc>
        <w:tc>
          <w:tcPr>
            <w:tcW w:type="dxa" w:w="2492"/>
          </w:tcPr>
          <w:p>
            <w:pPr>
              <w:pStyle w:val="null3"/>
            </w:pPr>
            <w:r>
              <w:rPr>
                <w:rFonts w:ascii="仿宋_GB2312" w:hAnsi="仿宋_GB2312" w:cs="仿宋_GB2312" w:eastAsia="仿宋_GB2312"/>
              </w:rPr>
              <w:t>根据供应商针对本项目提供的项目人员组成，技术负责人（职称、学历、工作年限），其他项目人员构成情况（岗位设置、专业种类及能力、有技术职称的人员比例）等进行评审： 内容完备、科学、合理、针对性强得3分； 内容较为完备，针对性较强的得2分； 内容较为简略、基本可行0.8分；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项目团队.docx</w:t>
            </w:r>
          </w:p>
        </w:tc>
      </w:tr>
      <w:tr>
        <w:tc>
          <w:tcPr>
            <w:tcW w:type="dxa" w:w="831"/>
            <w:vMerge/>
          </w:tcPr>
          <w:p/>
        </w:tc>
        <w:tc>
          <w:tcPr>
            <w:tcW w:type="dxa" w:w="1661"/>
          </w:tcPr>
          <w:p>
            <w:pPr>
              <w:pStyle w:val="null3"/>
            </w:pPr>
            <w:r>
              <w:rPr>
                <w:rFonts w:ascii="仿宋_GB2312" w:hAnsi="仿宋_GB2312" w:cs="仿宋_GB2312" w:eastAsia="仿宋_GB2312"/>
              </w:rPr>
              <w:t>拟派项目经理业绩</w:t>
            </w:r>
          </w:p>
        </w:tc>
        <w:tc>
          <w:tcPr>
            <w:tcW w:type="dxa" w:w="2492"/>
          </w:tcPr>
          <w:p>
            <w:pPr>
              <w:pStyle w:val="null3"/>
            </w:pPr>
            <w:r>
              <w:rPr>
                <w:rFonts w:ascii="仿宋_GB2312" w:hAnsi="仿宋_GB2312" w:cs="仿宋_GB2312" w:eastAsia="仿宋_GB2312"/>
              </w:rPr>
              <w:t>供应商提供拟派项目经理自2023年1月1日至今的类似业绩证明材料，每提供1项得1分，最多得3分。 备注：业绩时间以合同签订时间所体现的时间为准，合同中需要体现项目经理姓名，拟派项目经理业绩与企业业绩不可重合得分。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项目团队.docx</w:t>
            </w:r>
          </w:p>
        </w:tc>
      </w:tr>
      <w:tr>
        <w:tc>
          <w:tcPr>
            <w:tcW w:type="dxa" w:w="831"/>
            <w:vMerge/>
          </w:tcPr>
          <w:p/>
        </w:tc>
        <w:tc>
          <w:tcPr>
            <w:tcW w:type="dxa" w:w="1661"/>
          </w:tcPr>
          <w:p>
            <w:pPr>
              <w:pStyle w:val="null3"/>
            </w:pPr>
            <w:r>
              <w:rPr>
                <w:rFonts w:ascii="仿宋_GB2312" w:hAnsi="仿宋_GB2312" w:cs="仿宋_GB2312" w:eastAsia="仿宋_GB2312"/>
              </w:rPr>
              <w:t>主要材料品牌、价格表</w:t>
            </w:r>
          </w:p>
        </w:tc>
        <w:tc>
          <w:tcPr>
            <w:tcW w:type="dxa" w:w="2492"/>
          </w:tcPr>
          <w:p>
            <w:pPr>
              <w:pStyle w:val="null3"/>
            </w:pPr>
            <w:r>
              <w:rPr>
                <w:rFonts w:ascii="仿宋_GB2312" w:hAnsi="仿宋_GB2312" w:cs="仿宋_GB2312" w:eastAsia="仿宋_GB2312"/>
              </w:rPr>
              <w:t>1、主要材料品牌、价格表填写完整，无缺漏项计4分；未提供或提供不全或拟投主要材料品牌不明确的本项不得分。 2、根据供应商针对本项目拟投入主要材料品牌、价格表的产品选型情况、品质进行评审： 主要材料品牌、价格表的市场应用比例高、与本次项目契合度高、为主流产品且符合相关要求，相关证明材料完整、清晰的得5分； 主要材料品牌、价格表的市场应用比例较高、与本次项目契合度较好、为较主流产品，相关证明材料较完整、较清晰的得4分； 主要材料品牌、价格表的市场应用比例中等、与本次项目契合度一般、为一般产品，相关证明材料基本完整的得3分； 主要材料品牌、价格表的市场应用比例偏低、与本次项目契合度较差，相关证明材料部分缺失的得2分； 主要材料品牌、价格表的市场占有率一般，相关证明材料不完整、缺失严重的得1分； 未提供的不计分。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主要材料品牌、价格表.docx</w:t>
            </w:r>
          </w:p>
        </w:tc>
      </w:tr>
      <w:tr>
        <w:tc>
          <w:tcPr>
            <w:tcW w:type="dxa" w:w="831"/>
            <w:vMerge/>
          </w:tcPr>
          <w:p/>
        </w:tc>
        <w:tc>
          <w:tcPr>
            <w:tcW w:type="dxa" w:w="1661"/>
          </w:tcPr>
          <w:p>
            <w:pPr>
              <w:pStyle w:val="null3"/>
            </w:pPr>
            <w:r>
              <w:rPr>
                <w:rFonts w:ascii="仿宋_GB2312" w:hAnsi="仿宋_GB2312" w:cs="仿宋_GB2312" w:eastAsia="仿宋_GB2312"/>
              </w:rPr>
              <w:t>节能环保、绿色建材</w:t>
            </w:r>
          </w:p>
        </w:tc>
        <w:tc>
          <w:tcPr>
            <w:tcW w:type="dxa" w:w="2492"/>
          </w:tcPr>
          <w:p>
            <w:pPr>
              <w:pStyle w:val="null3"/>
            </w:pPr>
            <w:r>
              <w:rPr>
                <w:rFonts w:ascii="仿宋_GB2312" w:hAnsi="仿宋_GB2312" w:cs="仿宋_GB2312" w:eastAsia="仿宋_GB2312"/>
              </w:rPr>
              <w:t>针对本项目所选用的材料采用绿色环保、节能材料的； 以上内容每提供一项得0.5分，最高得4分，不提供不计分。（以上内容需提供检测报告及相关证明材料等并加盖公章）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提供供应商2022年1月1日至今(以合同签订日期为准)类似业绩证明材料，每份业绩计1分，满分4分。 备注：业绩时间以合同签订时间所体现的时间为准。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根据供应商提供的质保服务方案及承诺、与学校相关部门的配合协调承诺、人员安全保障承诺及优化建议等进行赋分： 内容完备、科学、合理、针对性强得3分； 内容较为完备，针对性较强的得2分； 内容较为简略、基本可行0.8分；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满足磋商文件要求且最后磋商价格最低的磋商报价为评标基准价，其价格分为满分。其他供应商的价格分统一按照下列公式计算：磋商报价得分=（评标基准价/磋商报价）×55</w:t>
            </w:r>
          </w:p>
        </w:tc>
        <w:tc>
          <w:tcPr>
            <w:tcW w:type="dxa" w:w="831"/>
          </w:tcPr>
          <w:p>
            <w:pPr>
              <w:pStyle w:val="null3"/>
              <w:jc w:val="right"/>
            </w:pPr>
            <w:r>
              <w:rPr>
                <w:rFonts w:ascii="仿宋_GB2312" w:hAnsi="仿宋_GB2312" w:cs="仿宋_GB2312" w:eastAsia="仿宋_GB2312"/>
              </w:rPr>
              <w:t>55.0000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详见附件：商务及技术要求偏离表.docx</w:t>
      </w:r>
    </w:p>
    <w:p>
      <w:pPr>
        <w:pStyle w:val="null3"/>
        <w:ind w:firstLine="960"/>
      </w:pPr>
      <w:r>
        <w:rPr>
          <w:rFonts w:ascii="仿宋_GB2312" w:hAnsi="仿宋_GB2312" w:cs="仿宋_GB2312" w:eastAsia="仿宋_GB2312"/>
        </w:rPr>
        <w:t>详见附件：项目团队.docx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详见附件：主要材料品牌、价格表.docx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