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39F52">
      <w:pPr>
        <w:snapToGrid w:val="0"/>
        <w:jc w:val="center"/>
        <w:rPr>
          <w:rFonts w:hint="eastAsia" w:ascii="宋体" w:hAnsi="宋体" w:eastAsia="宋体"/>
          <w:b/>
          <w:sz w:val="44"/>
          <w:szCs w:val="28"/>
          <w:highlight w:val="none"/>
          <w:lang w:eastAsia="zh-CN"/>
        </w:rPr>
      </w:pPr>
    </w:p>
    <w:p w14:paraId="69B029F8">
      <w:pPr>
        <w:snapToGrid w:val="0"/>
        <w:jc w:val="center"/>
        <w:rPr>
          <w:rFonts w:hint="eastAsia" w:ascii="宋体" w:hAnsi="宋体" w:eastAsia="宋体"/>
          <w:b/>
          <w:sz w:val="44"/>
          <w:szCs w:val="28"/>
          <w:highlight w:val="none"/>
          <w:lang w:eastAsia="zh-CN"/>
        </w:rPr>
      </w:pPr>
    </w:p>
    <w:p w14:paraId="19635F83">
      <w:pPr>
        <w:snapToGrid w:val="0"/>
        <w:jc w:val="center"/>
        <w:rPr>
          <w:rFonts w:hint="eastAsia" w:ascii="宋体" w:hAnsi="宋体" w:eastAsia="宋体"/>
          <w:b/>
          <w:sz w:val="44"/>
          <w:szCs w:val="28"/>
          <w:highlight w:val="none"/>
          <w:lang w:eastAsia="zh-CN"/>
        </w:rPr>
      </w:pPr>
    </w:p>
    <w:p w14:paraId="20FE7F00">
      <w:pPr>
        <w:snapToGrid w:val="0"/>
        <w:jc w:val="center"/>
        <w:rPr>
          <w:rFonts w:hint="eastAsia" w:ascii="宋体" w:hAnsi="宋体" w:eastAsia="宋体"/>
          <w:b/>
          <w:sz w:val="44"/>
          <w:szCs w:val="28"/>
          <w:highlight w:val="none"/>
          <w:lang w:eastAsia="zh-CN"/>
        </w:rPr>
      </w:pPr>
    </w:p>
    <w:p w14:paraId="24D5ED44">
      <w:pPr>
        <w:snapToGrid w:val="0"/>
        <w:jc w:val="center"/>
        <w:rPr>
          <w:rFonts w:hint="eastAsia" w:ascii="宋体" w:hAnsi="宋体" w:eastAsia="宋体"/>
          <w:b/>
          <w:sz w:val="44"/>
          <w:szCs w:val="28"/>
          <w:highlight w:val="none"/>
          <w:lang w:eastAsia="zh-CN"/>
        </w:rPr>
      </w:pPr>
    </w:p>
    <w:p w14:paraId="3100E8E5">
      <w:pPr>
        <w:snapToGrid w:val="0"/>
        <w:jc w:val="center"/>
        <w:rPr>
          <w:rFonts w:hint="eastAsia" w:ascii="宋体" w:hAnsi="宋体" w:eastAsia="宋体"/>
          <w:b/>
          <w:sz w:val="36"/>
          <w:highlight w:val="none"/>
          <w:lang w:eastAsia="zh-CN"/>
        </w:rPr>
      </w:pPr>
      <w:r>
        <w:rPr>
          <w:rFonts w:hint="eastAsia" w:ascii="宋体" w:hAnsi="宋体" w:eastAsia="宋体"/>
          <w:b/>
          <w:sz w:val="44"/>
          <w:szCs w:val="28"/>
          <w:highlight w:val="none"/>
          <w:lang w:val="en-US" w:eastAsia="zh-CN"/>
        </w:rPr>
        <w:t>市级农发资金绩效评价及体系建设</w:t>
      </w:r>
      <w:r>
        <w:rPr>
          <w:rFonts w:hint="eastAsia" w:ascii="宋体" w:hAnsi="宋体" w:eastAsia="宋体"/>
          <w:b/>
          <w:sz w:val="36"/>
          <w:highlight w:val="none"/>
          <w:lang w:val="en-US" w:eastAsia="zh-CN"/>
        </w:rPr>
        <w:t xml:space="preserve"> </w:t>
      </w:r>
    </w:p>
    <w:p w14:paraId="1866E247">
      <w:pPr>
        <w:snapToGrid w:val="0"/>
        <w:jc w:val="center"/>
        <w:rPr>
          <w:rFonts w:hint="eastAsia" w:ascii="宋体" w:hAnsi="宋体" w:eastAsia="宋体"/>
          <w:b/>
          <w:sz w:val="36"/>
          <w:highlight w:val="none"/>
          <w:lang w:eastAsia="zh-CN"/>
        </w:rPr>
      </w:pPr>
    </w:p>
    <w:p w14:paraId="61CD4A08">
      <w:pPr>
        <w:snapToGrid w:val="0"/>
        <w:jc w:val="center"/>
        <w:rPr>
          <w:rFonts w:ascii="宋体" w:hAnsi="宋体"/>
          <w:b/>
          <w:sz w:val="52"/>
          <w:highlight w:val="none"/>
        </w:rPr>
      </w:pPr>
    </w:p>
    <w:p w14:paraId="7AE2BC1E">
      <w:pPr>
        <w:snapToGrid w:val="0"/>
        <w:jc w:val="center"/>
        <w:rPr>
          <w:rFonts w:ascii="宋体" w:hAnsi="宋体"/>
          <w:b/>
          <w:sz w:val="52"/>
          <w:highlight w:val="none"/>
        </w:rPr>
      </w:pPr>
    </w:p>
    <w:p w14:paraId="4E2A713C">
      <w:pPr>
        <w:snapToGrid w:val="0"/>
        <w:jc w:val="center"/>
        <w:rPr>
          <w:rFonts w:ascii="宋体" w:hAnsi="宋体"/>
          <w:b/>
          <w:sz w:val="52"/>
          <w:highlight w:val="none"/>
        </w:rPr>
      </w:pPr>
      <w:r>
        <w:rPr>
          <w:rFonts w:hint="eastAsia" w:ascii="宋体" w:hAnsi="宋体"/>
          <w:b/>
          <w:sz w:val="52"/>
          <w:highlight w:val="none"/>
        </w:rPr>
        <w:t>采购合同</w:t>
      </w:r>
    </w:p>
    <w:p w14:paraId="15D6F3B3">
      <w:pPr>
        <w:snapToGrid w:val="0"/>
        <w:jc w:val="center"/>
        <w:rPr>
          <w:rFonts w:ascii="宋体" w:hAnsi="宋体"/>
          <w:sz w:val="28"/>
          <w:highlight w:val="none"/>
        </w:rPr>
      </w:pPr>
    </w:p>
    <w:p w14:paraId="2050FFC4">
      <w:pPr>
        <w:snapToGrid w:val="0"/>
        <w:jc w:val="center"/>
        <w:rPr>
          <w:rFonts w:ascii="宋体" w:hAnsi="宋体"/>
          <w:b/>
          <w:sz w:val="2"/>
          <w:highlight w:val="none"/>
        </w:rPr>
      </w:pPr>
      <w:r>
        <w:rPr>
          <w:rFonts w:hint="eastAsia" w:ascii="宋体" w:hAnsi="宋体"/>
          <w:b/>
          <w:sz w:val="28"/>
          <w:highlight w:val="none"/>
        </w:rPr>
        <w:t>（示范文本）</w:t>
      </w:r>
    </w:p>
    <w:p w14:paraId="3141BA04">
      <w:pPr>
        <w:snapToGrid w:val="0"/>
        <w:spacing w:line="360" w:lineRule="auto"/>
        <w:ind w:firstLine="480"/>
        <w:rPr>
          <w:rFonts w:ascii="宋体" w:hAnsi="宋体"/>
          <w:b/>
          <w:sz w:val="24"/>
          <w:highlight w:val="none"/>
        </w:rPr>
      </w:pPr>
      <w:r>
        <w:rPr>
          <w:highlight w:val="none"/>
        </w:rPr>
        <w:br w:type="page"/>
      </w:r>
      <w:r>
        <w:rPr>
          <w:rFonts w:hint="eastAsia" w:ascii="宋体" w:hAnsi="宋体"/>
          <w:b/>
          <w:sz w:val="24"/>
          <w:highlight w:val="none"/>
        </w:rPr>
        <w:t>采购人（全称）：</w:t>
      </w:r>
    </w:p>
    <w:p w14:paraId="3165A111">
      <w:pPr>
        <w:snapToGrid w:val="0"/>
        <w:spacing w:line="360" w:lineRule="auto"/>
        <w:ind w:firstLine="482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供应商（全称）：</w:t>
      </w:r>
    </w:p>
    <w:p w14:paraId="26C1029B">
      <w:pPr>
        <w:snapToGrid w:val="0"/>
        <w:spacing w:line="360" w:lineRule="auto"/>
        <w:ind w:firstLine="480"/>
        <w:rPr>
          <w:rFonts w:ascii="宋体" w:hAnsi="宋体"/>
          <w:sz w:val="24"/>
          <w:highlight w:val="none"/>
          <w:u w:val="single"/>
        </w:rPr>
      </w:pPr>
      <w:r>
        <w:rPr>
          <w:rFonts w:hint="eastAsia" w:ascii="宋体" w:hAnsi="宋体"/>
          <w:sz w:val="24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34E2DD14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一、项目概况</w:t>
      </w:r>
    </w:p>
    <w:p w14:paraId="25EC8C0F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1. 项目名称：       ；</w:t>
      </w:r>
    </w:p>
    <w:p w14:paraId="7401509C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2. 项目地点：       ；</w:t>
      </w:r>
    </w:p>
    <w:p w14:paraId="0150BCDF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3. 项目内容：       。</w:t>
      </w:r>
    </w:p>
    <w:p w14:paraId="5B3B0520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二、组成本合同的文件</w:t>
      </w:r>
    </w:p>
    <w:p w14:paraId="5AC10CF1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1. 协议书；</w:t>
      </w:r>
    </w:p>
    <w:p w14:paraId="2CC13ABB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2. 成交通知书、磋商响应文件、磋商文件、澄清、磋商补充文件（或委托书）；</w:t>
      </w:r>
    </w:p>
    <w:p w14:paraId="3AB1BE02">
      <w:pPr>
        <w:snapToGrid w:val="0"/>
        <w:spacing w:line="360" w:lineRule="auto"/>
        <w:ind w:firstLine="48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3. 相关服务建议书；</w:t>
      </w:r>
    </w:p>
    <w:p w14:paraId="1800109D">
      <w:pPr>
        <w:snapToGrid w:val="0"/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    4. 附录，即：附表内相关服务的范围和内容；</w:t>
      </w:r>
    </w:p>
    <w:p w14:paraId="7CF55F2B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本合同签订后，双方依法签订的补充协议也是本合同文件的组成部分。</w:t>
      </w:r>
    </w:p>
    <w:p w14:paraId="60C29587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三、合同价款</w:t>
      </w:r>
    </w:p>
    <w:p w14:paraId="30E1204E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合同总价（大写）：               （¥        ）。</w:t>
      </w:r>
    </w:p>
    <w:p w14:paraId="6A51204D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合同总价即成交价，合同总价一次包死，不受市场价变化或实际工作量变化的影响，合同价格为含税价，供应商（成交人）提供</w:t>
      </w:r>
      <w:r>
        <w:rPr>
          <w:rFonts w:hint="eastAsia" w:ascii="宋体" w:hAnsi="宋体"/>
          <w:sz w:val="24"/>
          <w:highlight w:val="none"/>
          <w:lang w:val="en-US" w:eastAsia="zh-CN"/>
        </w:rPr>
        <w:t>服务</w:t>
      </w:r>
      <w:r>
        <w:rPr>
          <w:rFonts w:hint="eastAsia" w:ascii="宋体" w:hAnsi="宋体"/>
          <w:sz w:val="24"/>
          <w:highlight w:val="none"/>
        </w:rPr>
        <w:t>所发生的一切税（包括增值税）费等都已包含于合同价款中</w:t>
      </w:r>
      <w:r>
        <w:rPr>
          <w:rFonts w:hint="eastAsia" w:ascii="宋体" w:hAnsi="宋体"/>
          <w:sz w:val="24"/>
          <w:highlight w:val="none"/>
          <w:lang w:eastAsia="zh-CN"/>
        </w:rPr>
        <w:t>，服务开展期间所产生的交通费及其他各项费用，均统一纳入本</w:t>
      </w:r>
      <w:r>
        <w:rPr>
          <w:rFonts w:hint="eastAsia" w:ascii="宋体" w:hAnsi="宋体"/>
          <w:sz w:val="24"/>
          <w:highlight w:val="none"/>
          <w:lang w:val="en-US" w:eastAsia="zh-CN"/>
        </w:rPr>
        <w:t>合同价</w:t>
      </w:r>
      <w:r>
        <w:rPr>
          <w:rFonts w:hint="eastAsia" w:ascii="宋体" w:hAnsi="宋体"/>
          <w:sz w:val="24"/>
          <w:highlight w:val="none"/>
          <w:lang w:eastAsia="zh-CN"/>
        </w:rPr>
        <w:t>范畴，不再另行计取</w:t>
      </w:r>
      <w:r>
        <w:rPr>
          <w:rFonts w:hint="eastAsia" w:ascii="宋体" w:hAnsi="宋体"/>
          <w:sz w:val="24"/>
          <w:highlight w:val="none"/>
        </w:rPr>
        <w:t>。</w:t>
      </w:r>
    </w:p>
    <w:p w14:paraId="750478A3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四、结算方式：</w:t>
      </w:r>
    </w:p>
    <w:p w14:paraId="4A9E15A9">
      <w:pPr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（1）合同签订后，达到付款条件10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个工作</w:t>
      </w:r>
      <w:r>
        <w:rPr>
          <w:rFonts w:hint="eastAsia" w:ascii="宋体" w:hAnsi="宋体" w:cs="宋体"/>
          <w:sz w:val="24"/>
          <w:szCs w:val="24"/>
          <w:highlight w:val="none"/>
        </w:rPr>
        <w:t>日内，支付合同总金额的40%。</w:t>
      </w:r>
    </w:p>
    <w:p w14:paraId="1BACA6DC">
      <w:pPr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（2）服务项目交付完成后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除资金核查工作外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highlight w:val="none"/>
        </w:rPr>
        <w:t>，达到付款条件10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个工作</w:t>
      </w:r>
      <w:r>
        <w:rPr>
          <w:rFonts w:hint="eastAsia" w:ascii="宋体" w:hAnsi="宋体" w:cs="宋体"/>
          <w:sz w:val="24"/>
          <w:szCs w:val="24"/>
          <w:highlight w:val="none"/>
        </w:rPr>
        <w:t>日内，支付合同总金额的60%。</w:t>
      </w:r>
    </w:p>
    <w:p w14:paraId="1819FB82">
      <w:pPr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待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资金核查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工作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全部完成后退还履约保证金(函)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。</w:t>
      </w:r>
    </w:p>
    <w:p w14:paraId="1E258552">
      <w:pPr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highlight w:val="none"/>
        </w:rPr>
        <w:t>）由甲方负责结算，在付款前，乙方须开具等额发票。</w:t>
      </w:r>
    </w:p>
    <w:p w14:paraId="2D509A97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五、期限</w:t>
      </w:r>
      <w:bookmarkStart w:id="0" w:name="_GoBack"/>
      <w:bookmarkEnd w:id="0"/>
    </w:p>
    <w:p w14:paraId="77318163">
      <w:pPr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  <w:highlight w:val="none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服务</w:t>
      </w:r>
      <w:r>
        <w:rPr>
          <w:rFonts w:hint="eastAsia" w:ascii="宋体" w:hAnsi="宋体"/>
          <w:sz w:val="24"/>
          <w:highlight w:val="none"/>
        </w:rPr>
        <w:t>周期：自合同签订之日起至2027年底</w:t>
      </w:r>
      <w:r>
        <w:rPr>
          <w:rFonts w:hint="eastAsia" w:ascii="宋体" w:hAnsi="宋体" w:cs="宋体"/>
          <w:sz w:val="24"/>
          <w:szCs w:val="28"/>
          <w:highlight w:val="none"/>
        </w:rPr>
        <w:t>。</w:t>
      </w:r>
    </w:p>
    <w:p w14:paraId="5E92359A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六、双方承诺</w:t>
      </w:r>
    </w:p>
    <w:p w14:paraId="5647F7D1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1. 供应商向采购人承诺，按照本合同约定提供相关服务。</w:t>
      </w:r>
    </w:p>
    <w:p w14:paraId="0C5A0D9E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2. 采购人向供应商承诺，按照本合同约定支付服务款项。</w:t>
      </w:r>
    </w:p>
    <w:p w14:paraId="6EEAA529">
      <w:pPr>
        <w:tabs>
          <w:tab w:val="left" w:pos="840"/>
        </w:tabs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七、内容及要求：</w:t>
      </w:r>
    </w:p>
    <w:p w14:paraId="77C971A5">
      <w:pPr>
        <w:tabs>
          <w:tab w:val="left" w:pos="840"/>
        </w:tabs>
        <w:snapToGrid w:val="0"/>
        <w:spacing w:line="360" w:lineRule="auto"/>
        <w:ind w:firstLine="48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即交付的设备（产品）、服务内容、数量与磋商响应文件、竞争性磋商文件等所指明的，或者与本合同所指明的设备（产品）、服务内容相一致。（附清单）</w:t>
      </w:r>
    </w:p>
    <w:p w14:paraId="5217C6AD">
      <w:pPr>
        <w:tabs>
          <w:tab w:val="left" w:pos="840"/>
        </w:tabs>
        <w:snapToGrid w:val="0"/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八、项目实施地点：</w:t>
      </w:r>
      <w:r>
        <w:rPr>
          <w:rFonts w:hint="eastAsia" w:ascii="宋体" w:hAnsi="宋体"/>
          <w:sz w:val="24"/>
          <w:highlight w:val="none"/>
        </w:rPr>
        <w:t>采购人指定地点。</w:t>
      </w:r>
    </w:p>
    <w:p w14:paraId="5052CF6F">
      <w:pPr>
        <w:snapToGrid w:val="0"/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  <w:lang w:val="en-US" w:eastAsia="zh-CN"/>
        </w:rPr>
        <w:t>九</w:t>
      </w:r>
      <w:r>
        <w:rPr>
          <w:rFonts w:hint="eastAsia" w:ascii="宋体" w:hAnsi="宋体"/>
          <w:b/>
          <w:sz w:val="24"/>
          <w:highlight w:val="none"/>
        </w:rPr>
        <w:t>、验收:</w:t>
      </w:r>
      <w:r>
        <w:rPr>
          <w:rFonts w:hint="eastAsia" w:ascii="宋体" w:hAnsi="宋体"/>
          <w:sz w:val="24"/>
          <w:highlight w:val="none"/>
        </w:rPr>
        <w:t xml:space="preserve"> 详见竞争性磋商文件。</w:t>
      </w:r>
    </w:p>
    <w:p w14:paraId="184E70D7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十、质保服务：</w:t>
      </w:r>
      <w:r>
        <w:rPr>
          <w:rFonts w:hint="eastAsia" w:ascii="宋体" w:hAnsi="宋体"/>
          <w:b w:val="0"/>
          <w:bCs/>
          <w:sz w:val="24"/>
          <w:highlight w:val="none"/>
          <w:lang w:val="en-US" w:eastAsia="zh-CN"/>
        </w:rPr>
        <w:t>合同签订时双方另行约定</w:t>
      </w:r>
      <w:r>
        <w:rPr>
          <w:rFonts w:hint="eastAsia" w:ascii="宋体" w:hAnsi="宋体"/>
          <w:sz w:val="24"/>
          <w:highlight w:val="none"/>
        </w:rPr>
        <w:t>。</w:t>
      </w:r>
    </w:p>
    <w:p w14:paraId="781C957F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</w:t>
      </w:r>
      <w:r>
        <w:rPr>
          <w:rFonts w:hint="eastAsia" w:ascii="宋体" w:hAnsi="宋体"/>
          <w:b/>
          <w:sz w:val="24"/>
          <w:highlight w:val="none"/>
          <w:lang w:val="en-US" w:eastAsia="zh-CN"/>
        </w:rPr>
        <w:t>一</w:t>
      </w:r>
      <w:r>
        <w:rPr>
          <w:rFonts w:hint="eastAsia" w:ascii="宋体" w:hAnsi="宋体"/>
          <w:b/>
          <w:sz w:val="24"/>
          <w:highlight w:val="none"/>
        </w:rPr>
        <w:t>、保密</w:t>
      </w:r>
    </w:p>
    <w:p w14:paraId="47A4FD08">
      <w:pPr>
        <w:snapToGrid w:val="0"/>
        <w:spacing w:line="360" w:lineRule="auto"/>
        <w:ind w:firstLine="48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双方须对工作中了解到的使用单位技术、机密等进行严格保密，不得向他人泄漏。</w:t>
      </w:r>
    </w:p>
    <w:p w14:paraId="7F003BB9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</w:t>
      </w:r>
      <w:r>
        <w:rPr>
          <w:rFonts w:hint="eastAsia" w:ascii="宋体" w:hAnsi="宋体"/>
          <w:b/>
          <w:sz w:val="24"/>
          <w:highlight w:val="none"/>
          <w:lang w:val="en-US" w:eastAsia="zh-CN"/>
        </w:rPr>
        <w:t>二</w:t>
      </w:r>
      <w:r>
        <w:rPr>
          <w:rFonts w:hint="eastAsia" w:ascii="宋体" w:hAnsi="宋体"/>
          <w:b/>
          <w:sz w:val="24"/>
          <w:highlight w:val="none"/>
        </w:rPr>
        <w:t>、知识产权</w:t>
      </w:r>
    </w:p>
    <w:p w14:paraId="26093E8B">
      <w:pPr>
        <w:snapToGrid w:val="0"/>
        <w:spacing w:line="360" w:lineRule="auto"/>
        <w:ind w:firstLine="48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供应商应保证磋商产品及服务不会出现因第三方提出侵犯其专利权、商标权或其它知识产权而引发法律或经济纠纷，否则由供应商承担全部责任。</w:t>
      </w:r>
      <w:r>
        <w:rPr>
          <w:rFonts w:ascii="宋体" w:hAnsi="宋体"/>
          <w:sz w:val="24"/>
          <w:highlight w:val="none"/>
        </w:rPr>
        <w:t>任何被</w:t>
      </w:r>
      <w:r>
        <w:rPr>
          <w:rFonts w:hint="eastAsia" w:ascii="宋体" w:hAnsi="宋体"/>
          <w:sz w:val="24"/>
          <w:highlight w:val="none"/>
        </w:rPr>
        <w:t>供应商</w:t>
      </w:r>
      <w:r>
        <w:rPr>
          <w:rFonts w:ascii="宋体" w:hAnsi="宋体"/>
          <w:sz w:val="24"/>
          <w:highlight w:val="none"/>
        </w:rPr>
        <w:t>用于未经授权的商业目的行为所造成的违约或侵权责任由</w:t>
      </w:r>
      <w:r>
        <w:rPr>
          <w:rFonts w:hint="eastAsia" w:ascii="宋体" w:hAnsi="宋体"/>
          <w:sz w:val="24"/>
          <w:highlight w:val="none"/>
        </w:rPr>
        <w:t>供应商</w:t>
      </w:r>
      <w:r>
        <w:rPr>
          <w:rFonts w:ascii="宋体" w:hAnsi="宋体"/>
          <w:sz w:val="24"/>
          <w:highlight w:val="none"/>
        </w:rPr>
        <w:t>承但。</w:t>
      </w:r>
    </w:p>
    <w:p w14:paraId="532E6641">
      <w:pPr>
        <w:snapToGrid w:val="0"/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</w:t>
      </w:r>
      <w:r>
        <w:rPr>
          <w:rFonts w:hint="eastAsia" w:ascii="宋体" w:hAnsi="宋体"/>
          <w:b/>
          <w:sz w:val="24"/>
          <w:highlight w:val="none"/>
          <w:lang w:val="en-US" w:eastAsia="zh-CN"/>
        </w:rPr>
        <w:t>三</w:t>
      </w:r>
      <w:r>
        <w:rPr>
          <w:rFonts w:hint="eastAsia" w:ascii="宋体" w:hAnsi="宋体"/>
          <w:b/>
          <w:sz w:val="24"/>
          <w:highlight w:val="none"/>
        </w:rPr>
        <w:t>、合同争议的解决：</w:t>
      </w:r>
      <w:r>
        <w:rPr>
          <w:rFonts w:hint="eastAsia" w:ascii="宋体" w:hAnsi="宋体"/>
          <w:sz w:val="24"/>
          <w:highlight w:val="none"/>
        </w:rPr>
        <w:t>合同执行中发生争议的，当事人双方应协商解决，协商达不成一致时，可向当地行政仲裁机关申请仲裁或者向人民法院提请诉讼。</w:t>
      </w:r>
    </w:p>
    <w:p w14:paraId="17D6D2C7">
      <w:pPr>
        <w:snapToGrid w:val="0"/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</w:t>
      </w:r>
      <w:r>
        <w:rPr>
          <w:rFonts w:hint="eastAsia" w:ascii="宋体" w:hAnsi="宋体"/>
          <w:b/>
          <w:sz w:val="24"/>
          <w:highlight w:val="none"/>
          <w:lang w:val="en-US" w:eastAsia="zh-CN"/>
        </w:rPr>
        <w:t>四</w:t>
      </w:r>
      <w:r>
        <w:rPr>
          <w:rFonts w:hint="eastAsia" w:ascii="宋体" w:hAnsi="宋体"/>
          <w:b/>
          <w:sz w:val="24"/>
          <w:highlight w:val="none"/>
        </w:rPr>
        <w:t>、</w:t>
      </w:r>
      <w:r>
        <w:rPr>
          <w:rFonts w:hint="eastAsia" w:ascii="宋体" w:hAnsi="宋体"/>
          <w:sz w:val="24"/>
          <w:highlight w:val="none"/>
        </w:rPr>
        <w:t>在发生不可抗力情况下的应对措施和解决办法。</w:t>
      </w:r>
    </w:p>
    <w:p w14:paraId="104E751D">
      <w:pPr>
        <w:snapToGrid w:val="0"/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</w:t>
      </w:r>
      <w:r>
        <w:rPr>
          <w:rFonts w:hint="eastAsia" w:ascii="宋体" w:hAnsi="宋体"/>
          <w:b/>
          <w:sz w:val="24"/>
          <w:highlight w:val="none"/>
          <w:lang w:val="en-US" w:eastAsia="zh-CN"/>
        </w:rPr>
        <w:t>五</w:t>
      </w:r>
      <w:r>
        <w:rPr>
          <w:rFonts w:hint="eastAsia" w:ascii="宋体" w:hAnsi="宋体"/>
          <w:b/>
          <w:sz w:val="24"/>
          <w:highlight w:val="none"/>
        </w:rPr>
        <w:t>、</w:t>
      </w:r>
      <w:r>
        <w:rPr>
          <w:rFonts w:hint="eastAsia" w:ascii="宋体" w:hAnsi="宋体"/>
          <w:sz w:val="24"/>
          <w:highlight w:val="none"/>
        </w:rPr>
        <w:t>合同一经签订，不得擅自变更、中止或者终止合同。对确需变更、调整或者中止、终止合同的，应按规定履行相应的手续。</w:t>
      </w:r>
    </w:p>
    <w:p w14:paraId="61240FFA">
      <w:pPr>
        <w:snapToGrid w:val="0"/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  <w:lang w:val="en-US" w:eastAsia="zh-CN"/>
        </w:rPr>
        <w:t>十六</w:t>
      </w:r>
      <w:r>
        <w:rPr>
          <w:rFonts w:hint="eastAsia" w:ascii="宋体" w:hAnsi="宋体"/>
          <w:b/>
          <w:sz w:val="24"/>
          <w:highlight w:val="none"/>
        </w:rPr>
        <w:t>、违约责任：</w:t>
      </w:r>
      <w:r>
        <w:rPr>
          <w:rFonts w:hint="eastAsia" w:ascii="宋体" w:hAnsi="宋体"/>
          <w:sz w:val="24"/>
          <w:highlight w:val="none"/>
        </w:rPr>
        <w:t>详见竞争性磋商文件合同条款及格式前附表，并依据《中华人民共和国民法典》、《中华人民共和国政府采购法》的相关条款和本合同约定，成交供应商未全面履行合同义务或者发生违约，采购单位有权终止合同，依法向成交供应商进行经济索赔，并报请政府采购监督管理机关进行相应的行政处罚。采购单位违约的，应当赔偿给成交供应商造成的经济损失。</w:t>
      </w:r>
    </w:p>
    <w:p w14:paraId="53AF0E11">
      <w:pPr>
        <w:snapToGrid w:val="0"/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  <w:lang w:val="en-US" w:eastAsia="zh-CN"/>
        </w:rPr>
        <w:t>十七</w:t>
      </w:r>
      <w:r>
        <w:rPr>
          <w:rFonts w:hint="eastAsia" w:ascii="宋体" w:hAnsi="宋体"/>
          <w:b/>
          <w:sz w:val="24"/>
          <w:highlight w:val="none"/>
        </w:rPr>
        <w:t>、其他（</w:t>
      </w:r>
      <w:r>
        <w:rPr>
          <w:rFonts w:hint="eastAsia" w:ascii="宋体" w:hAnsi="宋体"/>
          <w:sz w:val="24"/>
          <w:highlight w:val="none"/>
        </w:rPr>
        <w:t>在合同中具体明确）</w:t>
      </w:r>
    </w:p>
    <w:p w14:paraId="5AFD3390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  <w:lang w:val="en-US" w:eastAsia="zh-CN"/>
        </w:rPr>
        <w:t>十八</w:t>
      </w:r>
      <w:r>
        <w:rPr>
          <w:rFonts w:hint="eastAsia" w:ascii="宋体" w:hAnsi="宋体"/>
          <w:b/>
          <w:sz w:val="24"/>
          <w:highlight w:val="none"/>
        </w:rPr>
        <w:t>、合同订立</w:t>
      </w:r>
    </w:p>
    <w:p w14:paraId="605ADEA6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1. 订立时间：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sz w:val="24"/>
          <w:highlight w:val="none"/>
        </w:rPr>
        <w:t>年</w:t>
      </w:r>
      <w:r>
        <w:rPr>
          <w:rFonts w:hint="eastAsia" w:ascii="宋体" w:hAnsi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/>
          <w:sz w:val="24"/>
          <w:highlight w:val="none"/>
        </w:rPr>
        <w:t>月</w:t>
      </w:r>
      <w:r>
        <w:rPr>
          <w:rFonts w:hint="eastAsia" w:ascii="宋体" w:hAnsi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/>
          <w:sz w:val="24"/>
          <w:highlight w:val="none"/>
        </w:rPr>
        <w:t>日。</w:t>
      </w:r>
    </w:p>
    <w:p w14:paraId="249C2EFD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2. 订立地点：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/>
          <w:sz w:val="24"/>
          <w:highlight w:val="none"/>
        </w:rPr>
        <w:t>。</w:t>
      </w:r>
    </w:p>
    <w:p w14:paraId="77A76751">
      <w:pPr>
        <w:tabs>
          <w:tab w:val="left" w:pos="980"/>
        </w:tabs>
        <w:kinsoku w:val="0"/>
        <w:snapToGrid w:val="0"/>
        <w:spacing w:line="360" w:lineRule="auto"/>
        <w:ind w:firstLine="48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3. 本合同一式</w:t>
      </w:r>
      <w:r>
        <w:rPr>
          <w:rFonts w:hint="eastAsia" w:ascii="宋体" w:hAnsi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sz w:val="24"/>
          <w:highlight w:val="none"/>
        </w:rPr>
        <w:t>份，具有同等法律效力，双方各执</w:t>
      </w:r>
      <w:r>
        <w:rPr>
          <w:rFonts w:hint="eastAsia" w:ascii="宋体" w:hAnsi="宋体"/>
          <w:sz w:val="24"/>
          <w:highlight w:val="none"/>
          <w:u w:val="single"/>
        </w:rPr>
        <w:t xml:space="preserve">   </w:t>
      </w:r>
      <w:r>
        <w:rPr>
          <w:rFonts w:hint="eastAsia" w:ascii="宋体" w:hAnsi="宋体"/>
          <w:sz w:val="24"/>
          <w:highlight w:val="none"/>
        </w:rPr>
        <w:t>份，监管部门备案</w:t>
      </w:r>
      <w:r>
        <w:rPr>
          <w:rFonts w:hint="eastAsia" w:ascii="宋体" w:hAnsi="宋体"/>
          <w:sz w:val="24"/>
          <w:highlight w:val="none"/>
          <w:u w:val="single"/>
        </w:rPr>
        <w:t>壹</w:t>
      </w:r>
      <w:r>
        <w:rPr>
          <w:rFonts w:hint="eastAsia" w:ascii="宋体" w:hAnsi="宋体"/>
          <w:sz w:val="24"/>
          <w:highlight w:val="none"/>
        </w:rPr>
        <w:t>份、采购代理机构存档</w:t>
      </w:r>
      <w:r>
        <w:rPr>
          <w:rFonts w:hint="eastAsia" w:ascii="宋体" w:hAnsi="宋体"/>
          <w:sz w:val="24"/>
          <w:highlight w:val="none"/>
          <w:u w:val="single"/>
        </w:rPr>
        <w:t>壹</w:t>
      </w:r>
      <w:r>
        <w:rPr>
          <w:rFonts w:hint="eastAsia" w:ascii="宋体" w:hAnsi="宋体"/>
          <w:sz w:val="24"/>
          <w:highlight w:val="none"/>
        </w:rPr>
        <w:t>份。各方签字盖章后生效，合同执行完毕自动失效。（合同的服务承诺则长期有效）。</w:t>
      </w:r>
    </w:p>
    <w:p w14:paraId="2DE8CA10">
      <w:pPr>
        <w:pStyle w:val="7"/>
        <w:rPr>
          <w:highlight w:val="none"/>
        </w:rPr>
      </w:pPr>
    </w:p>
    <w:p w14:paraId="5D88A533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采购人：</w:t>
      </w:r>
      <w:r>
        <w:rPr>
          <w:rFonts w:hint="eastAsia" w:ascii="宋体" w:hAnsi="宋体"/>
          <w:sz w:val="24"/>
          <w:highlight w:val="none"/>
          <w:u w:val="single"/>
        </w:rPr>
        <w:t xml:space="preserve">   （盖章）         </w:t>
      </w:r>
      <w:r>
        <w:rPr>
          <w:rFonts w:hint="eastAsia" w:ascii="宋体" w:hAnsi="宋体"/>
          <w:sz w:val="24"/>
          <w:highlight w:val="none"/>
        </w:rPr>
        <w:t xml:space="preserve">      供应商：</w:t>
      </w:r>
      <w:r>
        <w:rPr>
          <w:rFonts w:hint="eastAsia" w:ascii="宋体" w:hAnsi="宋体"/>
          <w:sz w:val="24"/>
          <w:highlight w:val="none"/>
          <w:u w:val="single"/>
        </w:rPr>
        <w:t xml:space="preserve">   （盖章）         </w:t>
      </w:r>
    </w:p>
    <w:p w14:paraId="6CF9364E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地  址：                          地  址： </w:t>
      </w:r>
    </w:p>
    <w:p w14:paraId="32A87424">
      <w:pPr>
        <w:snapToGrid w:val="0"/>
        <w:spacing w:line="360" w:lineRule="auto"/>
        <w:ind w:firstLine="48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邮政编码：                        邮政编码：</w:t>
      </w:r>
    </w:p>
    <w:p w14:paraId="5E93AB2F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法定代表人或其授权                法定代表人或其授权</w:t>
      </w:r>
    </w:p>
    <w:p w14:paraId="2A7D8567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的代理人：</w:t>
      </w:r>
      <w:r>
        <w:rPr>
          <w:rFonts w:hint="eastAsia" w:ascii="宋体" w:hAnsi="宋体"/>
          <w:sz w:val="24"/>
          <w:highlight w:val="none"/>
          <w:u w:val="single"/>
        </w:rPr>
        <w:t xml:space="preserve">（签字）          </w:t>
      </w:r>
      <w:r>
        <w:rPr>
          <w:rFonts w:hint="eastAsia" w:ascii="宋体" w:hAnsi="宋体"/>
          <w:sz w:val="24"/>
          <w:highlight w:val="none"/>
        </w:rPr>
        <w:t xml:space="preserve">      的代理人：</w:t>
      </w:r>
      <w:r>
        <w:rPr>
          <w:rFonts w:hint="eastAsia" w:ascii="宋体" w:hAnsi="宋体"/>
          <w:sz w:val="24"/>
          <w:highlight w:val="none"/>
          <w:u w:val="single"/>
        </w:rPr>
        <w:t xml:space="preserve">（签字）          </w:t>
      </w:r>
    </w:p>
    <w:p w14:paraId="4FC0FA55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开户银行：                        开户银行：</w:t>
      </w:r>
    </w:p>
    <w:p w14:paraId="20BFD9BD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账  号：                          账  号：</w:t>
      </w:r>
    </w:p>
    <w:p w14:paraId="26BBD55D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电  话：                          电  话：</w:t>
      </w:r>
    </w:p>
    <w:p w14:paraId="3B657638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传  真：                          传  真：</w:t>
      </w:r>
    </w:p>
    <w:p w14:paraId="11A0F2AD">
      <w:pPr>
        <w:pStyle w:val="3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电子邮箱：                        电子邮箱：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1E40F4"/>
    <w:rsid w:val="054C043F"/>
    <w:rsid w:val="0A6514A1"/>
    <w:rsid w:val="0F527A1A"/>
    <w:rsid w:val="121E40F4"/>
    <w:rsid w:val="1E4A50D5"/>
    <w:rsid w:val="7BB6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First Indent"/>
    <w:basedOn w:val="3"/>
    <w:unhideWhenUsed/>
    <w:qFormat/>
    <w:uiPriority w:val="0"/>
    <w:pPr>
      <w:ind w:firstLine="420" w:firstLineChars="100"/>
    </w:pPr>
    <w:rPr>
      <w:rFonts w:ascii="Times New Roman" w:hAnsi="Times New Roman"/>
      <w:szCs w:val="20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kern w:val="0"/>
      <w:sz w:val="2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 2"/>
    <w:basedOn w:val="5"/>
    <w:next w:val="1"/>
    <w:qFormat/>
    <w:uiPriority w:val="0"/>
    <w:pPr>
      <w:ind w:firstLine="420" w:firstLineChars="200"/>
      <w:jc w:val="left"/>
    </w:pPr>
    <w:rPr>
      <w:szCs w:val="20"/>
    </w:rPr>
  </w:style>
  <w:style w:type="paragraph" w:customStyle="1" w:styleId="10">
    <w:name w:val="样式 首行缩进:  2 字符"/>
    <w:basedOn w:val="1"/>
    <w:autoRedefine/>
    <w:qFormat/>
    <w:uiPriority w:val="0"/>
    <w:pPr>
      <w:ind w:firstLine="560"/>
    </w:pPr>
    <w:rPr>
      <w:rFonts w:eastAsia="仿宋_GB2312" w:cs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1386</Words>
  <Characters>1407</Characters>
  <Lines>0</Lines>
  <Paragraphs>0</Paragraphs>
  <TotalTime>0</TotalTime>
  <ScaleCrop>false</ScaleCrop>
  <LinksUpToDate>false</LinksUpToDate>
  <CharactersWithSpaces>1767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2025-04-08T13:11:00Z</dcterms:created>
  <dc:creator>L</dc:creator>
  <cp:lastModifiedBy>LENOVO</cp:lastModifiedBy>
  <dcterms:modified xsi:type="dcterms:W3CDTF">2026-05-29T07:12:46Z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3E67F197DAED4185984402041620BB42_11</vt:lpwstr>
  </property>
  <property fmtid="{D5CDD505-2E9C-101B-9397-08002B2CF9AE}" pid="4" name="KSOTemplateDocerSaveRecord">
    <vt:lpwstr>eyJoZGlkIjoiYzcxODhkMzdkNGRhYjhjY2M0ODc5MThjZTVkZGM3MTQifQ==</vt:lpwstr>
  </property>
</Properties>
</file>