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版本号：THYZ-20260013GC20260623001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西操场改造项目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THYZ-20260013GC</w:t>
      </w:r>
      <w:r>
        <w:br/>
      </w:r>
      <w:r>
        <w:br/>
      </w:r>
      <w:r>
        <w:br/>
      </w:r>
    </w:p>
    <w:p>
      <w:pPr>
        <w:pStyle w:val="null3"/>
        <w:jc w:val="center"/>
        <w:outlineLvl w:val="2"/>
      </w:pPr>
      <w:r>
        <w:rPr>
          <w:rFonts w:ascii="仿宋_GB2312" w:hAnsi="仿宋_GB2312" w:cs="仿宋_GB2312" w:eastAsia="仿宋_GB2312"/>
          <w:sz w:val="28"/>
          <w:b/>
        </w:rPr>
        <w:t>西安市莲湖区大庆路小学</w:t>
      </w:r>
    </w:p>
    <w:p>
      <w:pPr>
        <w:pStyle w:val="null3"/>
        <w:jc w:val="center"/>
        <w:outlineLvl w:val="2"/>
      </w:pPr>
      <w:r>
        <w:rPr>
          <w:rFonts w:ascii="仿宋_GB2312" w:hAnsi="仿宋_GB2312" w:cs="仿宋_GB2312" w:eastAsia="仿宋_GB2312"/>
          <w:sz w:val="28"/>
          <w:b/>
        </w:rPr>
        <w:t>陕西天浩源项目管理有限公司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陕西天浩源项目管理有限公司</w:t>
      </w:r>
      <w:r>
        <w:rPr>
          <w:rFonts w:ascii="仿宋_GB2312" w:hAnsi="仿宋_GB2312" w:cs="仿宋_GB2312" w:eastAsia="仿宋_GB2312"/>
        </w:rPr>
        <w:t>（以下简称“代理机构”）受</w:t>
      </w:r>
      <w:r>
        <w:rPr>
          <w:rFonts w:ascii="仿宋_GB2312" w:hAnsi="仿宋_GB2312" w:cs="仿宋_GB2312" w:eastAsia="仿宋_GB2312"/>
        </w:rPr>
        <w:t>西安市莲湖区大庆路小学</w:t>
      </w:r>
      <w:r>
        <w:rPr>
          <w:rFonts w:ascii="仿宋_GB2312" w:hAnsi="仿宋_GB2312" w:cs="仿宋_GB2312" w:eastAsia="仿宋_GB2312"/>
        </w:rPr>
        <w:t>委托，拟对</w:t>
      </w:r>
      <w:r>
        <w:rPr>
          <w:rFonts w:ascii="仿宋_GB2312" w:hAnsi="仿宋_GB2312" w:cs="仿宋_GB2312" w:eastAsia="仿宋_GB2312"/>
        </w:rPr>
        <w:t>西操场改造项目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THYZ-20260013GC</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西操场改造项目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主要施工内容为200米标准环形6道塑胶跑道、100米直形6道塑胶跑道、1个足球场、1个乒乓球场改造。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采购包1（西操场改造项目）：属于专门面向中小企业采购。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1、营业执照：具有独立承担民事责任的法人、其他组织或自然人，并出具合法有效的营业执照或事业单位法人证书等国家规定的相关证明，自然人参与的提供其身份证明； </w:t>
      </w:r>
    </w:p>
    <w:p>
      <w:pPr>
        <w:pStyle w:val="null3"/>
      </w:pPr>
      <w:r>
        <w:rPr>
          <w:rFonts w:ascii="仿宋_GB2312" w:hAnsi="仿宋_GB2312" w:cs="仿宋_GB2312" w:eastAsia="仿宋_GB2312"/>
        </w:rPr>
        <w:t>2、财务状况报告：提供2025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pPr>
        <w:pStyle w:val="null3"/>
      </w:pPr>
      <w:r>
        <w:rPr>
          <w:rFonts w:ascii="仿宋_GB2312" w:hAnsi="仿宋_GB2312" w:cs="仿宋_GB2312" w:eastAsia="仿宋_GB2312"/>
        </w:rPr>
        <w:t>3、完税证明：提供投标截止日近半年内任意一月的纳税凭据或完税证明，依法免税的应提供相关证明材料；</w:t>
      </w:r>
    </w:p>
    <w:p>
      <w:pPr>
        <w:pStyle w:val="null3"/>
      </w:pPr>
      <w:r>
        <w:rPr>
          <w:rFonts w:ascii="仿宋_GB2312" w:hAnsi="仿宋_GB2312" w:cs="仿宋_GB2312" w:eastAsia="仿宋_GB2312"/>
        </w:rPr>
        <w:t>4、社保证明：提供投标截止日近半年内任意一月的社会保障资金缴存单据或社保机构开具的社会保险参保缴费情况证明，依法不需要缴纳社会保障资金的应提供相关证明材料；</w:t>
      </w:r>
    </w:p>
    <w:p>
      <w:pPr>
        <w:pStyle w:val="null3"/>
      </w:pPr>
      <w:r>
        <w:rPr>
          <w:rFonts w:ascii="仿宋_GB2312" w:hAnsi="仿宋_GB2312" w:cs="仿宋_GB2312" w:eastAsia="仿宋_GB2312"/>
        </w:rPr>
        <w:t>5、设备和专业技术能力的承诺：提供具有履行合同所必需的设备和专业技术能力的承诺；</w:t>
      </w:r>
    </w:p>
    <w:p>
      <w:pPr>
        <w:pStyle w:val="null3"/>
      </w:pPr>
      <w:r>
        <w:rPr>
          <w:rFonts w:ascii="仿宋_GB2312" w:hAnsi="仿宋_GB2312" w:cs="仿宋_GB2312" w:eastAsia="仿宋_GB2312"/>
        </w:rPr>
        <w:t>6、没有重大违法记录的书面声明：参加政府采购活动前三年内，在经营活动中没有重大违法记录的书面声明；</w:t>
      </w:r>
    </w:p>
    <w:p>
      <w:pPr>
        <w:pStyle w:val="null3"/>
      </w:pPr>
      <w:r>
        <w:rPr>
          <w:rFonts w:ascii="仿宋_GB2312" w:hAnsi="仿宋_GB2312" w:cs="仿宋_GB2312" w:eastAsia="仿宋_GB2312"/>
        </w:rPr>
        <w:t>7、投标授权代表：法定代表人授权书（附法定代表人、被授权人身份证复印件及被授权人开标前三个月内任意一个月在本单位的社保缴纳证明）），法定代表人直接参加磋商，须提供法定代表人身份证明；</w:t>
      </w:r>
    </w:p>
    <w:p>
      <w:pPr>
        <w:pStyle w:val="null3"/>
      </w:pPr>
      <w:r>
        <w:rPr>
          <w:rFonts w:ascii="仿宋_GB2312" w:hAnsi="仿宋_GB2312" w:cs="仿宋_GB2312" w:eastAsia="仿宋_GB2312"/>
        </w:rPr>
        <w:t>8、供应商资质要求：供应商具备建筑工程施工总承包三级及以上资质，同时具有合格有效的安全生产许可证。</w:t>
      </w:r>
    </w:p>
    <w:p>
      <w:pPr>
        <w:pStyle w:val="null3"/>
      </w:pPr>
      <w:r>
        <w:rPr>
          <w:rFonts w:ascii="仿宋_GB2312" w:hAnsi="仿宋_GB2312" w:cs="仿宋_GB2312" w:eastAsia="仿宋_GB2312"/>
        </w:rPr>
        <w:t>9、项目经理资质：拟派项目经理具备建筑工程专业二级及以上注册建造师执业资格且在本单位注册，具有有效的安全生产考核合格证，且未担任其他在建工程项目的项目经理（提供无在建承诺书）</w:t>
      </w:r>
    </w:p>
    <w:p>
      <w:pPr>
        <w:pStyle w:val="null3"/>
      </w:pPr>
      <w:r>
        <w:rPr>
          <w:rFonts w:ascii="仿宋_GB2312" w:hAnsi="仿宋_GB2312" w:cs="仿宋_GB2312" w:eastAsia="仿宋_GB2312"/>
        </w:rPr>
        <w:t>10、信用记录：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查询结果以纸质方式留存。）</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西安市莲湖区大庆路小学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西安市莲湖区大庆路198号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029-88626607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陕西天浩源项目管理有限公司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西安市高新区沣惠南路34号摩尔中心A座24层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吴梦、李静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17782671480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西安市莲湖区政府采购管理股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高莎莎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029-87614013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采购包1：1,070,000.00元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代理服务费收费标准：参照国家计委颁发的《招标代理服务收费管理暂行办法》（计价格 [2002]1980号）和《关于招标代理服务收费有关问题的通知》（发改办价格[2003] 857号）的有关规定标准向采购代理机构一次付清代理服务费。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西安市莲湖区大庆路小学</w:t>
      </w:r>
      <w:r>
        <w:rPr>
          <w:rFonts w:ascii="仿宋_GB2312" w:hAnsi="仿宋_GB2312" w:cs="仿宋_GB2312" w:eastAsia="仿宋_GB2312"/>
        </w:rPr>
        <w:t>和</w:t>
      </w:r>
      <w:r>
        <w:rPr>
          <w:rFonts w:ascii="仿宋_GB2312" w:hAnsi="仿宋_GB2312" w:cs="仿宋_GB2312" w:eastAsia="仿宋_GB2312"/>
        </w:rPr>
        <w:t>陕西天浩源项目管理有限公司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西安市莲湖区大庆路小学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陕西天浩源项目管理有限公司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西安市莲湖区大庆路小学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陕西天浩源项目管理有限公司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按照国家相关标准和竞争性磋商文件要求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陕西天浩源项目管理有限公司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陕西天浩源项目管理有限公司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陕西天浩源项目管理有限公司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联系人：吴梦</w:t>
      </w:r>
    </w:p>
    <w:p>
      <w:pPr>
        <w:pStyle w:val="null3"/>
      </w:pPr>
      <w:r>
        <w:rPr>
          <w:rFonts w:ascii="仿宋_GB2312" w:hAnsi="仿宋_GB2312" w:cs="仿宋_GB2312" w:eastAsia="仿宋_GB2312"/>
        </w:rPr>
        <w:t>联系电话：17782671480</w:t>
      </w:r>
    </w:p>
    <w:p>
      <w:pPr>
        <w:pStyle w:val="null3"/>
      </w:pPr>
      <w:r>
        <w:rPr>
          <w:rFonts w:ascii="仿宋_GB2312" w:hAnsi="仿宋_GB2312" w:cs="仿宋_GB2312" w:eastAsia="仿宋_GB2312"/>
        </w:rPr>
        <w:t>地址：陕西省西安市高新区沣惠南路34号摩尔中心A座24层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1,070,000.00</w:t>
      </w:r>
    </w:p>
    <w:p>
      <w:pPr>
        <w:pStyle w:val="null3"/>
      </w:pPr>
      <w:r>
        <w:rPr>
          <w:rFonts w:ascii="仿宋_GB2312" w:hAnsi="仿宋_GB2312" w:cs="仿宋_GB2312" w:eastAsia="仿宋_GB2312"/>
        </w:rPr>
        <w:t>采购包最高限价（元）: 981,240.43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西边操场场地改造。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1,070,000.00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标的名称：西边操场场地改造。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w:t>
            </w:r>
            <w:r>
              <w:rPr>
                <w:rFonts w:ascii="仿宋_GB2312" w:hAnsi="仿宋_GB2312" w:cs="仿宋_GB2312" w:eastAsia="仿宋_GB2312"/>
              </w:rPr>
              <w:t>1：</w:t>
            </w:r>
          </w:p>
          <w:p>
            <w:pPr>
              <w:pStyle w:val="null3"/>
            </w:pPr>
            <w:r>
              <w:rPr>
                <w:rFonts w:ascii="仿宋_GB2312" w:hAnsi="仿宋_GB2312" w:cs="仿宋_GB2312" w:eastAsia="仿宋_GB2312"/>
              </w:rPr>
              <w:t>标的名称：</w:t>
            </w:r>
            <w:r>
              <w:rPr>
                <w:rFonts w:ascii="仿宋_GB2312" w:hAnsi="仿宋_GB2312" w:cs="仿宋_GB2312" w:eastAsia="仿宋_GB2312"/>
              </w:rPr>
              <w:t>西操场改造</w:t>
            </w:r>
          </w:p>
          <w:tbl>
            <w:tblPr>
              <w:tblBorders>
                <w:top w:val="none" w:color="000000" w:sz="4"/>
                <w:left w:val="none" w:color="000000" w:sz="4"/>
                <w:bottom w:val="none" w:color="000000" w:sz="4"/>
                <w:right w:val="none" w:color="000000" w:sz="4"/>
                <w:insideH w:val="none"/>
                <w:insideV w:val="none"/>
              </w:tblBorders>
            </w:tblPr>
            <w:tblGrid>
              <w:gridCol w:w="851"/>
              <w:gridCol w:w="851"/>
              <w:gridCol w:w="851"/>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序号</w:t>
                  </w:r>
                </w:p>
              </w:tc>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参数性质</w:t>
                  </w:r>
                </w:p>
              </w:tc>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技术参数与性能指标</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详见工程量清单及图纸</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w:t>
            </w:r>
            <w:r>
              <w:rPr>
                <w:rFonts w:ascii="仿宋_GB2312" w:hAnsi="仿宋_GB2312" w:cs="仿宋_GB2312" w:eastAsia="仿宋_GB2312"/>
              </w:rPr>
              <w:t>1：</w:t>
            </w:r>
          </w:p>
          <w:p>
            <w:pPr>
              <w:pStyle w:val="null3"/>
            </w:pPr>
            <w:r>
              <w:rPr>
                <w:rFonts w:ascii="仿宋_GB2312" w:hAnsi="仿宋_GB2312" w:cs="仿宋_GB2312" w:eastAsia="仿宋_GB2312"/>
              </w:rPr>
              <w:t>质量标准：工程质量达到</w:t>
            </w:r>
            <w:r>
              <w:rPr>
                <w:rFonts w:ascii="仿宋_GB2312" w:hAnsi="仿宋_GB2312" w:cs="仿宋_GB2312" w:eastAsia="仿宋_GB2312"/>
              </w:rPr>
              <w:t>“合格”标准。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符合国家标准</w:t>
            </w:r>
          </w:p>
          <w:p>
            <w:pPr>
              <w:pStyle w:val="null3"/>
              <w:ind w:firstLine="480"/>
            </w:pPr>
            <w:r>
              <w:rPr>
                <w:rFonts w:ascii="仿宋_GB2312" w:hAnsi="仿宋_GB2312" w:cs="仿宋_GB2312" w:eastAsia="仿宋_GB2312"/>
              </w:rPr>
              <w:t>四、工程量清单（详见附件）</w:t>
            </w:r>
          </w:p>
          <w:p>
            <w:pPr>
              <w:pStyle w:val="null3"/>
            </w:pPr>
            <w:r>
              <w:rPr>
                <w:rFonts w:ascii="仿宋_GB2312" w:hAnsi="仿宋_GB2312" w:cs="仿宋_GB2312" w:eastAsia="仿宋_GB2312"/>
              </w:rPr>
              <w:t xml:space="preserve"> </w:t>
            </w:r>
            <w:r>
              <w:rPr>
                <w:rFonts w:ascii="仿宋_GB2312" w:hAnsi="仿宋_GB2312" w:cs="仿宋_GB2312" w:eastAsia="仿宋_GB2312"/>
              </w:rPr>
              <w:t>（说明：工程量清单应当结合《政府采购需求管理办法》（财库〔</w:t>
            </w:r>
            <w:r>
              <w:rPr>
                <w:rFonts w:ascii="仿宋_GB2312" w:hAnsi="仿宋_GB2312" w:cs="仿宋_GB2312" w:eastAsia="仿宋_GB2312"/>
              </w:rPr>
              <w:t>2021〕22号）第六条第二款规定，明确相关性能、材料、结构、外观、安全、标准等。）</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质量标准：工程质量达到“合格”标准。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符合国家标准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质保期：2年；2、缺陷责任期；2年；3、计划工期：自进场之日起30个日历日内竣工；4、项目地点：西安市莲湖区大庆路198号；5、二次报价为最终报价，在满足磋商文件所有实质性要求前提下，提交最终报价。本工程项目采用固定综合单价据实结算方式。除国家规定不可调整外（不可竞争的规费、税金、安全文明施工费等费用）及采购人要求不得调整外（预留金、暂估价），工程其余内容（综合单价及相关费用）参考降价比例（最终报价/首次报价）同比例进行调整。调整后价格在合同执行过程中是固定不变的（本合同另有约定的执行该约定条款），不得以任何理由予以变更。以可变动价格提交的报价将被认为是非实质响应而被拒绝。成交供应商不得擅自改变工程范围内容、质量标准和工期。如采购需求没有实质性变化，各供应商的二次报价不得超过一次报价，否则，按无效文件处理。6、付款方式：（1）合同签订后15个工作日内支付合同总价款40%作为预付款；（2）工程竣工、验收合格并经结算审核完成后，15个工作日内支付至结算审定价款的100%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供应商应提交的相关资格证明文件.docx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供应商应提交的相关资格证明文件.docx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参与磋商的供应商应为中小企业或监狱企业或残疾人福利性单位。</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 xml:space="preserve">具有独立承担民事责任的法人、其他组织或自然人，并出具合法有效的营业执照或事业单位法人证书等国家规定的相关证明，自然人参与的提供其身份证明； </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完税证明</w:t>
            </w:r>
          </w:p>
        </w:tc>
        <w:tc>
          <w:tcPr>
            <w:tcW w:type="dxa" w:w="3322"/>
          </w:tcPr>
          <w:p>
            <w:pPr>
              <w:pStyle w:val="null3"/>
            </w:pPr>
            <w:r>
              <w:rPr>
                <w:rFonts w:ascii="仿宋_GB2312" w:hAnsi="仿宋_GB2312" w:cs="仿宋_GB2312" w:eastAsia="仿宋_GB2312"/>
              </w:rPr>
              <w:t>提供投标截止日近半年内任意一月的纳税凭据或完税证明，依法免税的应提供相关证明材料；</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社保证明</w:t>
            </w:r>
          </w:p>
        </w:tc>
        <w:tc>
          <w:tcPr>
            <w:tcW w:type="dxa" w:w="3322"/>
          </w:tcPr>
          <w:p>
            <w:pPr>
              <w:pStyle w:val="null3"/>
            </w:pPr>
            <w:r>
              <w:rPr>
                <w:rFonts w:ascii="仿宋_GB2312" w:hAnsi="仿宋_GB2312" w:cs="仿宋_GB2312" w:eastAsia="仿宋_GB2312"/>
              </w:rPr>
              <w:t>提供投标截止日近半年内任意一月的社会保障资金缴存单据或社保机构开具的社会保险参保缴费情况证明，依法不需要缴纳社会保障资金的应提供相关证明材料；</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设备和专业技术能力的承诺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法定代表人授权书（附法定代表人、被授权人身份证复印件及被授权人开标前三个月内任意一个月在本单位的社保缴纳证明）），法定代表人直接参加磋商，须提供法定代表人身份证明；</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供应商具备建筑工程施工总承包三级及以上资质，同时具有合格有效的安全生产许可证。</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拟派项目经理具备建筑工程专业二级及以上注册建造师执业资格且在本单位注册，具有有效的安全生产考核合格证，且未担任其他在建工程项目的项目经理（提供无在建承诺书）</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供应商应提交的相关资格证明文件.docx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磋商一览表.docx 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是否专门面向中小企业</w:t>
            </w:r>
          </w:p>
        </w:tc>
        <w:tc>
          <w:tcPr>
            <w:tcW w:type="dxa" w:w="3322"/>
          </w:tcPr>
          <w:p>
            <w:pPr>
              <w:pStyle w:val="null3"/>
            </w:pPr>
            <w:r>
              <w:rPr>
                <w:rFonts w:ascii="仿宋_GB2312" w:hAnsi="仿宋_GB2312" w:cs="仿宋_GB2312" w:eastAsia="仿宋_GB2312"/>
              </w:rPr>
              <w:t>本项目专门面向中小企业。</w:t>
            </w:r>
          </w:p>
        </w:tc>
        <w:tc>
          <w:tcPr>
            <w:tcW w:type="dxa" w:w="1661"/>
          </w:tcPr>
          <w:p>
            <w:pPr>
              <w:pStyle w:val="null3"/>
            </w:pPr>
            <w:r>
              <w:rPr>
                <w:rFonts w:ascii="仿宋_GB2312" w:hAnsi="仿宋_GB2312" w:cs="仿宋_GB2312" w:eastAsia="仿宋_GB2312"/>
              </w:rPr>
              <w:t>响应文件封面 残疾人福利性单位声明函 中小企业声明函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响应报价唯一，未超出磋商文件规定的最高限价</w:t>
            </w:r>
          </w:p>
        </w:tc>
        <w:tc>
          <w:tcPr>
            <w:tcW w:type="dxa" w:w="1661"/>
          </w:tcPr>
          <w:p>
            <w:pPr>
              <w:pStyle w:val="null3"/>
            </w:pPr>
            <w:r>
              <w:rPr>
                <w:rFonts w:ascii="仿宋_GB2312" w:hAnsi="仿宋_GB2312" w:cs="仿宋_GB2312" w:eastAsia="仿宋_GB2312"/>
              </w:rPr>
              <w:t>磋商一览表.docx 报价函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磋商一览表.docx 报价函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磋商一览表.docx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磋商响应文件内容齐全、无遗漏（除评审因素外）</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供应商认为需提交的其他资料.docx 强制优先采购产品承诺函 响应文件封面 磋商一览表.docx 项目管理机构组成表 残疾人福利性单位声明函 施工方案.docx 报价函 标的清单 供应商类似项目业绩一览表 供应商应提交的相关资格证明文件.docx 响应函 主要人员简历表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响应文件的签署、加盖印章是否合格、有效</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供应商认为需提交的其他资料.docx 强制优先采购产品承诺函 响应文件封面 磋商一览表.docx 项目管理机构组成表 残疾人福利性单位声明函 施工方案.docx 报价函 标的清单 供应商类似项目业绩一览表 供应商应提交的相关资格证明文件.docx 响应函 主要人员简历表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磋商响应中没有出现磋商文件规定的其它无效文件情形。</w:t>
            </w:r>
          </w:p>
        </w:tc>
        <w:tc>
          <w:tcPr>
            <w:tcW w:type="dxa" w:w="1661"/>
          </w:tcPr>
          <w:p>
            <w:pPr>
              <w:pStyle w:val="null3"/>
            </w:pPr>
            <w:r>
              <w:rPr>
                <w:rFonts w:ascii="仿宋_GB2312" w:hAnsi="仿宋_GB2312" w:cs="仿宋_GB2312" w:eastAsia="仿宋_GB2312"/>
              </w:rPr>
              <w:t>响应文件封面 供应商认为需提交的其他资料.docx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针对本项目编制完善的施工方案，包含以下内容：①施工目标：成本目标、工期目标、质量目标；②施工准备：技术准备、材料准备、机械设备、机具准备；③施工平面布置与安排：现场围挡及出入口管理、消防及道路安排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9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供应商认为需提交的其他资料.docx</w:t>
            </w:r>
          </w:p>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技术组织措施</w:t>
            </w:r>
          </w:p>
        </w:tc>
        <w:tc>
          <w:tcPr>
            <w:tcW w:type="dxa" w:w="2492"/>
          </w:tcPr>
          <w:p>
            <w:pPr>
              <w:pStyle w:val="null3"/>
            </w:pPr>
            <w:r>
              <w:rPr>
                <w:rFonts w:ascii="仿宋_GB2312" w:hAnsi="仿宋_GB2312" w:cs="仿宋_GB2312" w:eastAsia="仿宋_GB2312"/>
              </w:rPr>
              <w:t>一、评审内容 针对本项目编制完善的技术组织措施，包括以下内容：①确保工程质量的技术组织措施；②确保安全生产的技术组织措施；③确保文明施工的技术组织措施及环境保护措施；④确保工期的技术组织措施；⑤劳动力计划安排措施；⑥施工机械配备和材料投入计划。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2分，每项评审内容每有一处缺陷扣1分，未提供得0分，满分36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供应商认为需提交的其他资料.docx</w:t>
            </w:r>
          </w:p>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新材料、新技术及新工艺应用</w:t>
            </w:r>
          </w:p>
        </w:tc>
        <w:tc>
          <w:tcPr>
            <w:tcW w:type="dxa" w:w="2492"/>
          </w:tcPr>
          <w:p>
            <w:pPr>
              <w:pStyle w:val="null3"/>
            </w:pPr>
            <w:r>
              <w:rPr>
                <w:rFonts w:ascii="仿宋_GB2312" w:hAnsi="仿宋_GB2312" w:cs="仿宋_GB2312" w:eastAsia="仿宋_GB2312"/>
              </w:rPr>
              <w:t>针对本项目提供新材料、新技术及新工艺的应用情况， 内容切合本项目实际情况，技术的应用科学具体，得1分；内容不详细具体、与项目特点不匹配、凭空编造、不可能实现的夸大情形、存在不适用项目实际情况的情形等其中的任意一种情形，得0.5分；未提供相关内容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项目经理部组成人员</w:t>
            </w:r>
          </w:p>
        </w:tc>
        <w:tc>
          <w:tcPr>
            <w:tcW w:type="dxa" w:w="2492"/>
          </w:tcPr>
          <w:p>
            <w:pPr>
              <w:pStyle w:val="null3"/>
            </w:pPr>
            <w:r>
              <w:rPr>
                <w:rFonts w:ascii="仿宋_GB2312" w:hAnsi="仿宋_GB2312" w:cs="仿宋_GB2312" w:eastAsia="仿宋_GB2312"/>
              </w:rPr>
              <w:t>拟派项目经理部组成人员至少包括技术负责人（建筑工程专业中级或以上工程师）、安全员、施工员、质量员、材料员，全部满足得9分，每少一个扣1.5分，扣完为止； 评审依据：需提供以上人员的岗位证或职称证复印件。</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施工方案.docx</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拟派项目经理</w:t>
            </w:r>
          </w:p>
        </w:tc>
        <w:tc>
          <w:tcPr>
            <w:tcW w:type="dxa" w:w="2492"/>
          </w:tcPr>
          <w:p>
            <w:pPr>
              <w:pStyle w:val="null3"/>
            </w:pPr>
            <w:r>
              <w:rPr>
                <w:rFonts w:ascii="仿宋_GB2312" w:hAnsi="仿宋_GB2312" w:cs="仿宋_GB2312" w:eastAsia="仿宋_GB2312"/>
              </w:rPr>
              <w:t>1、学历：项目经理学历为本科及以上得1分，专科得0.5分，其余不得分 评审依据：提供项目经理毕业证书复印件加盖公章 2、职称：项目经理具有建筑工程相关专业中级职称及以上得2分，其他情况不计分； 评审依据：提供项目经理职称证复印件加盖公章； 3、项目经理业绩：2021年1月1日起至今（以合同签订日期为准）具有类似项目业绩，每提供1个符合要求的业绩得2分，最高2分。评审依据：提供合同或中标通知书或中标公示复印件加盖公章。（证明材料需体现项目经理名字，否则不予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提供2021年1月至今（以合同签订日期为准）具有类似项目业绩，每提供1个符合要求的业绩得2分，本项最高为10分。（项目经理业绩与企业业绩可重复）。 评审依据：提供合同复印件。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采用低价优先法计算，即通过资格审查和符合性审查且最后报价最低的供应商的价格为磋商基准价，其价格分为满分。磋商报价得分＝（磋商基准价/最后磋商报价）×30 备注：当磋商小组认为某个供应商的报价明显低于其他通过符合性审查供应商的报价，有可能影响工程质量和不能诚信履约的，应要求该供应商在评审现场合理的时间内提供书面说明，必要时提交相关证明材料；供应商不能证明其报价合理的，磋商小组将其作为无效文件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磋商一览表.docx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详见附件：磋商一览表.docx</w:t>
      </w:r>
    </w:p>
    <w:p>
      <w:pPr>
        <w:pStyle w:val="null3"/>
        <w:ind w:firstLine="960"/>
      </w:pPr>
      <w:r>
        <w:rPr>
          <w:rFonts w:ascii="仿宋_GB2312" w:hAnsi="仿宋_GB2312" w:cs="仿宋_GB2312" w:eastAsia="仿宋_GB2312"/>
        </w:rPr>
        <w:t>详见附件：供应商应提交的相关资格证明文件.docx</w:t>
      </w:r>
    </w:p>
    <w:p>
      <w:pPr>
        <w:pStyle w:val="null3"/>
        <w:ind w:firstLine="960"/>
      </w:pPr>
      <w:r>
        <w:rPr>
          <w:rFonts w:ascii="仿宋_GB2312" w:hAnsi="仿宋_GB2312" w:cs="仿宋_GB2312" w:eastAsia="仿宋_GB2312"/>
        </w:rPr>
        <w:t>详见附件：供应商认为需提交的其他资料.docx</w:t>
      </w:r>
    </w:p>
    <w:p>
      <w:pPr>
        <w:pStyle w:val="null3"/>
        <w:ind w:firstLine="960"/>
      </w:pPr>
      <w:r>
        <w:rPr>
          <w:rFonts w:ascii="仿宋_GB2312" w:hAnsi="仿宋_GB2312" w:cs="仿宋_GB2312" w:eastAsia="仿宋_GB2312"/>
        </w:rPr>
        <w:t>详见附件：施工方案.docx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详见附件：第八章 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