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5BA36">
      <w:pPr>
        <w:pStyle w:val="2"/>
        <w:jc w:val="center"/>
        <w:rPr>
          <w:rFonts w:ascii="Times New Roman" w:hAnsi="Times New Roman"/>
          <w:sz w:val="40"/>
          <w:szCs w:val="20"/>
        </w:rPr>
      </w:pPr>
      <w:bookmarkStart w:id="0" w:name="_GoBack"/>
      <w:bookmarkEnd w:id="0"/>
      <w:r>
        <w:rPr>
          <w:rFonts w:hint="eastAsia" w:ascii="Times New Roman" w:hAnsi="Times New Roman"/>
          <w:sz w:val="36"/>
          <w:szCs w:val="20"/>
        </w:rPr>
        <w:t>合同条款（仅供参考）</w:t>
      </w:r>
    </w:p>
    <w:p w14:paraId="64CD1D17">
      <w:pPr>
        <w:pStyle w:val="5"/>
        <w:ind w:left="0" w:leftChars="0" w:firstLine="0" w:firstLineChars="0"/>
        <w:rPr>
          <w:rFonts w:hAnsi="宋体"/>
        </w:rPr>
      </w:pPr>
    </w:p>
    <w:p w14:paraId="6689F62F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签订地点：</w:t>
      </w:r>
      <w:r>
        <w:rPr>
          <w:rFonts w:hAnsi="宋体"/>
          <w:sz w:val="22"/>
          <w:szCs w:val="21"/>
        </w:rPr>
        <w:t xml:space="preserve"> </w:t>
      </w:r>
      <w:r>
        <w:rPr>
          <w:rFonts w:hint="eastAsia"/>
          <w:sz w:val="22"/>
          <w:szCs w:val="20"/>
        </w:rPr>
        <w:t>XXXX。</w:t>
      </w:r>
      <w:r>
        <w:rPr>
          <w:rFonts w:hAnsi="宋体"/>
          <w:sz w:val="22"/>
          <w:szCs w:val="21"/>
        </w:rPr>
        <w:t xml:space="preserve">                     </w:t>
      </w:r>
      <w:r>
        <w:rPr>
          <w:rFonts w:hint="eastAsia" w:hAnsi="宋体"/>
          <w:sz w:val="22"/>
          <w:szCs w:val="21"/>
        </w:rPr>
        <w:t xml:space="preserve">  </w:t>
      </w:r>
      <w:r>
        <w:rPr>
          <w:rFonts w:hAnsi="宋体"/>
          <w:sz w:val="22"/>
          <w:szCs w:val="21"/>
        </w:rPr>
        <w:t xml:space="preserve">       </w:t>
      </w:r>
      <w:r>
        <w:rPr>
          <w:rFonts w:hint="eastAsia" w:hAnsi="宋体"/>
          <w:sz w:val="22"/>
          <w:szCs w:val="21"/>
        </w:rPr>
        <w:t xml:space="preserve">          </w:t>
      </w:r>
    </w:p>
    <w:p w14:paraId="5DCCF046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签订时间：</w:t>
      </w:r>
      <w:r>
        <w:rPr>
          <w:rFonts w:hAnsi="宋体"/>
          <w:sz w:val="22"/>
          <w:szCs w:val="21"/>
        </w:rPr>
        <w:t xml:space="preserve"> </w:t>
      </w:r>
      <w:r>
        <w:rPr>
          <w:rFonts w:hint="eastAsia"/>
          <w:sz w:val="22"/>
          <w:szCs w:val="20"/>
        </w:rPr>
        <w:t>XXXX年XX月XX日。</w:t>
      </w:r>
      <w:r>
        <w:rPr>
          <w:rFonts w:hAnsi="宋体"/>
          <w:sz w:val="22"/>
          <w:szCs w:val="21"/>
        </w:rPr>
        <w:t xml:space="preserve">                          </w:t>
      </w:r>
      <w:r>
        <w:rPr>
          <w:rFonts w:hint="eastAsia" w:hAnsi="宋体"/>
          <w:sz w:val="22"/>
          <w:szCs w:val="21"/>
        </w:rPr>
        <w:t xml:space="preserve">  </w:t>
      </w:r>
      <w:r>
        <w:rPr>
          <w:rFonts w:hAnsi="宋体"/>
          <w:sz w:val="22"/>
          <w:szCs w:val="21"/>
        </w:rPr>
        <w:t xml:space="preserve">    </w:t>
      </w:r>
      <w:r>
        <w:rPr>
          <w:rFonts w:hint="eastAsia" w:hAnsi="宋体"/>
          <w:sz w:val="22"/>
          <w:szCs w:val="21"/>
        </w:rPr>
        <w:t xml:space="preserve">        </w:t>
      </w:r>
    </w:p>
    <w:p w14:paraId="47D4DFE1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采购人（甲方）：</w:t>
      </w:r>
      <w:r>
        <w:rPr>
          <w:rFonts w:hint="eastAsia" w:hAnsi="宋体"/>
          <w:sz w:val="22"/>
          <w:szCs w:val="21"/>
          <w:u w:val="single"/>
        </w:rPr>
        <w:t xml:space="preserve">                     </w:t>
      </w:r>
      <w:r>
        <w:rPr>
          <w:rFonts w:hAnsi="宋体"/>
          <w:sz w:val="22"/>
          <w:szCs w:val="21"/>
        </w:rPr>
        <w:t xml:space="preserve">                           </w:t>
      </w:r>
      <w:r>
        <w:rPr>
          <w:rFonts w:hint="eastAsia" w:hAnsi="宋体"/>
          <w:sz w:val="22"/>
          <w:szCs w:val="21"/>
        </w:rPr>
        <w:t xml:space="preserve">  </w:t>
      </w:r>
      <w:r>
        <w:rPr>
          <w:rFonts w:hAnsi="宋体"/>
          <w:sz w:val="22"/>
          <w:szCs w:val="21"/>
        </w:rPr>
        <w:t xml:space="preserve">     </w:t>
      </w:r>
      <w:r>
        <w:rPr>
          <w:rFonts w:hint="eastAsia" w:hAnsi="宋体"/>
          <w:sz w:val="22"/>
          <w:szCs w:val="21"/>
        </w:rPr>
        <w:t xml:space="preserve">        </w:t>
      </w:r>
    </w:p>
    <w:p w14:paraId="433C6315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供应商（乙方）：</w:t>
      </w:r>
      <w:r>
        <w:rPr>
          <w:rFonts w:hint="eastAsia" w:hAnsi="宋体"/>
          <w:sz w:val="22"/>
          <w:szCs w:val="21"/>
          <w:u w:val="single"/>
        </w:rPr>
        <w:t xml:space="preserve">                     </w:t>
      </w:r>
      <w:r>
        <w:rPr>
          <w:rFonts w:hAnsi="宋体"/>
          <w:sz w:val="22"/>
          <w:szCs w:val="21"/>
        </w:rPr>
        <w:t xml:space="preserve"> </w:t>
      </w:r>
    </w:p>
    <w:p w14:paraId="26424ABE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Ansi="宋体"/>
          <w:sz w:val="22"/>
          <w:szCs w:val="21"/>
        </w:rPr>
        <w:t xml:space="preserve">  </w:t>
      </w:r>
      <w:r>
        <w:rPr>
          <w:rFonts w:hint="eastAsia" w:hAnsi="宋体"/>
          <w:sz w:val="22"/>
          <w:szCs w:val="21"/>
        </w:rPr>
        <w:t xml:space="preserve">                                    </w:t>
      </w:r>
      <w:r>
        <w:rPr>
          <w:rFonts w:hAnsi="宋体"/>
          <w:sz w:val="22"/>
          <w:szCs w:val="21"/>
        </w:rPr>
        <w:t xml:space="preserve">  </w:t>
      </w:r>
    </w:p>
    <w:p w14:paraId="2F15955A">
      <w:pPr>
        <w:pStyle w:val="5"/>
        <w:ind w:firstLine="48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根据《中华人民共和国民法典》及</w:t>
      </w:r>
      <w:r>
        <w:rPr>
          <w:rFonts w:hint="eastAsia"/>
          <w:sz w:val="22"/>
          <w:szCs w:val="20"/>
        </w:rPr>
        <w:t>四川国际招标有限责任公司</w:t>
      </w:r>
      <w:r>
        <w:rPr>
          <w:rFonts w:hint="eastAsia" w:hAnsi="宋体"/>
          <w:sz w:val="22"/>
          <w:szCs w:val="21"/>
          <w:u w:val="single"/>
        </w:rPr>
        <w:t xml:space="preserve">         </w:t>
      </w:r>
      <w:r>
        <w:rPr>
          <w:rFonts w:hint="eastAsia" w:hAnsi="宋体"/>
          <w:sz w:val="22"/>
          <w:szCs w:val="21"/>
        </w:rPr>
        <w:t>采购项目（项目编号：</w:t>
      </w:r>
      <w:r>
        <w:rPr>
          <w:rFonts w:hint="eastAsia"/>
          <w:sz w:val="22"/>
          <w:szCs w:val="20"/>
        </w:rPr>
        <w:t>XX</w:t>
      </w:r>
      <w:r>
        <w:rPr>
          <w:rFonts w:hint="eastAsia" w:hAnsi="宋体"/>
          <w:sz w:val="22"/>
          <w:szCs w:val="21"/>
        </w:rPr>
        <w:t>）的《招标文件》、乙方的《投标文件》及《中标通知书》，甲、乙双方同意签订本合同。详细技术说明及其他有关合同项目的特定信息由合同附件予以说明，合同附件及本项目的招标文件、投标文件、《中标通知书》等均为本合同不可分割的部分。双方同意共同遵守如下条款：</w:t>
      </w:r>
    </w:p>
    <w:p w14:paraId="1A70B653">
      <w:pPr>
        <w:kinsoku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一、</w:t>
      </w:r>
      <w:r>
        <w:rPr>
          <w:rFonts w:hAnsi="宋体"/>
          <w:b/>
          <w:sz w:val="22"/>
          <w:szCs w:val="21"/>
        </w:rPr>
        <w:t>合同内容</w:t>
      </w:r>
    </w:p>
    <w:tbl>
      <w:tblPr>
        <w:tblStyle w:val="3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2331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vAlign w:val="center"/>
          </w:tcPr>
          <w:p w14:paraId="3CDBA27C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编号</w:t>
            </w:r>
          </w:p>
        </w:tc>
        <w:tc>
          <w:tcPr>
            <w:tcW w:w="1620" w:type="dxa"/>
            <w:vAlign w:val="center"/>
          </w:tcPr>
          <w:p w14:paraId="4B2E3DF0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设备名称</w:t>
            </w:r>
          </w:p>
        </w:tc>
        <w:tc>
          <w:tcPr>
            <w:tcW w:w="1260" w:type="dxa"/>
            <w:vAlign w:val="center"/>
          </w:tcPr>
          <w:p w14:paraId="7F253007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型号</w:t>
            </w:r>
          </w:p>
        </w:tc>
        <w:tc>
          <w:tcPr>
            <w:tcW w:w="900" w:type="dxa"/>
            <w:vAlign w:val="center"/>
          </w:tcPr>
          <w:p w14:paraId="08EB2E16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产地</w:t>
            </w:r>
          </w:p>
        </w:tc>
        <w:tc>
          <w:tcPr>
            <w:tcW w:w="900" w:type="dxa"/>
            <w:vAlign w:val="center"/>
          </w:tcPr>
          <w:p w14:paraId="14486EDA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数量</w:t>
            </w:r>
          </w:p>
        </w:tc>
        <w:tc>
          <w:tcPr>
            <w:tcW w:w="900" w:type="dxa"/>
            <w:vAlign w:val="center"/>
          </w:tcPr>
          <w:p w14:paraId="79759B35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单价</w:t>
            </w:r>
          </w:p>
        </w:tc>
        <w:tc>
          <w:tcPr>
            <w:tcW w:w="894" w:type="dxa"/>
            <w:vAlign w:val="center"/>
          </w:tcPr>
          <w:p w14:paraId="3C104D4E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总价</w:t>
            </w:r>
          </w:p>
        </w:tc>
        <w:tc>
          <w:tcPr>
            <w:tcW w:w="839" w:type="dxa"/>
            <w:vAlign w:val="center"/>
          </w:tcPr>
          <w:p w14:paraId="753FF1C0">
            <w:pPr>
              <w:spacing w:line="400" w:lineRule="exact"/>
              <w:jc w:val="center"/>
              <w:rPr>
                <w:rFonts w:hAnsi="宋体"/>
                <w:b/>
                <w:sz w:val="22"/>
                <w:szCs w:val="21"/>
              </w:rPr>
            </w:pPr>
            <w:r>
              <w:rPr>
                <w:rFonts w:hint="eastAsia" w:hAnsi="宋体"/>
                <w:b/>
                <w:sz w:val="22"/>
                <w:szCs w:val="21"/>
              </w:rPr>
              <w:t>备注</w:t>
            </w:r>
          </w:p>
        </w:tc>
      </w:tr>
      <w:tr w14:paraId="1C03D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34B1156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  <w:r>
              <w:rPr>
                <w:rFonts w:hint="eastAsia" w:hAnsi="宋体" w:cs="宋体"/>
                <w:sz w:val="32"/>
                <w:szCs w:val="20"/>
              </w:rPr>
              <w:t>1</w:t>
            </w:r>
          </w:p>
        </w:tc>
        <w:tc>
          <w:tcPr>
            <w:tcW w:w="1620" w:type="dxa"/>
            <w:vAlign w:val="center"/>
          </w:tcPr>
          <w:p w14:paraId="7AFD713C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75D94E07">
            <w:pPr>
              <w:spacing w:line="400" w:lineRule="exact"/>
              <w:jc w:val="center"/>
              <w:rPr>
                <w:rFonts w:hAnsi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6A5D421">
            <w:pPr>
              <w:spacing w:line="400" w:lineRule="exact"/>
              <w:jc w:val="center"/>
              <w:rPr>
                <w:rFonts w:hAnsi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B41DD4F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7C1B8E0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94" w:type="dxa"/>
            <w:vAlign w:val="center"/>
          </w:tcPr>
          <w:p w14:paraId="63F0E85E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077D294B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</w:tr>
      <w:tr w14:paraId="4FB3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12287A48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6D22C49F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5F20A29C">
            <w:pPr>
              <w:spacing w:line="400" w:lineRule="exact"/>
              <w:jc w:val="center"/>
              <w:rPr>
                <w:rFonts w:hAnsi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40A5DA7">
            <w:pPr>
              <w:spacing w:line="400" w:lineRule="exact"/>
              <w:jc w:val="center"/>
              <w:rPr>
                <w:rFonts w:hAnsi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647DE65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E0FE678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94" w:type="dxa"/>
            <w:vAlign w:val="center"/>
          </w:tcPr>
          <w:p w14:paraId="5D448380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2AB8375C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</w:tr>
      <w:tr w14:paraId="2B22E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vAlign w:val="center"/>
          </w:tcPr>
          <w:p w14:paraId="7C118DE8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DBCCDAE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3AC9BC44">
            <w:pPr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C0C1F66">
            <w:pPr>
              <w:spacing w:line="400" w:lineRule="exact"/>
              <w:jc w:val="center"/>
              <w:rPr>
                <w:rFonts w:hAnsi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768EA9C">
            <w:pPr>
              <w:adjustRightInd w:val="0"/>
              <w:snapToGrid w:val="0"/>
              <w:jc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D54441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94" w:type="dxa"/>
            <w:vAlign w:val="center"/>
          </w:tcPr>
          <w:p w14:paraId="2CD7A7F3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  <w:tc>
          <w:tcPr>
            <w:tcW w:w="839" w:type="dxa"/>
            <w:vAlign w:val="center"/>
          </w:tcPr>
          <w:p w14:paraId="43B8FADD">
            <w:pPr>
              <w:autoSpaceDN w:val="0"/>
              <w:jc w:val="center"/>
              <w:textAlignment w:val="center"/>
              <w:rPr>
                <w:rFonts w:hAnsi="宋体" w:cs="宋体"/>
                <w:sz w:val="32"/>
                <w:szCs w:val="20"/>
              </w:rPr>
            </w:pPr>
          </w:p>
        </w:tc>
      </w:tr>
      <w:tr w14:paraId="33C55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vAlign w:val="center"/>
          </w:tcPr>
          <w:p w14:paraId="7B7BCE69">
            <w:pPr>
              <w:adjustRightInd w:val="0"/>
              <w:snapToGrid w:val="0"/>
              <w:jc w:val="center"/>
              <w:rPr>
                <w:rFonts w:hAnsi="宋体" w:cs="宋体"/>
                <w:b/>
                <w:sz w:val="22"/>
                <w:szCs w:val="21"/>
              </w:rPr>
            </w:pPr>
            <w:r>
              <w:rPr>
                <w:rFonts w:hint="eastAsia" w:hAnsi="宋体" w:cs="宋体"/>
                <w:b/>
                <w:sz w:val="22"/>
                <w:szCs w:val="21"/>
              </w:rPr>
              <w:t>总计（人民币/元）</w:t>
            </w:r>
          </w:p>
        </w:tc>
        <w:tc>
          <w:tcPr>
            <w:tcW w:w="5693" w:type="dxa"/>
            <w:gridSpan w:val="6"/>
            <w:vAlign w:val="center"/>
          </w:tcPr>
          <w:p w14:paraId="02AA2F5A">
            <w:pPr>
              <w:adjustRightInd w:val="0"/>
              <w:snapToGrid w:val="0"/>
              <w:rPr>
                <w:rFonts w:hAnsi="宋体" w:cs="宋体"/>
                <w:b/>
                <w:sz w:val="22"/>
                <w:szCs w:val="21"/>
              </w:rPr>
            </w:pPr>
            <w:r>
              <w:rPr>
                <w:rFonts w:hint="eastAsia" w:hAnsi="宋体" w:cs="宋体"/>
                <w:b/>
                <w:sz w:val="22"/>
                <w:szCs w:val="21"/>
              </w:rPr>
              <w:t>￥：       （大写）</w:t>
            </w:r>
          </w:p>
        </w:tc>
      </w:tr>
    </w:tbl>
    <w:p w14:paraId="0A4BA2F6">
      <w:pPr>
        <w:kinsoku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Ansi="宋体"/>
          <w:sz w:val="22"/>
          <w:szCs w:val="21"/>
        </w:rPr>
        <w:t>乙方负责按</w:t>
      </w:r>
      <w:r>
        <w:rPr>
          <w:rFonts w:hint="eastAsia" w:hAnsi="宋体"/>
          <w:sz w:val="22"/>
          <w:szCs w:val="21"/>
        </w:rPr>
        <w:t>以上</w:t>
      </w:r>
      <w:r>
        <w:rPr>
          <w:rFonts w:hAnsi="宋体"/>
          <w:sz w:val="22"/>
          <w:szCs w:val="21"/>
        </w:rPr>
        <w:t>确定</w:t>
      </w:r>
      <w:r>
        <w:rPr>
          <w:rFonts w:hint="eastAsia" w:hAnsi="宋体"/>
          <w:sz w:val="22"/>
          <w:szCs w:val="21"/>
        </w:rPr>
        <w:t>的设备规格、型号及配套内容进行供货，及</w:t>
      </w:r>
      <w:r>
        <w:rPr>
          <w:rFonts w:hAnsi="宋体"/>
          <w:sz w:val="22"/>
          <w:szCs w:val="21"/>
        </w:rPr>
        <w:t>时运到甲方指定交货地点</w:t>
      </w:r>
      <w:r>
        <w:rPr>
          <w:rFonts w:hint="eastAsia" w:hAnsi="宋体"/>
          <w:sz w:val="22"/>
          <w:szCs w:val="21"/>
        </w:rPr>
        <w:t>安装调试</w:t>
      </w:r>
      <w:r>
        <w:rPr>
          <w:rFonts w:hAnsi="宋体"/>
          <w:sz w:val="22"/>
          <w:szCs w:val="21"/>
        </w:rPr>
        <w:t>，</w:t>
      </w:r>
      <w:r>
        <w:rPr>
          <w:rFonts w:hint="eastAsia" w:hAnsi="宋体"/>
          <w:sz w:val="22"/>
          <w:szCs w:val="21"/>
        </w:rPr>
        <w:t>确保所有设备达到最佳运行状态，</w:t>
      </w:r>
      <w:r>
        <w:rPr>
          <w:rFonts w:hAnsi="宋体"/>
          <w:sz w:val="22"/>
          <w:szCs w:val="21"/>
        </w:rPr>
        <w:t>负责对甲方操作</w:t>
      </w:r>
      <w:r>
        <w:rPr>
          <w:rFonts w:hint="eastAsia" w:hAnsi="宋体"/>
          <w:sz w:val="22"/>
          <w:szCs w:val="21"/>
        </w:rPr>
        <w:t>、</w:t>
      </w:r>
      <w:r>
        <w:rPr>
          <w:rFonts w:hAnsi="宋体"/>
          <w:sz w:val="22"/>
          <w:szCs w:val="21"/>
        </w:rPr>
        <w:t>维护人员</w:t>
      </w:r>
      <w:r>
        <w:rPr>
          <w:rFonts w:hint="eastAsia" w:hAnsi="宋体"/>
          <w:sz w:val="22"/>
          <w:szCs w:val="21"/>
        </w:rPr>
        <w:t>进行培训</w:t>
      </w:r>
      <w:r>
        <w:rPr>
          <w:rFonts w:hAnsi="宋体"/>
          <w:sz w:val="22"/>
          <w:szCs w:val="21"/>
        </w:rPr>
        <w:t>，指导操作</w:t>
      </w:r>
      <w:r>
        <w:rPr>
          <w:rFonts w:hint="eastAsia" w:hAnsi="宋体"/>
          <w:sz w:val="22"/>
          <w:szCs w:val="21"/>
        </w:rPr>
        <w:t>、</w:t>
      </w:r>
      <w:r>
        <w:rPr>
          <w:rFonts w:hAnsi="宋体"/>
          <w:sz w:val="22"/>
          <w:szCs w:val="21"/>
        </w:rPr>
        <w:t>使用和维修保养，做好售后服务工作。</w:t>
      </w:r>
    </w:p>
    <w:p w14:paraId="1DF954F6">
      <w:pPr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二、合同价格</w:t>
      </w:r>
    </w:p>
    <w:p w14:paraId="3ED93671">
      <w:pPr>
        <w:kinsoku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合同总价：人民币大写</w:t>
      </w:r>
      <w:r>
        <w:rPr>
          <w:rFonts w:hint="eastAsia" w:hAnsi="宋体"/>
          <w:sz w:val="22"/>
          <w:szCs w:val="21"/>
          <w:u w:val="single"/>
        </w:rPr>
        <w:t>：</w:t>
      </w:r>
      <w:r>
        <w:rPr>
          <w:rFonts w:hint="eastAsia" w:hAnsi="宋体"/>
          <w:b/>
          <w:sz w:val="22"/>
          <w:szCs w:val="21"/>
          <w:u w:val="single"/>
        </w:rPr>
        <w:t xml:space="preserve">          </w:t>
      </w:r>
      <w:r>
        <w:rPr>
          <w:rFonts w:hint="eastAsia" w:hAnsi="宋体"/>
          <w:b/>
          <w:sz w:val="22"/>
          <w:szCs w:val="21"/>
        </w:rPr>
        <w:t>元</w:t>
      </w:r>
      <w:r>
        <w:rPr>
          <w:rFonts w:hAnsi="宋体"/>
          <w:b/>
          <w:sz w:val="22"/>
          <w:szCs w:val="21"/>
        </w:rPr>
        <w:t>整</w:t>
      </w:r>
      <w:r>
        <w:rPr>
          <w:rFonts w:hint="eastAsia" w:hAnsi="宋体"/>
          <w:b/>
          <w:sz w:val="22"/>
          <w:szCs w:val="21"/>
        </w:rPr>
        <w:t>；</w:t>
      </w:r>
      <w:r>
        <w:rPr>
          <w:rFonts w:hint="eastAsia" w:hAnsi="宋体"/>
          <w:sz w:val="22"/>
          <w:szCs w:val="21"/>
        </w:rPr>
        <w:t xml:space="preserve">￥ </w:t>
      </w:r>
      <w:r>
        <w:rPr>
          <w:rFonts w:hint="eastAsia" w:hAnsi="宋体"/>
          <w:b/>
          <w:sz w:val="22"/>
          <w:szCs w:val="21"/>
          <w:u w:val="single"/>
        </w:rPr>
        <w:t xml:space="preserve">       </w:t>
      </w:r>
      <w:r>
        <w:rPr>
          <w:rFonts w:hint="eastAsia" w:hAnsi="宋体"/>
          <w:sz w:val="22"/>
          <w:szCs w:val="21"/>
        </w:rPr>
        <w:t>元。</w:t>
      </w:r>
    </w:p>
    <w:p w14:paraId="05EFEB56">
      <w:pPr>
        <w:kinsoku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合同总价包括：设备的供应费及所发生的运输费、杂费（含保险）、商检费、搬运费、安装调试费、培训费，税费等，包括从产品供应地点到交货地点所包含的运一切费用。合同总价不可变更，不受市场价变化的影响，不受实际数量变化的影响。</w:t>
      </w:r>
    </w:p>
    <w:p w14:paraId="02B2E25C">
      <w:pPr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三、款项支付</w:t>
      </w:r>
    </w:p>
    <w:p w14:paraId="23235C51">
      <w:pPr>
        <w:tabs>
          <w:tab w:val="left" w:pos="480"/>
        </w:tabs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1、支付时间：</w:t>
      </w:r>
    </w:p>
    <w:p w14:paraId="2F900405">
      <w:pPr>
        <w:tabs>
          <w:tab w:val="left" w:pos="480"/>
        </w:tabs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2、支付方式：银行转帐。</w:t>
      </w:r>
    </w:p>
    <w:p w14:paraId="59D93AF4">
      <w:pPr>
        <w:tabs>
          <w:tab w:val="left" w:pos="480"/>
        </w:tabs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3、结算方式：</w:t>
      </w:r>
    </w:p>
    <w:p w14:paraId="62D6050C">
      <w:pPr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四、交货条件</w:t>
      </w:r>
    </w:p>
    <w:p w14:paraId="2776CBD7">
      <w:pPr>
        <w:kinsoku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1、交货地点：</w:t>
      </w:r>
    </w:p>
    <w:p w14:paraId="2D085B0E">
      <w:pPr>
        <w:kinsoku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2、交货日期：</w:t>
      </w:r>
    </w:p>
    <w:p w14:paraId="71C9CE7E">
      <w:pPr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五、运输方式：</w:t>
      </w:r>
      <w:r>
        <w:rPr>
          <w:rFonts w:hint="eastAsia" w:hAnsi="宋体"/>
          <w:sz w:val="22"/>
          <w:szCs w:val="21"/>
        </w:rPr>
        <w:t>根据产品特性，由乙方在保证产品质量的前提下，自行选择运输及包装方式，发生的一切费用全部由乙方承担。</w:t>
      </w:r>
    </w:p>
    <w:p w14:paraId="552DD9EC">
      <w:pPr>
        <w:adjustRightInd w:val="0"/>
        <w:snapToGrid w:val="0"/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六、质量保证</w:t>
      </w:r>
    </w:p>
    <w:p w14:paraId="1DECD340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1、乙方保证所提供的设备质量可靠，进货渠道正常，配置合理，技术性能完全满足招标文件要求；</w:t>
      </w:r>
    </w:p>
    <w:p w14:paraId="26C98EBD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若设备所用原材料或加工工艺造成的质量和内外观缺陷问题，由乙方负责解决并承担费用。（卖方保证货物是全新的、未曾使用过的、以优质工艺及材料制造，并保证所供设备的完整性，本合同设备为成套供货，合同总价中已包括满足设备完整运行的附件，备件，配套件等，产品质量应符合国标标准和本合同附件的要求, 卖方应随机提供产品检验报告。）</w:t>
      </w:r>
    </w:p>
    <w:p w14:paraId="57F189EF">
      <w:pPr>
        <w:adjustRightInd w:val="0"/>
        <w:snapToGrid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3、设备的质保期为设备验收合格后XX年，质保期内若发生产品质量问题，卖方应立即免费解决；否则，甲方有权从质保金中支付相关费用；超过一年质保期的，按照厂家承诺进行。</w:t>
      </w:r>
    </w:p>
    <w:p w14:paraId="7C5B547D">
      <w:pPr>
        <w:adjustRightInd w:val="0"/>
        <w:snapToGrid w:val="0"/>
        <w:spacing w:line="400" w:lineRule="exact"/>
        <w:ind w:firstLine="329" w:firstLineChars="149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七、安装、调试及技术服务</w:t>
      </w:r>
    </w:p>
    <w:p w14:paraId="740EE333">
      <w:pPr>
        <w:spacing w:line="400" w:lineRule="exact"/>
        <w:ind w:firstLine="455" w:firstLineChars="207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1、技术资料包括：</w:t>
      </w:r>
    </w:p>
    <w:p w14:paraId="760611A9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在质保期内（保修起始日为货到验收合格之日起），乙方在接到用户对所购设备进行维修的要求后，XX小时内到用户现场进行维修服务，全部费用由乙方支付，若需将产品送回生产厂，由乙方支付维修设备所需的往返费用。</w:t>
      </w:r>
    </w:p>
    <w:p w14:paraId="70440F86">
      <w:pPr>
        <w:spacing w:line="400" w:lineRule="exact"/>
        <w:ind w:firstLine="330" w:firstLineChars="1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3、乙方保证设备完全按招标要求提供，若达不到要求，乙方须及时跟甲方沟通协商更换设备，并按照再次验收合格时间相应延长该产品保修期。</w:t>
      </w:r>
    </w:p>
    <w:p w14:paraId="7FA0E614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4、技术培训</w:t>
      </w:r>
    </w:p>
    <w:p w14:paraId="5196012D">
      <w:pPr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1）内容：</w:t>
      </w:r>
    </w:p>
    <w:p w14:paraId="16817DA9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 xml:space="preserve"> 2）培训准备：</w:t>
      </w:r>
    </w:p>
    <w:p w14:paraId="0FE13EE8">
      <w:pPr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3）地点：</w:t>
      </w:r>
    </w:p>
    <w:p w14:paraId="5E36F83E">
      <w:pPr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4）时间：</w:t>
      </w:r>
    </w:p>
    <w:p w14:paraId="4AEFDE9B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5、服务承诺：按投标文件中的服务承诺执行。</w:t>
      </w:r>
    </w:p>
    <w:p w14:paraId="57F1EA85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6、安装调试过程中出现的安全责任问题由乙方全权负责。</w:t>
      </w:r>
    </w:p>
    <w:p w14:paraId="712F22FE">
      <w:pPr>
        <w:tabs>
          <w:tab w:val="left" w:pos="5355"/>
        </w:tabs>
        <w:spacing w:line="400" w:lineRule="exact"/>
        <w:ind w:firstLine="464" w:firstLineChars="21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八</w:t>
      </w:r>
      <w:r>
        <w:rPr>
          <w:rFonts w:hAnsi="宋体"/>
          <w:b/>
          <w:sz w:val="22"/>
          <w:szCs w:val="21"/>
        </w:rPr>
        <w:t>、违约责任</w:t>
      </w:r>
      <w:r>
        <w:rPr>
          <w:rFonts w:hint="eastAsia" w:hAnsi="宋体"/>
          <w:b/>
          <w:sz w:val="22"/>
          <w:szCs w:val="21"/>
        </w:rPr>
        <w:t>：</w:t>
      </w:r>
    </w:p>
    <w:p w14:paraId="2A402111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1、按《中华人民共和国合同法》中的相关条款执行。</w:t>
      </w:r>
    </w:p>
    <w:p w14:paraId="4D5531C0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2、未按合同要求提供产品或设备质量不能满足技术要求，甲方有权终止合同，并保留追究乙方违约责任的权利。</w:t>
      </w:r>
    </w:p>
    <w:p w14:paraId="5C8D39DA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3、时间迟延的，违约方按照每天1%向对方承担违约责任。产品质量问题违约的，除了按照迟延时间计算违约金外，另可以采取退货、换货等方式，由供方承担一切费用。</w:t>
      </w:r>
    </w:p>
    <w:p w14:paraId="6CC50AC6">
      <w:pPr>
        <w:adjustRightInd w:val="0"/>
        <w:snapToGrid w:val="0"/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4、甲方未按照合同约定支付合同价款或退还履约保证金的，每逾期一日，按照相应金额的万分之一承担违约责任。</w:t>
      </w:r>
    </w:p>
    <w:p w14:paraId="2CD1F61A">
      <w:pPr>
        <w:spacing w:line="400" w:lineRule="exact"/>
        <w:ind w:firstLine="532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九、设备验收</w:t>
      </w:r>
    </w:p>
    <w:p w14:paraId="6A93D7B8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1、设备到货后，乙方负责安装调试，达到正常运行条件后书面通知甲方验收。</w:t>
      </w:r>
    </w:p>
    <w:p w14:paraId="64B8E4A5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2、安装完成后应提供详细的安装报告，并详细记录各种指示的实测数据。</w:t>
      </w:r>
    </w:p>
    <w:p w14:paraId="6294CFC1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3、提供完整的操作手册和安装、调试、维修手册；提供制造厂家的检验测试报告或设备出厂检测报告。</w:t>
      </w:r>
    </w:p>
    <w:p w14:paraId="0F3A74FF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4、甲方根据合同要求对设备进行验收、确认设备的产地、规格、型号和数量。验收依据为本合同文本、招投标文件和国内相应的标准、规范。</w:t>
      </w:r>
    </w:p>
    <w:p w14:paraId="04CEBD35">
      <w:pPr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5、验收合格后，填写设备验收单，并向甲方提交设备所包含的所有资料，以便使用单位日后管理和维护。</w:t>
      </w:r>
    </w:p>
    <w:p w14:paraId="0E15CAFC">
      <w:pPr>
        <w:tabs>
          <w:tab w:val="left" w:pos="5355"/>
        </w:tabs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十、合同争议的解决：</w:t>
      </w:r>
    </w:p>
    <w:p w14:paraId="29A8FEB5">
      <w:pPr>
        <w:tabs>
          <w:tab w:val="left" w:pos="5355"/>
        </w:tabs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</w:p>
    <w:p w14:paraId="36ADDC44">
      <w:pPr>
        <w:tabs>
          <w:tab w:val="left" w:pos="5355"/>
        </w:tabs>
        <w:spacing w:line="400" w:lineRule="exact"/>
        <w:ind w:firstLine="440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sz w:val="22"/>
          <w:szCs w:val="21"/>
        </w:rPr>
        <w:t>合同一经签订，不得随意变更、中止或终止。对确需变更、调整或者中止、终止合同的，应按规定履行相应的手续。</w:t>
      </w:r>
    </w:p>
    <w:p w14:paraId="0E0FA18B">
      <w:pPr>
        <w:tabs>
          <w:tab w:val="left" w:pos="5355"/>
        </w:tabs>
        <w:spacing w:line="400" w:lineRule="exact"/>
        <w:ind w:firstLine="440" w:firstLineChars="2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合同执行中发生争议的，甲、乙双方应协商解决，协商达不成一致时，可向合同履行地人民法院提请诉讼。</w:t>
      </w:r>
    </w:p>
    <w:p w14:paraId="47B219BE">
      <w:pPr>
        <w:tabs>
          <w:tab w:val="left" w:pos="5355"/>
        </w:tabs>
        <w:spacing w:line="400" w:lineRule="exact"/>
        <w:ind w:firstLine="440" w:firstLineChars="200"/>
        <w:rPr>
          <w:rFonts w:hAnsi="宋体"/>
          <w:sz w:val="22"/>
          <w:szCs w:val="21"/>
        </w:rPr>
      </w:pPr>
    </w:p>
    <w:p w14:paraId="6FA1B711">
      <w:pPr>
        <w:numPr>
          <w:ilvl w:val="0"/>
          <w:numId w:val="1"/>
        </w:numPr>
        <w:tabs>
          <w:tab w:val="left" w:pos="5355"/>
        </w:tabs>
        <w:spacing w:line="400" w:lineRule="exact"/>
        <w:ind w:firstLine="442" w:firstLineChars="200"/>
        <w:rPr>
          <w:rFonts w:hAnsi="宋体"/>
          <w:b/>
          <w:sz w:val="22"/>
          <w:szCs w:val="21"/>
        </w:rPr>
      </w:pPr>
      <w:r>
        <w:rPr>
          <w:rFonts w:hint="eastAsia" w:hAnsi="宋体"/>
          <w:b/>
          <w:sz w:val="22"/>
          <w:szCs w:val="21"/>
        </w:rPr>
        <w:t>其它事项</w:t>
      </w:r>
    </w:p>
    <w:p w14:paraId="66A8A125">
      <w:pPr>
        <w:numPr>
          <w:ilvl w:val="0"/>
          <w:numId w:val="2"/>
        </w:numPr>
        <w:adjustRightInd w:val="0"/>
        <w:snapToGrid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甲、乙双方做为合同执行的主体，有义务及时完全履行合同。</w:t>
      </w:r>
    </w:p>
    <w:p w14:paraId="44EAA6E6">
      <w:pPr>
        <w:adjustRightInd w:val="0"/>
        <w:snapToGrid w:val="0"/>
        <w:spacing w:line="400" w:lineRule="exact"/>
        <w:ind w:firstLine="660" w:firstLineChars="30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2、合同未尽事宜，由甲、乙双方协商，协商方案作为本合同不可分割的组成部分，与本合同具有同等法律效力。</w:t>
      </w:r>
    </w:p>
    <w:p w14:paraId="10BCB512">
      <w:pPr>
        <w:adjustRightInd w:val="0"/>
        <w:snapToGrid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3、招标文件和乙方的投标文件以及合同附件均为合同不可分割的部分。</w:t>
      </w:r>
    </w:p>
    <w:p w14:paraId="03E8B690">
      <w:pPr>
        <w:adjustRightInd w:val="0"/>
        <w:snapToGrid w:val="0"/>
        <w:spacing w:line="400" w:lineRule="exact"/>
        <w:ind w:firstLine="550" w:firstLineChars="250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4、合同一式陆份，甲方、乙方各贰份，招标代理机构壹份。甲方、乙方及确认方签字盖章后生效，合同执行完毕自动失效。（合同的服务承诺长期有效）。</w:t>
      </w:r>
    </w:p>
    <w:p w14:paraId="04D997C3">
      <w:pPr>
        <w:tabs>
          <w:tab w:val="left" w:pos="5355"/>
        </w:tabs>
        <w:spacing w:line="400" w:lineRule="exact"/>
        <w:rPr>
          <w:rFonts w:hAnsi="宋体"/>
          <w:sz w:val="22"/>
          <w:szCs w:val="21"/>
        </w:rPr>
      </w:pPr>
    </w:p>
    <w:p w14:paraId="152A4721">
      <w:pPr>
        <w:adjustRightInd w:val="0"/>
        <w:snapToGrid w:val="0"/>
        <w:spacing w:line="400" w:lineRule="exact"/>
        <w:ind w:firstLine="550" w:firstLineChars="250"/>
        <w:rPr>
          <w:rFonts w:hAnsi="宋体"/>
          <w:sz w:val="22"/>
          <w:szCs w:val="21"/>
        </w:rPr>
      </w:pPr>
    </w:p>
    <w:p w14:paraId="1866B1B4">
      <w:pPr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甲  方：（公章）                          乙  方：（公章）</w:t>
      </w:r>
    </w:p>
    <w:p w14:paraId="4B84D3D2">
      <w:pPr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 xml:space="preserve">地  址：                                  地    址： </w:t>
      </w:r>
    </w:p>
    <w:p w14:paraId="031A20E1">
      <w:pPr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法定代表人：（签字）                      法定代表人：（签字）</w:t>
      </w:r>
    </w:p>
    <w:p w14:paraId="438180E3">
      <w:pPr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代理人：（签字）                          代理人：（签字）</w:t>
      </w:r>
    </w:p>
    <w:p w14:paraId="09965FA5">
      <w:pPr>
        <w:tabs>
          <w:tab w:val="left" w:pos="5114"/>
        </w:tabs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 xml:space="preserve">联系电话：                             </w:t>
      </w:r>
      <w:r>
        <w:rPr>
          <w:rFonts w:hint="eastAsia" w:hAnsi="宋体"/>
          <w:sz w:val="22"/>
          <w:szCs w:val="21"/>
          <w:lang w:val="en-US" w:eastAsia="zh-CN"/>
        </w:rPr>
        <w:t xml:space="preserve">   </w:t>
      </w:r>
      <w:r>
        <w:rPr>
          <w:rFonts w:hint="eastAsia" w:hAnsi="宋体"/>
          <w:sz w:val="22"/>
          <w:szCs w:val="21"/>
        </w:rPr>
        <w:t>联系电话：</w:t>
      </w:r>
    </w:p>
    <w:p w14:paraId="60D416A2">
      <w:pPr>
        <w:adjustRightInd w:val="0"/>
        <w:snapToGrid w:val="0"/>
        <w:spacing w:line="400" w:lineRule="exact"/>
        <w:ind w:firstLine="440" w:firstLineChars="200"/>
        <w:jc w:val="left"/>
        <w:rPr>
          <w:rFonts w:hAnsi="宋体"/>
          <w:sz w:val="22"/>
          <w:szCs w:val="21"/>
        </w:rPr>
      </w:pPr>
      <w:r>
        <w:rPr>
          <w:rFonts w:hint="eastAsia" w:hAnsi="宋体"/>
          <w:sz w:val="22"/>
          <w:szCs w:val="21"/>
        </w:rPr>
        <w:t>签订日期：   年  月  日                   签订日期：   年  月  日</w:t>
      </w:r>
    </w:p>
    <w:p w14:paraId="3E8452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42A275"/>
    <w:multiLevelType w:val="singleLevel"/>
    <w:tmpl w:val="5642A275"/>
    <w:lvl w:ilvl="0" w:tentative="0">
      <w:start w:val="11"/>
      <w:numFmt w:val="chineseCounting"/>
      <w:suff w:val="nothing"/>
      <w:lvlText w:val="%1、"/>
      <w:lvlJc w:val="left"/>
    </w:lvl>
  </w:abstractNum>
  <w:abstractNum w:abstractNumId="1">
    <w:nsid w:val="59DB3CF2"/>
    <w:multiLevelType w:val="singleLevel"/>
    <w:tmpl w:val="59DB3CF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D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首行缩进:  2 字符"/>
    <w:basedOn w:val="1"/>
    <w:autoRedefine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2026-04-29T04:49:34Z</dcterms:created>
  <dc:creator>Windows</dc:creator>
  <cp:lastModifiedBy>川招</cp:lastModifiedBy>
  <dcterms:modified xsi:type="dcterms:W3CDTF">2026-04-29T04:49:46Z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eyJoZGlkIjoiYjMwMGY0OTI1ZWUxZDZmMjBmNmQ1MWFhMjAwN2FhMDEiLCJ1c2VySWQiOiI2MDM4ODc3OTYifQ==</vt:lpwstr>
  </property>
  <property fmtid="{D5CDD505-2E9C-101B-9397-08002B2CF9AE}" pid="4" name="ICV">
    <vt:lpwstr>13CB446B9E194E089B7053642B36F3D4_12</vt:lpwstr>
  </property>
</Properties>
</file>