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版本号：SCIT-ZG-SX202604000120260514002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陕西省高校工程中心建设项目-鸿蒙国产化技术应用开发实验室建设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SCIT-ZG-SX2026040001</w:t>
      </w:r>
      <w:r>
        <w:br/>
      </w:r>
      <w:r>
        <w:br/>
      </w:r>
      <w:r>
        <w:br/>
      </w:r>
    </w:p>
    <w:p>
      <w:pPr>
        <w:pStyle w:val="null3"/>
        <w:jc w:val="center"/>
        <w:outlineLvl w:val="2"/>
      </w:pPr>
      <w:r>
        <w:rPr>
          <w:rFonts w:ascii="仿宋_GB2312" w:hAnsi="仿宋_GB2312" w:cs="仿宋_GB2312" w:eastAsia="仿宋_GB2312"/>
          <w:sz w:val="28"/>
          <w:b/>
        </w:rPr>
        <w:t>陕西学前师范学院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陕西省高校工程中心建设项目-鸿蒙国产化技术应用开发实验室建设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SCIT-ZG-SX2026040001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陕西省高校工程中心建设项目-鸿蒙国产化技术应用开发实验室建设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本项目共1个包，用于鸿蒙国产化技术应用开发实验室建设（具体详见招标文件）； 资金性质：财政资金； 项目用途：鸿蒙国产化技术应用开发实验室建设； 采购预算：1898000.00元。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长安区神禾二路陕西学前师范学院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 技术负责人邓老师 029-81530131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刘江媚、郝丽鹏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采购包1：1,898,000.00元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银行账号：9902001850315589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说明：合同签订前向采购人支付中标金额的5%，作为履约保证金，项目验收合格后30个日历日内，无质量问题且不存在争议，一次性无息退还至中标人账户。</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50万以下定额6000元；50万以上以成交金额作为计算基数,参照国家计委计价[2002]1980号及发改办价格[2003]857号通知规定标准的85%计取支付，由中标人在领取中标通知书前向招标代理机构交纳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陕西学前师范学院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联系人：刘江媚、郝丽鹏</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本项目共1个包，用于鸿蒙国产化技术应用开发实验室建设（具体详见招标文件）； 资金性质：财政资金； 项目用途：鸿蒙国产化技术应用开发实验室建设； 采购预算：1898000.00元。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1,898,000.00</w:t>
      </w:r>
    </w:p>
    <w:p>
      <w:pPr>
        <w:pStyle w:val="null3"/>
      </w:pPr>
      <w:r>
        <w:rPr>
          <w:rFonts w:ascii="仿宋_GB2312" w:hAnsi="仿宋_GB2312" w:cs="仿宋_GB2312" w:eastAsia="仿宋_GB2312"/>
        </w:rPr>
        <w:t>采购包最高限价（元）: 1,898,000.00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鸿蒙国产化技术应用开发实验室建设设备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1,898,000.00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标的名称：鸿蒙国产化技术应用开发实验室建设设备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2"/>
              <w:gridCol w:w="200"/>
              <w:gridCol w:w="132"/>
              <w:gridCol w:w="132"/>
              <w:gridCol w:w="1756"/>
              <w:gridCol w:w="200"/>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序号</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标的名称</w:t>
                  </w:r>
                </w:p>
              </w:tc>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采购</w:t>
                  </w:r>
                  <w:r>
                    <w:br/>
                  </w:r>
                  <w:r>
                    <w:rPr>
                      <w:rFonts w:ascii="仿宋_GB2312" w:hAnsi="仿宋_GB2312" w:cs="仿宋_GB2312" w:eastAsia="仿宋_GB2312"/>
                      <w:sz w:val="22"/>
                      <w:color w:val="000000"/>
                    </w:rPr>
                    <w:t>数量</w:t>
                  </w:r>
                </w:p>
              </w:tc>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计量</w:t>
                  </w:r>
                  <w:r>
                    <w:br/>
                  </w:r>
                  <w:r>
                    <w:rPr>
                      <w:rFonts w:ascii="仿宋_GB2312" w:hAnsi="仿宋_GB2312" w:cs="仿宋_GB2312" w:eastAsia="仿宋_GB2312"/>
                      <w:sz w:val="22"/>
                      <w:color w:val="000000"/>
                    </w:rPr>
                    <w:t>单位</w:t>
                  </w:r>
                </w:p>
              </w:tc>
              <w:tc>
                <w:tcPr>
                  <w:tcW w:type="dxa" w:w="1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标的所属行业</w:t>
                  </w:r>
                </w:p>
              </w:tc>
            </w:tr>
            <w:tr>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鸿蒙全场景实训箱（核心产品）</w:t>
                  </w:r>
                </w:p>
              </w:tc>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1.硬件产品参数要求:</w:t>
                  </w:r>
                  <w:r>
                    <w:br/>
                  </w:r>
                  <w:r>
                    <w:rPr>
                      <w:rFonts w:ascii="仿宋_GB2312" w:hAnsi="仿宋_GB2312" w:cs="仿宋_GB2312" w:eastAsia="仿宋_GB2312"/>
                      <w:sz w:val="22"/>
                      <w:color w:val="000000"/>
                    </w:rPr>
                    <w:t>1.1主板参数要求:</w:t>
                  </w:r>
                  <w:r>
                    <w:br/>
                  </w:r>
                  <w:r>
                    <w:rPr>
                      <w:rFonts w:ascii="仿宋_GB2312" w:hAnsi="仿宋_GB2312" w:cs="仿宋_GB2312" w:eastAsia="仿宋_GB2312"/>
                      <w:sz w:val="22"/>
                      <w:color w:val="000000"/>
                    </w:rPr>
                    <w:t>1.1.1主</w:t>
                  </w:r>
                  <w:r>
                    <w:rPr>
                      <w:rFonts w:ascii="仿宋_GB2312" w:hAnsi="仿宋_GB2312" w:cs="仿宋_GB2312" w:eastAsia="仿宋_GB2312"/>
                      <w:sz w:val="22"/>
                      <w:color w:val="000000"/>
                    </w:rPr>
                    <w:t>处理器：</w:t>
                  </w:r>
                  <w:r>
                    <w:rPr>
                      <w:rFonts w:ascii="仿宋_GB2312" w:hAnsi="仿宋_GB2312" w:cs="仿宋_GB2312" w:eastAsia="仿宋_GB2312"/>
                      <w:sz w:val="22"/>
                      <w:color w:val="000000"/>
                    </w:rPr>
                    <w:t>主芯片平台必须使用国产芯片，且能够支持国产化操作系统；</w:t>
                  </w:r>
                  <w:r>
                    <w:rPr>
                      <w:rFonts w:ascii="仿宋_GB2312" w:hAnsi="仿宋_GB2312" w:cs="仿宋_GB2312" w:eastAsia="仿宋_GB2312"/>
                      <w:sz w:val="22"/>
                      <w:color w:val="000000"/>
                    </w:rPr>
                    <w:t>GPU:须支持 OpenGL ES 1.1/2.0/3.2，OpenCL 2.0，Vulkan 1.1，须支持2D 加速硬件；NPU:须支持Caffe/TensorFlow/TFLite/ONNX/PyTorch/Keras/Darknet 主流架构模型的一键转换，不低于1TOPS算力支持；</w:t>
                  </w:r>
                  <w:r>
                    <w:br/>
                  </w:r>
                  <w:r>
                    <w:rPr>
                      <w:rFonts w:ascii="仿宋_GB2312" w:hAnsi="仿宋_GB2312" w:cs="仿宋_GB2312" w:eastAsia="仿宋_GB2312"/>
                      <w:sz w:val="22"/>
                      <w:color w:val="000000"/>
                    </w:rPr>
                    <w:t>1.1.2以太网接口：须支持双千兆以太网；无线网：须支持BT4.2及以上版本，支持2.4G/5.0G双频WiFi；</w:t>
                  </w:r>
                  <w:r>
                    <w:br/>
                  </w:r>
                  <w:r>
                    <w:rPr>
                      <w:rFonts w:ascii="仿宋_GB2312" w:hAnsi="仿宋_GB2312" w:cs="仿宋_GB2312" w:eastAsia="仿宋_GB2312"/>
                      <w:sz w:val="22"/>
                      <w:color w:val="000000"/>
                    </w:rPr>
                    <w:t>1.1.3存储器：内存不低于LPDDR4，频率不低于1600Mhz，内存容量不低于4GB，存储容量不低于32GB；</w:t>
                  </w:r>
                  <w:r>
                    <w:br/>
                  </w:r>
                  <w:r>
                    <w:rPr>
                      <w:rFonts w:ascii="仿宋_GB2312" w:hAnsi="仿宋_GB2312" w:cs="仿宋_GB2312" w:eastAsia="仿宋_GB2312"/>
                      <w:sz w:val="22"/>
                      <w:color w:val="000000"/>
                    </w:rPr>
                    <w:t>1.1.4扩展接口：USB3.0 需支持至少2路，USB2.0 需支持不少于2路，UART 需支持至少2路，RS232不低于2路，RS485不低于2路，CAN接口不低于2路；</w:t>
                  </w:r>
                  <w:r>
                    <w:br/>
                  </w:r>
                  <w:r>
                    <w:rPr>
                      <w:rFonts w:ascii="仿宋_GB2312" w:hAnsi="仿宋_GB2312" w:cs="仿宋_GB2312" w:eastAsia="仿宋_GB2312"/>
                      <w:sz w:val="22"/>
                      <w:color w:val="000000"/>
                    </w:rPr>
                    <w:t>1.2无线通信模块参数要求：</w:t>
                  </w:r>
                  <w:r>
                    <w:br/>
                  </w:r>
                  <w:r>
                    <w:rPr>
                      <w:rFonts w:ascii="仿宋_GB2312" w:hAnsi="仿宋_GB2312" w:cs="仿宋_GB2312" w:eastAsia="仿宋_GB2312"/>
                      <w:sz w:val="22"/>
                      <w:color w:val="000000"/>
                    </w:rPr>
                    <w:t>整体要求：模块可拆，可以与不同的传感器模块进行组合编程；至少支持以下几类通信方式：</w:t>
                  </w:r>
                  <w:r>
                    <w:rPr>
                      <w:rFonts w:ascii="仿宋_GB2312" w:hAnsi="仿宋_GB2312" w:cs="仿宋_GB2312" w:eastAsia="仿宋_GB2312"/>
                      <w:sz w:val="22"/>
                      <w:color w:val="000000"/>
                    </w:rPr>
                    <w:t>WiFi、Lora、NB-Iot、BLE、Zigbee；</w:t>
                  </w:r>
                  <w:r>
                    <w:br/>
                  </w:r>
                  <w:r>
                    <w:rPr>
                      <w:rFonts w:ascii="仿宋_GB2312" w:hAnsi="仿宋_GB2312" w:cs="仿宋_GB2312" w:eastAsia="仿宋_GB2312"/>
                      <w:sz w:val="22"/>
                      <w:color w:val="000000"/>
                    </w:rPr>
                    <w:t>1.3外接模块要求：</w:t>
                  </w:r>
                  <w:r>
                    <w:br/>
                  </w:r>
                  <w:r>
                    <w:rPr>
                      <w:rFonts w:ascii="仿宋_GB2312" w:hAnsi="仿宋_GB2312" w:cs="仿宋_GB2312" w:eastAsia="仿宋_GB2312"/>
                      <w:sz w:val="22"/>
                      <w:color w:val="000000"/>
                    </w:rPr>
                    <w:t>1.3.1整体要求：模块可拆，可以与不同的通信模块进行组合编程；</w:t>
                  </w:r>
                  <w:r>
                    <w:br/>
                  </w:r>
                  <w:r>
                    <w:rPr>
                      <w:rFonts w:ascii="仿宋_GB2312" w:hAnsi="仿宋_GB2312" w:cs="仿宋_GB2312" w:eastAsia="仿宋_GB2312"/>
                      <w:sz w:val="20"/>
                    </w:rPr>
                    <w:t>▲</w:t>
                  </w:r>
                  <w:r>
                    <w:rPr>
                      <w:rFonts w:ascii="仿宋_GB2312" w:hAnsi="仿宋_GB2312" w:cs="仿宋_GB2312" w:eastAsia="仿宋_GB2312"/>
                      <w:sz w:val="22"/>
                      <w:color w:val="000000"/>
                    </w:rPr>
                    <w:t>1.3.2须支持如下的外接模块：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温湿度传感器、风扇、光照传感器、压强传感器、二氧化碳传感器、声光报警、电磁水阀、红外反射式光电开关、超声波测距模块、点阵屏、</w:t>
                  </w:r>
                  <w:r>
                    <w:rPr>
                      <w:rFonts w:ascii="仿宋_GB2312" w:hAnsi="仿宋_GB2312" w:cs="仿宋_GB2312" w:eastAsia="仿宋_GB2312"/>
                      <w:sz w:val="22"/>
                      <w:color w:val="000000"/>
                    </w:rPr>
                    <w:t>LED 灯、数码管、红外测温传感器、血氧传感器、人体感应、门磁开关、继电器、烟雾传感器、燃气传感器、一氧化碳传感器、火焰传感器、编码器、加速度传感器、定位、霍尔开关传感器、RFID；</w:t>
                  </w:r>
                  <w:r>
                    <w:br/>
                  </w:r>
                  <w:r>
                    <w:rPr>
                      <w:rFonts w:ascii="仿宋_GB2312" w:hAnsi="仿宋_GB2312" w:cs="仿宋_GB2312" w:eastAsia="仿宋_GB2312"/>
                      <w:sz w:val="22"/>
                      <w:color w:val="000000"/>
                    </w:rPr>
                    <w:t>1.4物联网底板：须支持独立供电，支持液晶显示，支持通信模块和传感器模块之间的通信；须支持通信模块和传感器的接口、支持USB转串口接口、支持reset按键、自定义LED、独立电源开关；</w:t>
                  </w:r>
                  <w:r>
                    <w:br/>
                  </w:r>
                  <w:r>
                    <w:rPr>
                      <w:rFonts w:ascii="仿宋_GB2312" w:hAnsi="仿宋_GB2312" w:cs="仿宋_GB2312" w:eastAsia="仿宋_GB2312"/>
                      <w:sz w:val="22"/>
                      <w:color w:val="000000"/>
                    </w:rPr>
                    <w:t>1.5自定义展示区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整体要求：支持自定义输入文本展示，可配置可修改；</w:t>
                  </w:r>
                  <w:r>
                    <w:br/>
                  </w:r>
                  <w:r>
                    <w:rPr>
                      <w:rFonts w:ascii="仿宋_GB2312" w:hAnsi="仿宋_GB2312" w:cs="仿宋_GB2312" w:eastAsia="仿宋_GB2312"/>
                      <w:sz w:val="22"/>
                      <w:color w:val="000000"/>
                    </w:rPr>
                    <w:t>1.6实验箱箱体结构</w:t>
                  </w:r>
                  <w:r>
                    <w:br/>
                  </w:r>
                  <w:r>
                    <w:rPr>
                      <w:rFonts w:ascii="仿宋_GB2312" w:hAnsi="仿宋_GB2312" w:cs="仿宋_GB2312" w:eastAsia="仿宋_GB2312"/>
                      <w:sz w:val="22"/>
                      <w:color w:val="000000"/>
                    </w:rPr>
                    <w:t>整体要求：上下两层一体式设计，上层板载固定安装实验所需硬件，下层收纳放置配套电源适配器、线材、配件等设备。</w:t>
                  </w:r>
                  <w:r>
                    <w:br/>
                  </w:r>
                  <w:r>
                    <w:rPr>
                      <w:rFonts w:ascii="仿宋_GB2312" w:hAnsi="仿宋_GB2312" w:cs="仿宋_GB2312" w:eastAsia="仿宋_GB2312"/>
                      <w:sz w:val="22"/>
                      <w:color w:val="000000"/>
                    </w:rPr>
                    <w:t>2.系统参数要求:基于国产化操作系统。</w:t>
                  </w:r>
                  <w:r>
                    <w:br/>
                  </w:r>
                  <w:r>
                    <w:rPr>
                      <w:rFonts w:ascii="仿宋_GB2312" w:hAnsi="仿宋_GB2312" w:cs="仿宋_GB2312" w:eastAsia="仿宋_GB2312"/>
                      <w:sz w:val="22"/>
                      <w:color w:val="000000"/>
                    </w:rPr>
                    <w:t>2.1智慧工业-温湿度监控：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须支持温湿度传感器数据采集，并实时上传至云平台。云平台提供监测点列表显示（包括点位名称、温度、湿度），须支持手动刷新数据、报警阈值设置、报警记录查询以及四位数码管显示内容配置。</w:t>
                  </w:r>
                  <w:r>
                    <w:rPr>
                      <w:rFonts w:ascii="仿宋_GB2312" w:hAnsi="仿宋_GB2312" w:cs="仿宋_GB2312" w:eastAsia="仿宋_GB2312"/>
                      <w:sz w:val="22"/>
                      <w:color w:val="000000"/>
                    </w:rPr>
                    <w:t>APP端须实时显示温湿度数据，并在超过阈值时提供报警提示。系统须支持根据温湿度阈值自动控制风扇启停，并通过数码管显示相关内容；</w:t>
                  </w:r>
                  <w:r>
                    <w:br/>
                  </w:r>
                  <w:r>
                    <w:rPr>
                      <w:rFonts w:ascii="仿宋_GB2312" w:hAnsi="仿宋_GB2312" w:cs="仿宋_GB2312" w:eastAsia="仿宋_GB2312"/>
                      <w:sz w:val="22"/>
                      <w:color w:val="000000"/>
                    </w:rPr>
                    <w:t>2.2智慧工业-红外感应自动照明：</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须支持人体感应传感器数据采集，并实时上传至云平台。云平台显示监测点列表（包括点位名称、亮灯状态），须支持手动刷新数据、亮灯延时时长设置（如</w:t>
                  </w:r>
                  <w:r>
                    <w:rPr>
                      <w:rFonts w:ascii="仿宋_GB2312" w:hAnsi="仿宋_GB2312" w:cs="仿宋_GB2312" w:eastAsia="仿宋_GB2312"/>
                      <w:sz w:val="22"/>
                      <w:color w:val="000000"/>
                    </w:rPr>
                    <w:t>3s、10s、30s等）以及不响应时段设置，并提供历史记录查询功能。APP端须显示感应结果及感应记录。系统根据人体感应信号自动控制LED灯，并在无感应时按设定延时关闭；</w:t>
                  </w:r>
                  <w:r>
                    <w:br/>
                  </w:r>
                  <w:r>
                    <w:rPr>
                      <w:rFonts w:ascii="仿宋_GB2312" w:hAnsi="仿宋_GB2312" w:cs="仿宋_GB2312" w:eastAsia="仿宋_GB2312"/>
                      <w:sz w:val="22"/>
                      <w:color w:val="000000"/>
                    </w:rPr>
                    <w:t>2.3智慧工业-货物感应计数：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须支持红外反射式光电开关数据采集，并实时上传至云平台。</w:t>
                  </w:r>
                  <w:r>
                    <w:rPr>
                      <w:rFonts w:ascii="仿宋_GB2312" w:hAnsi="仿宋_GB2312" w:cs="仿宋_GB2312" w:eastAsia="仿宋_GB2312"/>
                      <w:sz w:val="22"/>
                      <w:color w:val="000000"/>
                    </w:rPr>
                    <w:t>APP端须显示感应结果及监控记录，点阵屏显示箭头图案。系统须具备货物计数功能，每次感应到物体时计数加1，并在APP端实时显示计数值；</w:t>
                  </w:r>
                  <w:r>
                    <w:br/>
                  </w:r>
                  <w:r>
                    <w:rPr>
                      <w:rFonts w:ascii="仿宋_GB2312" w:hAnsi="仿宋_GB2312" w:cs="仿宋_GB2312" w:eastAsia="仿宋_GB2312"/>
                      <w:sz w:val="22"/>
                      <w:color w:val="000000"/>
                    </w:rPr>
                    <w:t>2.4智慧工业-引导车避障：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须支持超声波测距模块数据采集，并实时上传至云平台。云平台显示小车位置（经纬度）、报警记录，并须支持报警提示接口以及设置遇障报警阈值（如</w:t>
                  </w:r>
                  <w:r>
                    <w:rPr>
                      <w:rFonts w:ascii="仿宋_GB2312" w:hAnsi="仿宋_GB2312" w:cs="仿宋_GB2312" w:eastAsia="仿宋_GB2312"/>
                      <w:sz w:val="22"/>
                      <w:color w:val="000000"/>
                    </w:rPr>
                    <w:t>10cm、20cm、30cm等）。APP端须显示障碍物距离及小车经纬度信息，并在检测到障碍物时提供报警提示；</w:t>
                  </w:r>
                  <w:r>
                    <w:br/>
                  </w:r>
                  <w:r>
                    <w:rPr>
                      <w:rFonts w:ascii="仿宋_GB2312" w:hAnsi="仿宋_GB2312" w:cs="仿宋_GB2312" w:eastAsia="仿宋_GB2312"/>
                      <w:sz w:val="22"/>
                      <w:color w:val="000000"/>
                    </w:rPr>
                    <w:t>2.5智慧农业-智能灌溉：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须支持温湿度传感器数据采集，并实时上传至云平台。云平台提供监测点列表显示（包括点位名称、温湿度），须支持批量灌溉操作，并提供灌溉策略配置功能，包括基准温度、湿度、灌水量及经验系数设置。</w:t>
                  </w:r>
                  <w:r>
                    <w:rPr>
                      <w:rFonts w:ascii="仿宋_GB2312" w:hAnsi="仿宋_GB2312" w:cs="仿宋_GB2312" w:eastAsia="仿宋_GB2312"/>
                      <w:sz w:val="22"/>
                      <w:color w:val="000000"/>
                    </w:rPr>
                    <w:t>APP端须实时显示土壤温湿度数据及灌溉状态，包括当前灌溉状态和灌溉时长；</w:t>
                  </w:r>
                  <w:r>
                    <w:br/>
                  </w:r>
                  <w:r>
                    <w:rPr>
                      <w:rFonts w:ascii="仿宋_GB2312" w:hAnsi="仿宋_GB2312" w:cs="仿宋_GB2312" w:eastAsia="仿宋_GB2312"/>
                      <w:sz w:val="22"/>
                      <w:color w:val="000000"/>
                    </w:rPr>
                    <w:t>2.6智慧农业-光强调节：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须支持光照传感器数据采集，并实时上传至云平台。云平台显示监测点列表（包括点位名称、光强），并须支持补光策略配置，包括补光阈值设置和光强变化时补光设备亮度调节。</w:t>
                  </w:r>
                  <w:r>
                    <w:rPr>
                      <w:rFonts w:ascii="仿宋_GB2312" w:hAnsi="仿宋_GB2312" w:cs="仿宋_GB2312" w:eastAsia="仿宋_GB2312"/>
                      <w:sz w:val="22"/>
                      <w:color w:val="000000"/>
                    </w:rPr>
                    <w:t>APP端须实时显示光照强度数据及补光设备亮度；</w:t>
                  </w:r>
                  <w:r>
                    <w:br/>
                  </w:r>
                  <w:r>
                    <w:rPr>
                      <w:rFonts w:ascii="仿宋_GB2312" w:hAnsi="仿宋_GB2312" w:cs="仿宋_GB2312" w:eastAsia="仿宋_GB2312"/>
                      <w:sz w:val="22"/>
                      <w:color w:val="000000"/>
                    </w:rPr>
                    <w:t>2.7智慧农业-作物环境监测：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须支持光照、温湿度、压强、</w:t>
                  </w:r>
                  <w:r>
                    <w:rPr>
                      <w:rFonts w:ascii="仿宋_GB2312" w:hAnsi="仿宋_GB2312" w:cs="仿宋_GB2312" w:eastAsia="仿宋_GB2312"/>
                      <w:sz w:val="22"/>
                      <w:color w:val="000000"/>
                    </w:rPr>
                    <w:t>CO₂传感器数据采集，并实时上传至云平台和APP端。云平台须提供监测点实时数据展示及历史曲线查询功能，包括光照、温度、湿度、压强、CO₂数据的按天或按小时统计曲线。APP端须实时显示各传感器数据；</w:t>
                  </w:r>
                  <w:r>
                    <w:br/>
                  </w:r>
                  <w:r>
                    <w:rPr>
                      <w:rFonts w:ascii="仿宋_GB2312" w:hAnsi="仿宋_GB2312" w:cs="仿宋_GB2312" w:eastAsia="仿宋_GB2312"/>
                      <w:sz w:val="22"/>
                      <w:color w:val="000000"/>
                    </w:rPr>
                    <w:t>3.实践案例资源要求：</w:t>
                  </w:r>
                  <w:r>
                    <w:br/>
                  </w:r>
                  <w:r>
                    <w:rPr>
                      <w:rFonts w:ascii="仿宋_GB2312" w:hAnsi="仿宋_GB2312" w:cs="仿宋_GB2312" w:eastAsia="仿宋_GB2312"/>
                      <w:sz w:val="20"/>
                    </w:rPr>
                    <w:t>▲</w:t>
                  </w:r>
                  <w:r>
                    <w:rPr>
                      <w:rFonts w:ascii="仿宋_GB2312" w:hAnsi="仿宋_GB2312" w:cs="仿宋_GB2312" w:eastAsia="仿宋_GB2312"/>
                      <w:sz w:val="22"/>
                      <w:color w:val="000000"/>
                    </w:rPr>
                    <w:t>3.1 鸿蒙设备开发实训资源包</w:t>
                  </w:r>
                  <w:r>
                    <w:br/>
                  </w:r>
                  <w:r>
                    <w:rPr>
                      <w:rFonts w:ascii="仿宋_GB2312" w:hAnsi="仿宋_GB2312" w:cs="仿宋_GB2312" w:eastAsia="仿宋_GB2312"/>
                      <w:sz w:val="22"/>
                      <w:color w:val="000000"/>
                    </w:rPr>
                    <w:t>资源包需提供不低于</w:t>
                  </w:r>
                  <w:r>
                    <w:rPr>
                      <w:rFonts w:ascii="仿宋_GB2312" w:hAnsi="仿宋_GB2312" w:cs="仿宋_GB2312" w:eastAsia="仿宋_GB2312"/>
                      <w:sz w:val="22"/>
                      <w:color w:val="000000"/>
                    </w:rPr>
                    <w:t>48 课时内容，PPT课件数量不少于30个，需包括以下内容：</w:t>
                  </w:r>
                  <w:r>
                    <w:br/>
                  </w:r>
                  <w:r>
                    <w:rPr>
                      <w:rFonts w:ascii="仿宋_GB2312" w:hAnsi="仿宋_GB2312" w:cs="仿宋_GB2312" w:eastAsia="仿宋_GB2312"/>
                      <w:sz w:val="22"/>
                      <w:color w:val="000000"/>
                    </w:rPr>
                    <w:t>1）鸿蒙系统介绍2）开发环境搭建3）鸿蒙系统内核解读4）内核基础应用5）移植6）国产化系统驱动开发7）通信模块8）综合实验：智慧工业之温湿度监控、智慧工业之红外感应自动照明、智慧工业之货物感应计数、智慧工业之引导车避障、智慧农业之智能灌溉、智慧农业之光强调节、智慧农业之作物环境监测；</w:t>
                  </w:r>
                  <w:r>
                    <w:br/>
                  </w:r>
                  <w:r>
                    <w:rPr>
                      <w:rFonts w:ascii="仿宋_GB2312" w:hAnsi="仿宋_GB2312" w:cs="仿宋_GB2312" w:eastAsia="仿宋_GB2312"/>
                      <w:sz w:val="20"/>
                    </w:rPr>
                    <w:t>▲</w:t>
                  </w:r>
                  <w:r>
                    <w:rPr>
                      <w:rFonts w:ascii="仿宋_GB2312" w:hAnsi="仿宋_GB2312" w:cs="仿宋_GB2312" w:eastAsia="仿宋_GB2312"/>
                      <w:sz w:val="22"/>
                      <w:color w:val="000000"/>
                    </w:rPr>
                    <w:t>3.2 鸿蒙应用开发实训资源包</w:t>
                  </w:r>
                  <w:r>
                    <w:br/>
                  </w:r>
                  <w:r>
                    <w:rPr>
                      <w:rFonts w:ascii="仿宋_GB2312" w:hAnsi="仿宋_GB2312" w:cs="仿宋_GB2312" w:eastAsia="仿宋_GB2312"/>
                      <w:sz w:val="22"/>
                      <w:color w:val="000000"/>
                    </w:rPr>
                    <w:t>资源包需提供不低于</w:t>
                  </w:r>
                  <w:r>
                    <w:rPr>
                      <w:rFonts w:ascii="仿宋_GB2312" w:hAnsi="仿宋_GB2312" w:cs="仿宋_GB2312" w:eastAsia="仿宋_GB2312"/>
                      <w:sz w:val="22"/>
                      <w:color w:val="000000"/>
                    </w:rPr>
                    <w:t>48 课时内容，PPT课件数量不少于30个，需包括以下内容：</w:t>
                  </w:r>
                  <w:r>
                    <w:br/>
                  </w:r>
                  <w:r>
                    <w:rPr>
                      <w:rFonts w:ascii="仿宋_GB2312" w:hAnsi="仿宋_GB2312" w:cs="仿宋_GB2312" w:eastAsia="仿宋_GB2312"/>
                      <w:sz w:val="22"/>
                      <w:color w:val="000000"/>
                    </w:rPr>
                    <w:t>1）国产化系统入门2）ArkUI 基础组件3）ArkUI容器组件4）UIAbility开发5）弹窗6）web组件7）Native C++8）数据管理9）软总线与设备互联10）网络管理11）一次开发，多端部署12）综合项目实践</w:t>
                  </w:r>
                  <w:r>
                    <w:br/>
                  </w:r>
                  <w:r>
                    <w:rPr>
                      <w:rFonts w:ascii="仿宋_GB2312" w:hAnsi="仿宋_GB2312" w:cs="仿宋_GB2312" w:eastAsia="仿宋_GB2312"/>
                      <w:sz w:val="22"/>
                      <w:color w:val="000000"/>
                    </w:rPr>
                    <w:t>3.3 OpenHarmony操作系统概述</w:t>
                  </w:r>
                  <w:r>
                    <w:br/>
                  </w:r>
                  <w:r>
                    <w:rPr>
                      <w:rFonts w:ascii="仿宋_GB2312" w:hAnsi="仿宋_GB2312" w:cs="仿宋_GB2312" w:eastAsia="仿宋_GB2312"/>
                      <w:sz w:val="22"/>
                      <w:color w:val="000000"/>
                    </w:rPr>
                    <w:t>需提供不低于</w:t>
                  </w:r>
                  <w:r>
                    <w:rPr>
                      <w:rFonts w:ascii="仿宋_GB2312" w:hAnsi="仿宋_GB2312" w:cs="仿宋_GB2312" w:eastAsia="仿宋_GB2312"/>
                      <w:sz w:val="22"/>
                      <w:color w:val="000000"/>
                    </w:rPr>
                    <w:t>48 课时内容，课件数量不少于12个，大纲要求如下：OpenHarmony操作系统的入门操作，以OpenHarmony轻量系统为例，详尽介绍内核开发与驱动开发，提供示例代码供学员运行学习；OpenHarmony操作系统基础性实操课程，帮助学员掌握基OpenHarmony操作系统的基本信息，帮助学员详细了解OpenHarmony操作系统的内核与驱动开发，手把手指导学员进行OpenHarmony操作系统的移植；OpenHarmony操作系统实操入门及进阶指导，为各类基于OpenHarmony的开发工作打下良好基础。</w:t>
                  </w:r>
                  <w:r>
                    <w:br/>
                  </w:r>
                  <w:r>
                    <w:rPr>
                      <w:rFonts w:ascii="仿宋_GB2312" w:hAnsi="仿宋_GB2312" w:cs="仿宋_GB2312" w:eastAsia="仿宋_GB2312"/>
                      <w:sz w:val="22"/>
                      <w:color w:val="000000"/>
                    </w:rPr>
                    <w:t>3.4 ArkTS 开发语言</w:t>
                  </w:r>
                  <w:r>
                    <w:br/>
                  </w:r>
                  <w:r>
                    <w:rPr>
                      <w:rFonts w:ascii="仿宋_GB2312" w:hAnsi="仿宋_GB2312" w:cs="仿宋_GB2312" w:eastAsia="仿宋_GB2312"/>
                      <w:sz w:val="22"/>
                      <w:color w:val="000000"/>
                    </w:rPr>
                    <w:t>需提供不低于</w:t>
                  </w:r>
                  <w:r>
                    <w:rPr>
                      <w:rFonts w:ascii="仿宋_GB2312" w:hAnsi="仿宋_GB2312" w:cs="仿宋_GB2312" w:eastAsia="仿宋_GB2312"/>
                      <w:sz w:val="22"/>
                      <w:color w:val="000000"/>
                    </w:rPr>
                    <w:t>48 课时内容，课件数量不少于30个，大纲要求如下：TypeScript基础：介绍TypeScript的基本概念、语法规则以及类型系统，帮助学员理解TypeScript相对于JavaScript的优势；ArkTS进阶：详细讲解ArkTS的特性和语法，包括类、接口、装饰器等高级概念，以及如何在鸿蒙应用中使用ArkTS进行开发；ArkUI组件与布局：介绍ArkUI提供的各种组件和布局方式，帮助学员掌握如何构建用户界面和交互逻辑；实战项目：通过一个完整的鸿蒙应用开发案例，让学员将所学知识应用到实际项目中，提升实践能力。</w:t>
                  </w:r>
                </w:p>
              </w:tc>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工业（制造业）</w:t>
                  </w: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信创基座教研实训箱</w:t>
                  </w:r>
                </w:p>
              </w:tc>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1.硬件产品参数要求：</w:t>
                  </w:r>
                  <w:r>
                    <w:br/>
                  </w:r>
                  <w:r>
                    <w:rPr>
                      <w:rFonts w:ascii="仿宋_GB2312" w:hAnsi="仿宋_GB2312" w:cs="仿宋_GB2312" w:eastAsia="仿宋_GB2312"/>
                      <w:sz w:val="22"/>
                      <w:b/>
                      <w:color w:val="000000"/>
                    </w:rPr>
                    <w:t>＃</w:t>
                  </w:r>
                  <w:r>
                    <w:rPr>
                      <w:rFonts w:ascii="仿宋_GB2312" w:hAnsi="仿宋_GB2312" w:cs="仿宋_GB2312" w:eastAsia="仿宋_GB2312"/>
                      <w:sz w:val="22"/>
                      <w:color w:val="000000"/>
                    </w:rPr>
                    <w:t>1.1外观结构：一体化可提式机身，可提式箱体；</w:t>
                  </w:r>
                  <w:r>
                    <w:br/>
                  </w:r>
                  <w:r>
                    <w:rPr>
                      <w:rFonts w:ascii="仿宋_GB2312" w:hAnsi="仿宋_GB2312" w:cs="仿宋_GB2312" w:eastAsia="仿宋_GB2312"/>
                      <w:sz w:val="22"/>
                      <w:color w:val="000000"/>
                    </w:rPr>
                    <w:t>1.2硬件配置：</w:t>
                  </w:r>
                  <w:r>
                    <w:rPr>
                      <w:rFonts w:ascii="仿宋_GB2312" w:hAnsi="仿宋_GB2312" w:cs="仿宋_GB2312" w:eastAsia="仿宋_GB2312"/>
                      <w:sz w:val="22"/>
                      <w:color w:val="000000"/>
                    </w:rPr>
                    <w:t>集成国产芯片</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8核，主频</w:t>
                  </w:r>
                  <w:r>
                    <w:rPr>
                      <w:rFonts w:ascii="仿宋_GB2312" w:hAnsi="仿宋_GB2312" w:cs="仿宋_GB2312" w:eastAsia="仿宋_GB2312"/>
                      <w:sz w:val="22"/>
                      <w:color w:val="000000"/>
                    </w:rPr>
                    <w:t>≥</w:t>
                  </w:r>
                  <w:r>
                    <w:rPr>
                      <w:rFonts w:ascii="仿宋_GB2312" w:hAnsi="仿宋_GB2312" w:cs="仿宋_GB2312" w:eastAsia="仿宋_GB2312"/>
                      <w:sz w:val="22"/>
                      <w:color w:val="000000"/>
                    </w:rPr>
                    <w:t>2.7GHz，</w:t>
                  </w:r>
                  <w:r>
                    <w:rPr>
                      <w:rFonts w:ascii="仿宋_GB2312" w:hAnsi="仿宋_GB2312" w:cs="仿宋_GB2312" w:eastAsia="仿宋_GB2312"/>
                      <w:sz w:val="22"/>
                      <w:color w:val="000000"/>
                    </w:rPr>
                    <w:t>支持中文界面，存储空间采用内存储器</w:t>
                  </w:r>
                  <w:r>
                    <w:rPr>
                      <w:rFonts w:ascii="仿宋_GB2312" w:hAnsi="仿宋_GB2312" w:cs="仿宋_GB2312" w:eastAsia="仿宋_GB2312"/>
                      <w:sz w:val="22"/>
                      <w:color w:val="000000"/>
                    </w:rPr>
                    <w:t>≥8G，外存储器</w:t>
                  </w:r>
                  <w:r>
                    <w:rPr>
                      <w:rFonts w:ascii="仿宋_GB2312" w:hAnsi="仿宋_GB2312" w:cs="仿宋_GB2312" w:eastAsia="仿宋_GB2312"/>
                      <w:sz w:val="22"/>
                      <w:color w:val="000000"/>
                    </w:rPr>
                    <w:t>≥</w:t>
                  </w:r>
                  <w:r>
                    <w:rPr>
                      <w:rFonts w:ascii="仿宋_GB2312" w:hAnsi="仿宋_GB2312" w:cs="仿宋_GB2312" w:eastAsia="仿宋_GB2312"/>
                      <w:sz w:val="22"/>
                      <w:color w:val="000000"/>
                    </w:rPr>
                    <w:t>512</w:t>
                  </w:r>
                  <w:r>
                    <w:rPr>
                      <w:rFonts w:ascii="仿宋_GB2312" w:hAnsi="仿宋_GB2312" w:cs="仿宋_GB2312" w:eastAsia="仿宋_GB2312"/>
                      <w:sz w:val="22"/>
                      <w:color w:val="000000"/>
                    </w:rPr>
                    <w:t>G</w:t>
                  </w:r>
                  <w:r>
                    <w:rPr>
                      <w:rFonts w:ascii="仿宋_GB2312" w:hAnsi="仿宋_GB2312" w:cs="仿宋_GB2312" w:eastAsia="仿宋_GB2312"/>
                      <w:sz w:val="22"/>
                      <w:color w:val="000000"/>
                    </w:rPr>
                    <w:t>的并行复合结构；搭载高清显示输出模块，支持集中供电，采用</w:t>
                  </w:r>
                  <w:r>
                    <w:rPr>
                      <w:rFonts w:ascii="仿宋_GB2312" w:hAnsi="仿宋_GB2312" w:cs="仿宋_GB2312" w:eastAsia="仿宋_GB2312"/>
                      <w:sz w:val="22"/>
                      <w:color w:val="000000"/>
                    </w:rPr>
                    <w:t>HDMI接口。</w:t>
                  </w:r>
                  <w:r>
                    <w:br/>
                  </w:r>
                  <w:r>
                    <w:rPr>
                      <w:rFonts w:ascii="仿宋_GB2312" w:hAnsi="仿宋_GB2312" w:cs="仿宋_GB2312" w:eastAsia="仿宋_GB2312"/>
                      <w:sz w:val="22"/>
                      <w:color w:val="000000"/>
                    </w:rPr>
                    <w:t>1.3环境配置：预装至少</w:t>
                  </w:r>
                  <w:r>
                    <w:rPr>
                      <w:rFonts w:ascii="仿宋_GB2312" w:hAnsi="仿宋_GB2312" w:cs="仿宋_GB2312" w:eastAsia="仿宋_GB2312"/>
                      <w:sz w:val="22"/>
                      <w:color w:val="000000"/>
                    </w:rPr>
                    <w:t>2种以上国产</w:t>
                  </w:r>
                  <w:r>
                    <w:rPr>
                      <w:rFonts w:ascii="仿宋_GB2312" w:hAnsi="仿宋_GB2312" w:cs="仿宋_GB2312" w:eastAsia="仿宋_GB2312"/>
                      <w:sz w:val="22"/>
                      <w:color w:val="000000"/>
                    </w:rPr>
                    <w:t>操作系统，可根据教学课程一键切换操作系统；</w:t>
                  </w:r>
                  <w:r>
                    <w:br/>
                  </w:r>
                  <w:r>
                    <w:rPr>
                      <w:rFonts w:ascii="仿宋_GB2312" w:hAnsi="仿宋_GB2312" w:cs="仿宋_GB2312" w:eastAsia="仿宋_GB2312"/>
                      <w:sz w:val="22"/>
                      <w:color w:val="000000"/>
                    </w:rPr>
                    <w:t>2.环境配置功能参数要求：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还原模式：支持每次启动还原、每隔时间段</w:t>
                  </w:r>
                  <w:r>
                    <w:rPr>
                      <w:rFonts w:ascii="仿宋_GB2312" w:hAnsi="仿宋_GB2312" w:cs="仿宋_GB2312" w:eastAsia="仿宋_GB2312"/>
                      <w:sz w:val="22"/>
                      <w:color w:val="000000"/>
                    </w:rPr>
                    <w:t>/每周/每月定点还原；不还原模式：支持每次启动不还原，临时保留保护分区新增数据；多系统管理：支持同一界面分别独立设置并运行多种国产操作系统；多架构支持：支持C86/ARM架构的操作系统环境；智慧对拷：支持将发送端数据同步到所有接收端，支持P2P、广播、组播、单播等多种对拷数据发送方式，支持断点续传、数据加密传输功能；文件分发：在国产桌面操作系统下，支持控制端对单个、多个或全部被控端批量下发不同类型的文件，下发时可选择覆盖已存在的文件、仅传输、传输并用关联程序打开、传输并打开目标文件夹、传输并安装程序（软件分发）不同操作；系统保护：支持多种国产操作系统独立启动，每个系统可以单独设置不还原/手动/自动/每次开机等还原策略。</w:t>
                  </w:r>
                  <w:r>
                    <w:br/>
                  </w:r>
                  <w:r>
                    <w:rPr>
                      <w:rFonts w:ascii="仿宋_GB2312" w:hAnsi="仿宋_GB2312" w:cs="仿宋_GB2312" w:eastAsia="仿宋_GB2312"/>
                      <w:sz w:val="22"/>
                      <w:color w:val="000000"/>
                    </w:rPr>
                    <w:t>3.平台功能参数要求：</w:t>
                  </w:r>
                  <w:r>
                    <w:br/>
                  </w:r>
                  <w:r>
                    <w:rPr>
                      <w:rFonts w:ascii="仿宋_GB2312" w:hAnsi="仿宋_GB2312" w:cs="仿宋_GB2312" w:eastAsia="仿宋_GB2312"/>
                      <w:sz w:val="22"/>
                      <w:b/>
                      <w:color w:val="000000"/>
                    </w:rPr>
                    <w:t>＃</w:t>
                  </w:r>
                  <w:r>
                    <w:rPr>
                      <w:rFonts w:ascii="仿宋_GB2312" w:hAnsi="仿宋_GB2312" w:cs="仿宋_GB2312" w:eastAsia="仿宋_GB2312"/>
                      <w:sz w:val="22"/>
                      <w:color w:val="000000"/>
                    </w:rPr>
                    <w:t>3.1 课程管理：以列表的形式呈现所有课程资源，在课程列表中 可查看课程名称、章节、知识点和课程简介等信息；</w:t>
                  </w:r>
                  <w:r>
                    <w:br/>
                  </w:r>
                  <w:r>
                    <w:rPr>
                      <w:rFonts w:ascii="仿宋_GB2312" w:hAnsi="仿宋_GB2312" w:cs="仿宋_GB2312" w:eastAsia="仿宋_GB2312"/>
                      <w:sz w:val="22"/>
                      <w:color w:val="000000"/>
                    </w:rPr>
                    <w:t>3.2课程详情：可查看每门课程的详情，包括学习任务、参考资料、题库等；</w:t>
                  </w:r>
                  <w:r>
                    <w:br/>
                  </w:r>
                  <w:r>
                    <w:rPr>
                      <w:rFonts w:ascii="仿宋_GB2312" w:hAnsi="仿宋_GB2312" w:cs="仿宋_GB2312" w:eastAsia="仿宋_GB2312"/>
                      <w:sz w:val="22"/>
                      <w:color w:val="000000"/>
                    </w:rPr>
                    <w:t>3.3 新建课程：以向导的形式对课程名称、专业分类、课程简介、课程封面、课程大纲、章节目录、小节添加编辑；</w:t>
                  </w:r>
                  <w:r>
                    <w:br/>
                  </w:r>
                  <w:r>
                    <w:rPr>
                      <w:rFonts w:ascii="仿宋_GB2312" w:hAnsi="仿宋_GB2312" w:cs="仿宋_GB2312" w:eastAsia="仿宋_GB2312"/>
                      <w:sz w:val="22"/>
                      <w:color w:val="000000"/>
                    </w:rPr>
                    <w:t>3.4新建章节：支持章节目录的创建。小节学习任务支持文档类、视频类和实验类等三种不同形式的学习任务；</w:t>
                  </w:r>
                  <w:r>
                    <w:br/>
                  </w:r>
                  <w:r>
                    <w:rPr>
                      <w:rFonts w:ascii="仿宋_GB2312" w:hAnsi="仿宋_GB2312" w:cs="仿宋_GB2312" w:eastAsia="仿宋_GB2312"/>
                      <w:sz w:val="22"/>
                      <w:color w:val="000000"/>
                    </w:rPr>
                    <w:t>3.5我的作业：学生端提供浏览我的作业功能，并可通过列表查看和提交、查询等。教师端支持在线批阅作业，并对主观题进行打分、客观题自动评分、导出作业成绩等功能；</w:t>
                  </w:r>
                  <w:r>
                    <w:br/>
                  </w:r>
                  <w:r>
                    <w:rPr>
                      <w:rFonts w:ascii="仿宋_GB2312" w:hAnsi="仿宋_GB2312" w:cs="仿宋_GB2312" w:eastAsia="仿宋_GB2312"/>
                      <w:sz w:val="22"/>
                      <w:color w:val="000000"/>
                    </w:rPr>
                    <w:t>3.6 我的笔记：支持学生账号下新增笔记和批量删除笔记功能；</w:t>
                  </w:r>
                  <w:r>
                    <w:br/>
                  </w:r>
                  <w:r>
                    <w:rPr>
                      <w:rFonts w:ascii="仿宋_GB2312" w:hAnsi="仿宋_GB2312" w:cs="仿宋_GB2312" w:eastAsia="仿宋_GB2312"/>
                      <w:sz w:val="22"/>
                      <w:color w:val="000000"/>
                    </w:rPr>
                    <w:t>3.7 参考资料库：提供参考资料库管理功能；</w:t>
                  </w:r>
                  <w:r>
                    <w:br/>
                  </w:r>
                  <w:r>
                    <w:rPr>
                      <w:rFonts w:ascii="仿宋_GB2312" w:hAnsi="仿宋_GB2312" w:cs="仿宋_GB2312" w:eastAsia="仿宋_GB2312"/>
                      <w:sz w:val="22"/>
                      <w:color w:val="000000"/>
                    </w:rPr>
                    <w:t>3.8 题库管理：提供题库的统一管理和新增题目功能，支持的题型应涵盖单选、多选、判断、填空、简答等多类题型；</w:t>
                  </w:r>
                  <w:r>
                    <w:br/>
                  </w:r>
                  <w:r>
                    <w:rPr>
                      <w:rFonts w:ascii="仿宋_GB2312" w:hAnsi="仿宋_GB2312" w:cs="仿宋_GB2312" w:eastAsia="仿宋_GB2312"/>
                      <w:sz w:val="22"/>
                      <w:color w:val="000000"/>
                    </w:rPr>
                    <w:t>3.9 作业管理：支持作业管理功能，提供浏览、查询学生提交的作业，并支持客观题自动评分和主观题手动评分，导出作业成绩；</w:t>
                  </w:r>
                  <w:r>
                    <w:br/>
                  </w:r>
                  <w:r>
                    <w:rPr>
                      <w:rFonts w:ascii="仿宋_GB2312" w:hAnsi="仿宋_GB2312" w:cs="仿宋_GB2312" w:eastAsia="仿宋_GB2312"/>
                      <w:sz w:val="22"/>
                      <w:b/>
                      <w:color w:val="000000"/>
                    </w:rPr>
                    <w:t>＃</w:t>
                  </w:r>
                  <w:r>
                    <w:rPr>
                      <w:rFonts w:ascii="仿宋_GB2312" w:hAnsi="仿宋_GB2312" w:cs="仿宋_GB2312" w:eastAsia="仿宋_GB2312"/>
                      <w:sz w:val="22"/>
                      <w:color w:val="000000"/>
                    </w:rPr>
                    <w:t>3.10 课程数据分析：支持以曲线图的形式展示基于日期为单位统计每天系统中已发布和待发布的课程数；</w:t>
                  </w:r>
                  <w:r>
                    <w:br/>
                  </w:r>
                  <w:r>
                    <w:rPr>
                      <w:rFonts w:ascii="仿宋_GB2312" w:hAnsi="仿宋_GB2312" w:cs="仿宋_GB2312" w:eastAsia="仿宋_GB2312"/>
                      <w:sz w:val="22"/>
                      <w:color w:val="000000"/>
                    </w:rPr>
                    <w:t>3.11 当前在线人员统计：支持以饼状图对系统在线人数、在线学习人数、离线人数的占比情况进行数据的统计；</w:t>
                  </w:r>
                  <w:r>
                    <w:br/>
                  </w:r>
                  <w:r>
                    <w:rPr>
                      <w:rFonts w:ascii="仿宋_GB2312" w:hAnsi="仿宋_GB2312" w:cs="仿宋_GB2312" w:eastAsia="仿宋_GB2312"/>
                      <w:sz w:val="22"/>
                      <w:b/>
                      <w:color w:val="000000"/>
                    </w:rPr>
                    <w:t>＃</w:t>
                  </w:r>
                  <w:r>
                    <w:rPr>
                      <w:rFonts w:ascii="仿宋_GB2312" w:hAnsi="仿宋_GB2312" w:cs="仿宋_GB2312" w:eastAsia="仿宋_GB2312"/>
                      <w:sz w:val="22"/>
                      <w:color w:val="000000"/>
                    </w:rPr>
                    <w:t>3.12 教师开课进度分析：支持教师用户通过进度条百分比的形式实时查看其课程中的开课学习进度；</w:t>
                  </w:r>
                  <w:r>
                    <w:br/>
                  </w:r>
                  <w:r>
                    <w:rPr>
                      <w:rFonts w:ascii="仿宋_GB2312" w:hAnsi="仿宋_GB2312" w:cs="仿宋_GB2312" w:eastAsia="仿宋_GB2312"/>
                      <w:sz w:val="22"/>
                      <w:b/>
                      <w:color w:val="000000"/>
                    </w:rPr>
                    <w:t>＃</w:t>
                  </w:r>
                  <w:r>
                    <w:rPr>
                      <w:rFonts w:ascii="仿宋_GB2312" w:hAnsi="仿宋_GB2312" w:cs="仿宋_GB2312" w:eastAsia="仿宋_GB2312"/>
                      <w:sz w:val="22"/>
                      <w:color w:val="000000"/>
                    </w:rPr>
                    <w:t>3.13 学生学习进度统计：支持学生用户通过进度条百分比的形式实时查看每门课程的学习进度；</w:t>
                  </w:r>
                  <w:r>
                    <w:br/>
                  </w:r>
                  <w:r>
                    <w:rPr>
                      <w:rFonts w:ascii="仿宋_GB2312" w:hAnsi="仿宋_GB2312" w:cs="仿宋_GB2312" w:eastAsia="仿宋_GB2312"/>
                      <w:sz w:val="22"/>
                      <w:color w:val="000000"/>
                    </w:rPr>
                    <w:t>3.14 人员管理：支持对管理员、教师和学生账号进行新增、编辑、删除功能，并支持对账号的状态进行启用和停用设置；系统管理：支持对系统的名称、色调、logo进行设置，还支持班级管理、学院管理、专业管理等功能。</w:t>
                  </w:r>
                  <w:r>
                    <w:br/>
                  </w:r>
                  <w:r>
                    <w:rPr>
                      <w:rFonts w:ascii="仿宋_GB2312" w:hAnsi="仿宋_GB2312" w:cs="仿宋_GB2312" w:eastAsia="仿宋_GB2312"/>
                      <w:sz w:val="22"/>
                      <w:color w:val="000000"/>
                    </w:rPr>
                    <w:t>4.实践案例资源要求：</w:t>
                  </w:r>
                  <w:r>
                    <w:br/>
                  </w:r>
                  <w:r>
                    <w:rPr>
                      <w:rFonts w:ascii="仿宋_GB2312" w:hAnsi="仿宋_GB2312" w:cs="仿宋_GB2312" w:eastAsia="仿宋_GB2312"/>
                      <w:sz w:val="22"/>
                      <w:color w:val="000000"/>
                    </w:rPr>
                    <w:t>4.1 信创桌面操作系统高级应用实践</w:t>
                  </w:r>
                  <w:r>
                    <w:br/>
                  </w:r>
                  <w:r>
                    <w:rPr>
                      <w:rFonts w:ascii="仿宋_GB2312" w:hAnsi="仿宋_GB2312" w:cs="仿宋_GB2312" w:eastAsia="仿宋_GB2312"/>
                      <w:sz w:val="22"/>
                      <w:color w:val="000000"/>
                    </w:rPr>
                    <w:t>4.1.1实训大纲数量：≥1套，需包含如下内容：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操作系统安装、系统调试与终端常用命令、文件和目录管理、用户和组管理、权限与所有权管理、软件包管理、网络管理、系统服务管理、常见问题排查与解决方案；</w:t>
                  </w:r>
                  <w:r>
                    <w:br/>
                  </w:r>
                  <w:r>
                    <w:rPr>
                      <w:rFonts w:ascii="仿宋_GB2312" w:hAnsi="仿宋_GB2312" w:cs="仿宋_GB2312" w:eastAsia="仿宋_GB2312"/>
                      <w:sz w:val="22"/>
                      <w:color w:val="000000"/>
                    </w:rPr>
                    <w:t>4.1.2 实训资源：≥ 45个视频 每个视频5-20分钟；配套实训PPT，数量：≥9套；考试大纲，数量：≥1套；考试题库，数量：≥100道；电子版教材，数量：≥1套；实战案例数量：≥15个，需包含如下内容：</w:t>
                  </w:r>
                  <w:r>
                    <w:rPr>
                      <w:rFonts w:ascii="仿宋_GB2312" w:hAnsi="仿宋_GB2312" w:cs="仿宋_GB2312" w:eastAsia="仿宋_GB2312"/>
                      <w:sz w:val="22"/>
                      <w:color w:val="000000"/>
                    </w:rPr>
                    <w:t>国产操作系统</w:t>
                  </w:r>
                  <w:r>
                    <w:rPr>
                      <w:rFonts w:ascii="仿宋_GB2312" w:hAnsi="仿宋_GB2312" w:cs="仿宋_GB2312" w:eastAsia="仿宋_GB2312"/>
                      <w:sz w:val="22"/>
                      <w:color w:val="000000"/>
                    </w:rPr>
                    <w:t>安装及启动项修复实战、重置系统密码与数据盘挂载恢复实战、企业有线</w:t>
                  </w:r>
                  <w:r>
                    <w:rPr>
                      <w:rFonts w:ascii="仿宋_GB2312" w:hAnsi="仿宋_GB2312" w:cs="仿宋_GB2312" w:eastAsia="仿宋_GB2312"/>
                      <w:sz w:val="22"/>
                      <w:color w:val="000000"/>
                    </w:rPr>
                    <w:t>/无线网络切换与VPN连接故障排查实战、跨平台文件共享服务搭建与访问故障排除</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4.2信创服务器系统服务部署与管理</w:t>
                  </w:r>
                  <w:r>
                    <w:br/>
                  </w:r>
                  <w:r>
                    <w:rPr>
                      <w:rFonts w:ascii="仿宋_GB2312" w:hAnsi="仿宋_GB2312" w:cs="仿宋_GB2312" w:eastAsia="仿宋_GB2312"/>
                      <w:sz w:val="22"/>
                      <w:color w:val="000000"/>
                    </w:rPr>
                    <w:t>4.2.1实训大纲数量:≥1套，需包含如下内容：</w:t>
                  </w:r>
                  <w:r>
                    <w:br/>
                  </w:r>
                  <w:r>
                    <w:rPr>
                      <w:rFonts w:ascii="仿宋_GB2312" w:hAnsi="仿宋_GB2312" w:cs="仿宋_GB2312" w:eastAsia="仿宋_GB2312"/>
                      <w:sz w:val="22"/>
                      <w:color w:val="000000"/>
                    </w:rPr>
                    <w:t>HTTP服务、Apache /Tomcat服务配置、Nginx服务部署、Nginx+Tomcat应用架构、Squid 代理服务、HA 集群与负载均衡和LVS(LinuxVirtual Server)服务、iSCSI企业级存储网络部署与管理、Samba服务&amp;DNS服务部署及应用、DHCP服务部署与应用、NFS服务部署及应用、FTP服务部署及应用、数据库服务部署、高级网络安全与合规性管理、KVM虚拟机管理、Ansible管理；</w:t>
                  </w:r>
                  <w:r>
                    <w:br/>
                  </w:r>
                  <w:r>
                    <w:rPr>
                      <w:rFonts w:ascii="仿宋_GB2312" w:hAnsi="仿宋_GB2312" w:cs="仿宋_GB2312" w:eastAsia="仿宋_GB2312"/>
                      <w:sz w:val="22"/>
                      <w:color w:val="000000"/>
                    </w:rPr>
                    <w:t>4.2.2实训资源：≥80个视频，每个视频5-20分钟；配套实训PPT，数量：≥15套；考试大纲，数量：≥1套；考试题库，数量：≥100道；电子版教材，数量：≥1套；实战案例数量：≥15个，需包含如下内容：基于Java开发资源管理系统项目部署实验、基于SpringBoot框架项目</w:t>
                  </w:r>
                  <w:r>
                    <w:rPr>
                      <w:rFonts w:ascii="仿宋_GB2312" w:hAnsi="仿宋_GB2312" w:cs="仿宋_GB2312" w:eastAsia="仿宋_GB2312"/>
                      <w:sz w:val="22"/>
                      <w:color w:val="000000"/>
                    </w:rPr>
                    <w:t>实验</w:t>
                  </w:r>
                  <w:r>
                    <w:rPr>
                      <w:rFonts w:ascii="仿宋_GB2312" w:hAnsi="仿宋_GB2312" w:cs="仿宋_GB2312" w:eastAsia="仿宋_GB2312"/>
                      <w:sz w:val="22"/>
                      <w:color w:val="000000"/>
                    </w:rPr>
                    <w:t>、基于国产操作系统</w:t>
                  </w:r>
                  <w:r>
                    <w:rPr>
                      <w:rFonts w:ascii="仿宋_GB2312" w:hAnsi="仿宋_GB2312" w:cs="仿宋_GB2312" w:eastAsia="仿宋_GB2312"/>
                      <w:sz w:val="22"/>
                      <w:color w:val="000000"/>
                    </w:rPr>
                    <w:t>SAN网络存储实践、基于国产操作系统DHCP中继服务实践、高并发Web应用Session共享集群部署实验、资源管理系统防盗链与域名重定向配置实验、上网行为管理传统代理部署、透明代理与ACL访问控制策略实施、管理系统NFS网络存储共享实验、安全配置与防火墙集成实验、</w:t>
                  </w:r>
                  <w:r>
                    <w:rPr>
                      <w:rFonts w:ascii="仿宋_GB2312" w:hAnsi="仿宋_GB2312" w:cs="仿宋_GB2312" w:eastAsia="仿宋_GB2312"/>
                      <w:sz w:val="22"/>
                      <w:color w:val="000000"/>
                    </w:rPr>
                    <w:t>W</w:t>
                  </w:r>
                  <w:r>
                    <w:rPr>
                      <w:rFonts w:ascii="仿宋_GB2312" w:hAnsi="仿宋_GB2312" w:cs="仿宋_GB2312" w:eastAsia="仿宋_GB2312"/>
                      <w:sz w:val="22"/>
                      <w:color w:val="000000"/>
                    </w:rPr>
                    <w:t>eb项目中数据库的备份与恢复、云平台KVM虚拟机批量创建与管理实验、业务系统虚拟机快照与镜像备份恢复实验、多节点Web集群自动化部署实验；</w:t>
                  </w:r>
                  <w:r>
                    <w:br/>
                  </w:r>
                  <w:r>
                    <w:rPr>
                      <w:rFonts w:ascii="仿宋_GB2312" w:hAnsi="仿宋_GB2312" w:cs="仿宋_GB2312" w:eastAsia="仿宋_GB2312"/>
                      <w:sz w:val="22"/>
                      <w:color w:val="000000"/>
                    </w:rPr>
                    <w:t>4.3信创操作系统应用开发</w:t>
                  </w:r>
                  <w:r>
                    <w:br/>
                  </w:r>
                  <w:r>
                    <w:rPr>
                      <w:rFonts w:ascii="仿宋_GB2312" w:hAnsi="仿宋_GB2312" w:cs="仿宋_GB2312" w:eastAsia="仿宋_GB2312"/>
                      <w:sz w:val="22"/>
                      <w:color w:val="000000"/>
                    </w:rPr>
                    <w:t>4.3.1 实训大纲数量:≥1套，需包含如下内容：</w:t>
                  </w:r>
                  <w:r>
                    <w:br/>
                  </w:r>
                  <w:r>
                    <w:rPr>
                      <w:rFonts w:ascii="仿宋_GB2312" w:hAnsi="仿宋_GB2312" w:cs="仿宋_GB2312" w:eastAsia="仿宋_GB2312"/>
                      <w:sz w:val="22"/>
                      <w:color w:val="000000"/>
                    </w:rPr>
                    <w:t>Qt概述、Qt开发环境、Qt元对象系统、Qt中的信号和槽机制、Qt编程基础、Qt窗口设计、Qt对话框、Qt常用控件、Qt布局管理器、Qt中的事件处理、绘图和绘图设备、图形视图框架、QT中文件操作</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▲4.3.2实训资源：≥ 60 个视频，每个视频3-20分钟；配套实训PPT，数量：≥13套；考试大纲，数量：≥1套；考试题库，数量：≥50道；电子版教材，数量：≥1套；实战案例≥10个：需包含以下内容：Qt开发环境配置与Hello World程序、信号槽机制实践：计算圆球体积、字符串处理与容器类应用工具、记事本应用（菜单/工具栏/状态栏）、用户登录对话框设计、学生信息录入表单（常用控件与布局）、图形绘制程序（直线、矩形、文本等）、鼠标事件绘图板、计算器界面设计与实现、增强版记事本（文件打开、保存、INI配置读写）。</w:t>
                  </w:r>
                  <w:r>
                    <w:br/>
                  </w:r>
                  <w:r>
                    <w:rPr>
                      <w:rFonts w:ascii="仿宋_GB2312" w:hAnsi="仿宋_GB2312" w:cs="仿宋_GB2312" w:eastAsia="仿宋_GB2312"/>
                      <w:sz w:val="22"/>
                      <w:color w:val="000000"/>
                    </w:rPr>
                    <w:t>4.4信创数据库应用技术</w:t>
                  </w:r>
                  <w:r>
                    <w:br/>
                  </w:r>
                  <w:r>
                    <w:rPr>
                      <w:rFonts w:ascii="仿宋_GB2312" w:hAnsi="仿宋_GB2312" w:cs="仿宋_GB2312" w:eastAsia="仿宋_GB2312"/>
                      <w:sz w:val="22"/>
                      <w:color w:val="000000"/>
                    </w:rPr>
                    <w:t>4.4.1 实训大纲数量:≥1套，需包含如下内容：数据库概述、数据库安装与卸载、数据库常用对象管理、数据库查询与操作、数据库高级对象管理、数据库安全管理、数据库备份还原、数据库作业管理、数据库表操作；</w:t>
                  </w:r>
                  <w:r>
                    <w:br/>
                  </w:r>
                  <w:r>
                    <w:rPr>
                      <w:rFonts w:ascii="仿宋_GB2312" w:hAnsi="仿宋_GB2312" w:cs="仿宋_GB2312" w:eastAsia="仿宋_GB2312"/>
                      <w:sz w:val="22"/>
                      <w:color w:val="000000"/>
                    </w:rPr>
                    <w:t>▲4.4.2实训资源：≥25个视频，每个视频3-20分钟；配套实训PPT，数量：≥8套；考试大纲，数量：≥1套；考试题库，数量：≥50道；电子版教材，数量：≥1套；实战案例≥5，需包含以下内容：数据库在</w:t>
                  </w:r>
                  <w:r>
                    <w:rPr>
                      <w:rFonts w:ascii="仿宋_GB2312" w:hAnsi="仿宋_GB2312" w:cs="仿宋_GB2312" w:eastAsia="仿宋_GB2312"/>
                      <w:sz w:val="22"/>
                      <w:color w:val="000000"/>
                    </w:rPr>
                    <w:t>国产化</w:t>
                  </w:r>
                  <w:r>
                    <w:rPr>
                      <w:rFonts w:ascii="仿宋_GB2312" w:hAnsi="仿宋_GB2312" w:cs="仿宋_GB2312" w:eastAsia="仿宋_GB2312"/>
                      <w:sz w:val="22"/>
                      <w:color w:val="000000"/>
                    </w:rPr>
                    <w:t>操作系统上的安装与实例创建、表空间规划与业务数据表管理、多表关联与复杂业务查询实现、基于角色的数据库用户权限体系配置、数据库物理备份与灾难恢复演练。</w:t>
                  </w:r>
                </w:p>
              </w:tc>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工业（制造业）</w:t>
                  </w: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32"/>
                  <w:vMerge/>
                  <w:tcBorders>
                    <w:top w:val="none" w:color="000000" w:sz="4"/>
                    <w:left w:val="single" w:color="000000" w:sz="4"/>
                    <w:bottom w:val="single" w:color="000000" w:sz="4"/>
                    <w:right w:val="single" w:color="000000" w:sz="4"/>
                  </w:tcBorders>
                </w:tcPr>
                <w:p/>
              </w:tc>
              <w:tc>
                <w:tcPr>
                  <w:tcW w:type="dxa" w:w="1756"/>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w:t>
                  </w:r>
                  <w:r>
                    <w:rPr>
                      <w:rFonts w:ascii="仿宋_GB2312" w:hAnsi="仿宋_GB2312" w:cs="仿宋_GB2312" w:eastAsia="仿宋_GB2312"/>
                      <w:sz w:val="22"/>
                      <w:color w:val="000000"/>
                    </w:rPr>
                    <w:t>AP</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1.无线标准：支持IEEE 802.11a/b/g/n/ac/ac或802.11ax；</w:t>
                  </w:r>
                  <w:r>
                    <w:br/>
                  </w:r>
                  <w:r>
                    <w:rPr>
                      <w:rFonts w:ascii="仿宋_GB2312" w:hAnsi="仿宋_GB2312" w:cs="仿宋_GB2312" w:eastAsia="仿宋_GB2312"/>
                      <w:sz w:val="22"/>
                      <w:color w:val="000000"/>
                    </w:rPr>
                    <w:t>2.最高传输速率：≥1775Mbps；频段：支持2.4GHz 和5GHz双频；</w:t>
                  </w:r>
                  <w:r>
                    <w:br/>
                  </w:r>
                  <w:r>
                    <w:rPr>
                      <w:rFonts w:ascii="仿宋_GB2312" w:hAnsi="仿宋_GB2312" w:cs="仿宋_GB2312" w:eastAsia="仿宋_GB2312"/>
                      <w:sz w:val="22"/>
                      <w:color w:val="000000"/>
                    </w:rPr>
                    <w:t>3.网络接口：≥1个10/100/1000Mbps自适应以太网口（RJ45），支持PoE受电；安装方式：支持吸顶、壁挂；</w:t>
                  </w:r>
                  <w:r>
                    <w:br/>
                  </w:r>
                  <w:r>
                    <w:rPr>
                      <w:rFonts w:ascii="仿宋_GB2312" w:hAnsi="仿宋_GB2312" w:cs="仿宋_GB2312" w:eastAsia="仿宋_GB2312"/>
                      <w:sz w:val="21"/>
                    </w:rPr>
                    <w:t>★</w:t>
                  </w:r>
                  <w:r>
                    <w:rPr>
                      <w:rFonts w:ascii="仿宋_GB2312" w:hAnsi="仿宋_GB2312" w:cs="仿宋_GB2312" w:eastAsia="仿宋_GB2312"/>
                      <w:sz w:val="22"/>
                      <w:color w:val="000000"/>
                    </w:rPr>
                    <w:t>4.安全法规：符合GB 4943.1国家强制性产品认证标准；</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工业（制造业）</w:t>
                  </w:r>
                </w:p>
              </w:tc>
            </w:tr>
          </w:tbl>
          <w:p>
            <w:pPr>
              <w:pStyle w:val="null3"/>
              <w:jc w:val="both"/>
            </w:pPr>
            <w:r>
              <w:rPr>
                <w:rFonts w:ascii="仿宋_GB2312" w:hAnsi="仿宋_GB2312" w:cs="仿宋_GB2312" w:eastAsia="仿宋_GB2312"/>
                <w:sz w:val="22"/>
                <w:color w:val="000000"/>
              </w:rPr>
              <w:t>注：</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”号技术指标需</w:t>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包括但不限于实物</w:t>
            </w:r>
            <w:r>
              <w:rPr>
                <w:rFonts w:ascii="仿宋_GB2312" w:hAnsi="仿宋_GB2312" w:cs="仿宋_GB2312" w:eastAsia="仿宋_GB2312"/>
                <w:sz w:val="22"/>
                <w:color w:val="000000"/>
              </w:rPr>
              <w:t>图片或产品彩页或技术白皮书或检测报告或官网截图证明材料予以佐证。</w:t>
            </w:r>
            <w:r>
              <w:rPr>
                <w:rFonts w:ascii="仿宋_GB2312" w:hAnsi="仿宋_GB2312" w:cs="仿宋_GB2312" w:eastAsia="仿宋_GB2312"/>
                <w:sz w:val="22"/>
                <w:color w:val="000000"/>
              </w:rPr>
              <w:t>“＃”号技术指标需</w:t>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现场视频或真实系统演示。</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自合同签订后60个日历日内安装调试完成并交付验收；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陕西学前师范学院指定地点；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付款前，中标人须向采购人开具等额的增值税专用发票，合同签订后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按照招标文件要求、投标文件响应、安全标准及合同约定验收，标准符合国家和行业要求。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1）供应商必须保证提供的设备是通过正常渠道获得的、全新的、未使用过的合格产品；其有关知识产权、技术、专利、检 验、商务等均要符合中华人民共和国的有关法律、法规；中标人必须承担因所供设备而引起的全部法律责任。 2）整个项目质保期自验收之日起不得少于3 年（含软件迭代升级服务,设备升级后要求与原系统兼容），供应商承诺的质保时间超过上述要求的，按其承诺时间执行。质保期内中标人应提供维修服务及本项目中货物的维修所需零配件，质保期内维修或更换产生的材料费及人工费属于质保范畴不再单独收费；质保期满后，中标人负责有偿维修，货物维修更换的零部件只收取材料成本费用。 3）售后服务及培训要求： 1.中标人负责设备安装交付，保证设备在进行安装运行等过程中损坏的或有缺陷的部件可方便地得到修理和更换，质量保证期内的维护、修理及软件系统的维护升级，以及质量保证期后的维护指导和终身维修等； 2.保修期内，供应商提供7×12小时不间断的全天侯技术服务电话支持。通过电话等技术支持服务方式无法解决问题时，供应商项目管理组应派技术服务人员，在24小时内到达现场，48小时内排除故障。若48小时内未解决，供应商须提供与原货物相同或不低于原货物档次的备用货物。否则，采购人将采取必要的补救措施，以保证采购人教学工作的正常进行。由此产生的风险和费用将由供应商承担。 3. 设备安装调试完毕后，提供设备常规保养和维护的日程表，并对前2-3次的常规维护提供现场技术支持。中标人的技术人员必须对项目单位的设备使用人员进行操作应用、安全防护及维护保养方面的技能培训。培训指导承诺在设备交付使用后，中标单位应在用户处对用户的操作人员和维护人员进行培训，培训内容包括但不限于仪器结构介绍、仪器使用操作、基本制样方法、日常保养及维护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仲裁费应由败诉方负担。在仲裁期间，除正在进行仲裁部分外，合同其他部分继续执行，具体见招标文件。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1）本项目需满足学校信息化规范要求： 鸿蒙国产化技术应用开发实验室项目中，信创基座教研实训箱等核心实训设备的数据管理、数据安全、数据标准及维保服务，须严格遵循《陕西学前师范学院信息化项目建设管理办法（试行）》（陕师院综〔2021〕26 号）及学校信息化项目建设数据规范相关规定，具体要求如下： 1.数据资产要求 本项目所产生、采集、存储、处理的全部数据资产所有权归陕西学前师范学院所有。未经学校书面授权，中标人及任何第三方不得将上述数据用于本项目以外的任何用途，不得擅自泄露、提供、转让或授权第三方使用。 2.数据安全要求 项目建设须符合学校数据中心平台技术要求及信息安全等级保护相关规定。中标人须与学校签订《信息系统数据保密协议书》，无条件配合学校完成信息系统的等保定级、备案、测评及整改工作，保障系统与数据安全。 3.数据标准要求 项目建设须严格执行《陕西学前师范学院信息系统数据标准（试行）》。若项目实施过程中形成的新增数据标准，须完整提交学校，用于学校数据标准体系扩充，确保与学校整体数据标准兼容、统一。 4.维保服务要求 本项目须提供不少于 3 年免费售后维保服务，维保范围包含设备维修、配件更换、系统升级、技术支持与现场服务等，保障设备与平台稳定运行。 2）因系统固化原因本项目采购标的及核心产品以3.3技术要求中为准； 3）本国产品价格扣除：根据《国务院办公厅关于在政府采购中实施本国产品标准及相关政策的通知》国办发〔2025〕34号，符合本国产品标准的可享受价格扣除。 4）3.4商务要求及3.5其他要求不允许负偏离。 5)本项目技术负责人邓老师 029-81530131。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一）评标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根据招标文件评标办法的规定进行评标，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标现场可不再重复提交。 备注：第一项审查流程及内容以本项为准。</w:t>
            </w:r>
          </w:p>
        </w:tc>
        <w:tc>
          <w:tcPr>
            <w:tcW w:type="dxa" w:w="3322"/>
          </w:tcPr>
          <w:p>
            <w:pPr>
              <w:pStyle w:val="null3"/>
            </w:pPr>
            <w:r>
              <w:rPr>
                <w:rFonts w:ascii="仿宋_GB2312" w:hAnsi="仿宋_GB2312" w:cs="仿宋_GB2312" w:eastAsia="仿宋_GB2312"/>
              </w:rPr>
              <w:t>（一）评标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根据招标文件评标办法的规定进行评标，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标现场可不再重复提交。 备注：第一项审查流程及内容以本项为准。</w:t>
            </w:r>
          </w:p>
        </w:tc>
        <w:tc>
          <w:tcPr>
            <w:tcW w:type="dxa" w:w="1661"/>
          </w:tcPr>
          <w:p>
            <w:pPr>
              <w:pStyle w:val="null3"/>
            </w:pPr>
            <w:r>
              <w:rPr>
                <w:rFonts w:ascii="仿宋_GB2312" w:hAnsi="仿宋_GB2312" w:cs="仿宋_GB2312" w:eastAsia="仿宋_GB2312"/>
              </w:rPr>
              <w:t>附件--关于符合本国产品标准的声明函.docx 产品技术响应表.docx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1.投标产品的技术指标和功能中“★”号技术指标为实质性要求，不满足视为无效投标文件。 2.投标产品的技术指标和功能中，“▲”号技术指标完全满足招标文件要求计10分，“▲”号技术指标每有一条负偏离扣2分，扣完为止。 3.投标产品的技术指标和功能中，“＃”号技术指标完全满足招标文件要求计10分，“＃”号技术指标每有一条负偏离扣2分，扣完为止。“＃”号标识的为需要演示的内容，投标人采用视频或真实系统按要求到达代理机构单位（西安市高新区唐延路35号旺座现代城G座2301室）现场进行演示，PPT、图片等演示不得分。 4.投标产品的技术指标和功能中非 “▲”、“＃”号技术指标完全满足招标文件要求计20分，每有一条负偏离扣0.5分，扣完为止。 注：以一级序号阿拉伯数字（如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产品技术响应表.docx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技术能力：②货源组织、运输方案；③实施进度保障措施；④质量保障措施。方案内容完全响应招标文件要求的得10分；方案中每有一项内容缺失扣2.5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投标产品业绩（至少包含鸿蒙全场景实训箱或信创基座教研实训箱），每提供1个得1分，最高得5分。（提供产品合同及发票复印件，以合同签订时间为准，合同需体现产品相关等信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售后响应时间；③备品、配件保障措施、④售后巡查及维护安排。方案内容完全响应招标文件要求的得6分；方案中每有一项内容缺失扣1.5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详见附件：产品技术响应表.docx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