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版本号：GD-2026-1320260508001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2026年度图书馆中文纸质图书采购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GD-2026-13</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2026年度图书馆中文纸质图书采购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2026年度图书馆中文纸质图书采购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本项目主要采购2024年1月之后出版发行的正版纸质图书。图书类目为符合我校学科专业的社会科学类、自然科学类、综合类、荐购及专题采购图书等共计约2.2万册。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10、本项目不接受联合体投标：投标人自行提供《非联合体投标声明》；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10、本项目不接受联合体投标：投标人自行提供《非联合体投标声明》；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10、本项目不接受联合体投标：投标人自行提供《非联合体投标声明》；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9、具有经营许可证：具备合格的《出版物经营许可证》。</w:t>
      </w:r>
    </w:p>
    <w:p>
      <w:pPr>
        <w:pStyle w:val="null3"/>
      </w:pPr>
      <w:r>
        <w:rPr>
          <w:rFonts w:ascii="仿宋_GB2312" w:hAnsi="仿宋_GB2312" w:cs="仿宋_GB2312" w:eastAsia="仿宋_GB2312"/>
        </w:rPr>
        <w:t>10、本项目不接受联合体投标：投标人自行提供《非联合体投标声明》；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采购包3：260,000.00元</w:t>
            </w:r>
          </w:p>
          <w:p>
            <w:pPr>
              <w:pStyle w:val="null3"/>
            </w:pPr>
            <w:r>
              <w:rPr>
                <w:rFonts w:ascii="仿宋_GB2312" w:hAnsi="仿宋_GB2312" w:cs="仿宋_GB2312" w:eastAsia="仿宋_GB2312"/>
              </w:rPr>
              <w:t>采购包4：100,000.00元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和国家发展和改革委员会办公厅颁发的《关于采购代理服务收费有关问题的通知》（发改办价格〔2003〕857号）的有关规定标准计取每个采购包的代理费用，不足5000元，按5000元收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陕西开放大学</w:t>
      </w:r>
      <w:r>
        <w:rPr>
          <w:rFonts w:ascii="仿宋_GB2312" w:hAnsi="仿宋_GB2312" w:cs="仿宋_GB2312" w:eastAsia="仿宋_GB2312"/>
        </w:rPr>
        <w:t>负责解释。除上述招标文件内容，其他内容由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本项目主要采购</w:t>
      </w:r>
      <w:r>
        <w:rPr>
          <w:rFonts w:ascii="仿宋_GB2312" w:hAnsi="仿宋_GB2312" w:cs="仿宋_GB2312" w:eastAsia="仿宋_GB2312"/>
        </w:rPr>
        <w:t>2024年1月之后出版发行的正版纸质图书。图书类目为符合我校学科专业的社会科学类、自然科学类、综合类、荐购及专题采购图书等共计约2.2万册</w:t>
      </w:r>
      <w:r>
        <w:rPr>
          <w:rFonts w:ascii="仿宋_GB2312" w:hAnsi="仿宋_GB2312" w:cs="仿宋_GB2312" w:eastAsia="仿宋_GB2312"/>
        </w:rPr>
        <w:t>。项目分</w:t>
      </w:r>
      <w:r>
        <w:rPr>
          <w:rFonts w:ascii="仿宋_GB2312" w:hAnsi="仿宋_GB2312" w:cs="仿宋_GB2312" w:eastAsia="仿宋_GB2312"/>
        </w:rPr>
        <w:t>4</w:t>
      </w:r>
      <w:r>
        <w:rPr>
          <w:rFonts w:ascii="仿宋_GB2312" w:hAnsi="仿宋_GB2312" w:cs="仿宋_GB2312" w:eastAsia="仿宋_GB2312"/>
        </w:rPr>
        <w:t>个合同包，每个合同包拟招供应商</w:t>
      </w:r>
      <w:r>
        <w:rPr>
          <w:rFonts w:ascii="仿宋_GB2312" w:hAnsi="仿宋_GB2312" w:cs="仿宋_GB2312" w:eastAsia="仿宋_GB2312"/>
        </w:rPr>
        <w:t>1</w:t>
      </w:r>
      <w:r>
        <w:rPr>
          <w:rFonts w:ascii="仿宋_GB2312" w:hAnsi="仿宋_GB2312" w:cs="仿宋_GB2312" w:eastAsia="仿宋_GB2312"/>
        </w:rPr>
        <w:t>家</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包一社会科学类图书</w:t>
            </w:r>
          </w:p>
        </w:tc>
        <w:tc>
          <w:tcPr>
            <w:tcW w:type="dxa" w:w="831"/>
          </w:tcPr>
          <w:p>
            <w:pPr>
              <w:pStyle w:val="null3"/>
              <w:jc w:val="right"/>
            </w:pPr>
            <w:r>
              <w:rPr>
                <w:rFonts w:ascii="仿宋_GB2312" w:hAnsi="仿宋_GB2312" w:cs="仿宋_GB2312" w:eastAsia="仿宋_GB2312"/>
              </w:rPr>
              <w:t>7,300.00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合同包二自然科学类图书</w:t>
            </w:r>
          </w:p>
        </w:tc>
        <w:tc>
          <w:tcPr>
            <w:tcW w:type="dxa" w:w="831"/>
          </w:tcPr>
          <w:p>
            <w:pPr>
              <w:pStyle w:val="null3"/>
              <w:jc w:val="right"/>
            </w:pPr>
            <w:r>
              <w:rPr>
                <w:rFonts w:ascii="仿宋_GB2312" w:hAnsi="仿宋_GB2312" w:cs="仿宋_GB2312" w:eastAsia="仿宋_GB2312"/>
              </w:rPr>
              <w:t>6,200.00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包三综合类图书</w:t>
            </w:r>
          </w:p>
        </w:tc>
        <w:tc>
          <w:tcPr>
            <w:tcW w:type="dxa" w:w="831"/>
          </w:tcPr>
          <w:p>
            <w:pPr>
              <w:pStyle w:val="null3"/>
              <w:jc w:val="right"/>
            </w:pPr>
            <w:r>
              <w:rPr>
                <w:rFonts w:ascii="仿宋_GB2312" w:hAnsi="仿宋_GB2312" w:cs="仿宋_GB2312" w:eastAsia="仿宋_GB2312"/>
              </w:rPr>
              <w:t>6,900.00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包四 推荐图书及专题采购图书</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标的名称：包一社会科学类图书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一、项目概述</w:t>
            </w:r>
          </w:p>
          <w:p>
            <w:pPr>
              <w:pStyle w:val="null3"/>
              <w:ind w:firstLine="400"/>
            </w:pPr>
            <w:r>
              <w:rPr>
                <w:rFonts w:ascii="仿宋_GB2312" w:hAnsi="仿宋_GB2312" w:cs="仿宋_GB2312" w:eastAsia="仿宋_GB2312"/>
              </w:rPr>
              <w:t>1、项目名称：陕西开放大学2026年度中文纸质图书采购</w:t>
            </w:r>
          </w:p>
          <w:p>
            <w:pPr>
              <w:pStyle w:val="null3"/>
              <w:ind w:firstLine="400"/>
            </w:pPr>
            <w:r>
              <w:rPr>
                <w:rFonts w:ascii="仿宋_GB2312" w:hAnsi="仿宋_GB2312" w:cs="仿宋_GB2312" w:eastAsia="仿宋_GB2312"/>
              </w:rPr>
              <w:t>2、采购内容及范围：图书类目为符合采购方学科专业的社会科学类图书</w:t>
            </w:r>
            <w:r>
              <w:rPr>
                <w:rFonts w:ascii="仿宋_GB2312" w:hAnsi="仿宋_GB2312" w:cs="仿宋_GB2312" w:eastAsia="仿宋_GB2312"/>
              </w:rPr>
              <w:t>等</w:t>
            </w:r>
            <w:r>
              <w:rPr>
                <w:rFonts w:ascii="仿宋_GB2312" w:hAnsi="仿宋_GB2312" w:cs="仿宋_GB2312" w:eastAsia="仿宋_GB2312"/>
              </w:rPr>
              <w:t>共计约</w:t>
            </w:r>
            <w:r>
              <w:rPr>
                <w:rFonts w:ascii="仿宋_GB2312" w:hAnsi="仿宋_GB2312" w:cs="仿宋_GB2312" w:eastAsia="仿宋_GB2312"/>
              </w:rPr>
              <w:t>7300册。</w:t>
            </w:r>
          </w:p>
          <w:p>
            <w:pPr>
              <w:pStyle w:val="null3"/>
              <w:ind w:firstLine="400"/>
            </w:pPr>
            <w:r>
              <w:rPr>
                <w:rFonts w:ascii="仿宋_GB2312" w:hAnsi="仿宋_GB2312" w:cs="仿宋_GB2312" w:eastAsia="仿宋_GB2312"/>
              </w:rPr>
              <w:t>3、报价方式：图书码洋基础上的优惠率。投标供应商的固定优惠率在合同执行期间固定不变，中标单位不得以任何理由予以变更，除非招标方提出的服务变更。</w:t>
            </w:r>
          </w:p>
          <w:p>
            <w:pPr>
              <w:pStyle w:val="null3"/>
              <w:ind w:firstLine="400"/>
            </w:pPr>
            <w:r>
              <w:rPr>
                <w:rFonts w:ascii="仿宋_GB2312" w:hAnsi="仿宋_GB2312" w:cs="仿宋_GB2312" w:eastAsia="仿宋_GB2312"/>
              </w:rPr>
              <w:t>4、采购方式：采购以书目采购（包括供应商提供及采购方自行定制的书目）、现场采购及零星采购等相结合的方式。</w:t>
            </w:r>
          </w:p>
          <w:p>
            <w:pPr>
              <w:pStyle w:val="null3"/>
              <w:ind w:firstLine="400"/>
            </w:pPr>
            <w:r>
              <w:rPr>
                <w:rFonts w:ascii="仿宋_GB2312" w:hAnsi="仿宋_GB2312" w:cs="仿宋_GB2312" w:eastAsia="仿宋_GB2312"/>
              </w:rPr>
              <w:t>5.复本量：视学科及专业需求而定，每种图书的复本量一般为3册。</w:t>
            </w:r>
          </w:p>
          <w:p>
            <w:pPr>
              <w:pStyle w:val="null3"/>
              <w:ind w:firstLine="400"/>
            </w:pPr>
            <w:r>
              <w:rPr>
                <w:rFonts w:ascii="仿宋_GB2312" w:hAnsi="仿宋_GB2312" w:cs="仿宋_GB2312" w:eastAsia="仿宋_GB2312"/>
              </w:rPr>
              <w:t>6、结算方式：一次付清。</w:t>
            </w:r>
          </w:p>
          <w:p>
            <w:pPr>
              <w:pStyle w:val="null3"/>
              <w:ind w:firstLine="400"/>
            </w:pPr>
            <w:r>
              <w:rPr>
                <w:rFonts w:ascii="仿宋_GB2312" w:hAnsi="仿宋_GB2312" w:cs="仿宋_GB2312" w:eastAsia="仿宋_GB2312"/>
              </w:rPr>
              <w:t>7、服务期限：自合同签订生效后半年。</w:t>
            </w:r>
          </w:p>
          <w:p>
            <w:pPr>
              <w:pStyle w:val="null3"/>
              <w:ind w:firstLine="400"/>
            </w:pPr>
            <w:r>
              <w:rPr>
                <w:rFonts w:ascii="仿宋_GB2312" w:hAnsi="仿宋_GB2312" w:cs="仿宋_GB2312" w:eastAsia="仿宋_GB2312"/>
              </w:rPr>
              <w:t>二、具体采购内容及方式</w:t>
            </w:r>
          </w:p>
          <w:p>
            <w:pPr>
              <w:pStyle w:val="null3"/>
              <w:ind w:firstLine="400"/>
            </w:pPr>
            <w:r>
              <w:rPr>
                <w:rFonts w:ascii="仿宋_GB2312" w:hAnsi="仿宋_GB2312" w:cs="仿宋_GB2312" w:eastAsia="仿宋_GB2312"/>
              </w:rPr>
              <w:t>1、采购内容：符合采购方专业设置及学科建设要求，采购2024年1月之后出版发行的正版纸质图书。</w:t>
            </w:r>
          </w:p>
          <w:p>
            <w:pPr>
              <w:pStyle w:val="null3"/>
              <w:ind w:firstLine="400"/>
            </w:pPr>
            <w:r>
              <w:rPr>
                <w:rFonts w:ascii="仿宋_GB2312" w:hAnsi="仿宋_GB2312" w:cs="仿宋_GB2312" w:eastAsia="仿宋_GB2312"/>
              </w:rPr>
              <w:t>合同包</w:t>
            </w:r>
            <w:r>
              <w:rPr>
                <w:rFonts w:ascii="仿宋_GB2312" w:hAnsi="仿宋_GB2312" w:cs="仿宋_GB2312" w:eastAsia="仿宋_GB2312"/>
              </w:rPr>
              <w:t>1，社会科学类图书，预算金额30万元，约7300册；</w:t>
            </w:r>
          </w:p>
          <w:p>
            <w:pPr>
              <w:pStyle w:val="null3"/>
              <w:jc w:val="center"/>
            </w:pPr>
            <w:r>
              <w:rPr>
                <w:rFonts w:ascii="仿宋_GB2312" w:hAnsi="仿宋_GB2312" w:cs="仿宋_GB2312" w:eastAsia="仿宋_GB2312"/>
              </w:rPr>
              <w:t>（附采购方二级学院及相关专业名录）</w:t>
            </w:r>
          </w:p>
          <w:tbl>
            <w:tblPr>
              <w:tblInd w:type="dxa" w:w="255"/>
              <w:tblBorders>
                <w:top w:val="none" w:color="000000" w:sz="4"/>
                <w:left w:val="none" w:color="000000" w:sz="4"/>
                <w:bottom w:val="none" w:color="000000" w:sz="4"/>
                <w:right w:val="none" w:color="000000" w:sz="4"/>
                <w:insideH w:val="none"/>
                <w:insideV w:val="none"/>
              </w:tblBorders>
            </w:tblPr>
            <w:tblGrid>
              <w:gridCol w:w="97"/>
              <w:gridCol w:w="473"/>
              <w:gridCol w:w="1983"/>
            </w:tblGrid>
            <w:tr>
              <w:tc>
                <w:tcPr>
                  <w:tcW w:type="dxa" w:w="97"/>
                  <w:vMerge w:val="restart"/>
                  <w:tcBorders>
                    <w:top w:val="single" w:color="333333"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473"/>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w:t>
                  </w:r>
                  <w:r>
                    <w:rPr>
                      <w:rFonts w:ascii="仿宋_GB2312" w:hAnsi="仿宋_GB2312" w:cs="仿宋_GB2312" w:eastAsia="仿宋_GB2312"/>
                      <w:sz w:val="19"/>
                    </w:rPr>
                    <w:t xml:space="preserve">  </w:t>
                  </w:r>
                  <w:r>
                    <w:rPr>
                      <w:rFonts w:ascii="仿宋_GB2312" w:hAnsi="仿宋_GB2312" w:cs="仿宋_GB2312" w:eastAsia="仿宋_GB2312"/>
                      <w:sz w:val="19"/>
                    </w:rPr>
                    <w:t>院</w:t>
                  </w:r>
                </w:p>
              </w:tc>
              <w:tc>
                <w:tcPr>
                  <w:tcW w:type="dxa" w:w="1983"/>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专业名称</w:t>
                  </w:r>
                </w:p>
              </w:tc>
            </w:tr>
            <w:tr>
              <w:tc>
                <w:tcPr>
                  <w:tcW w:type="dxa" w:w="97"/>
                  <w:vMerge/>
                  <w:tcBorders>
                    <w:top w:val="single" w:color="333333" w:sz="4"/>
                    <w:left w:val="single" w:color="333333" w:sz="4"/>
                    <w:bottom w:val="single" w:color="333333" w:sz="4"/>
                    <w:right w:val="single" w:color="333333" w:sz="4"/>
                  </w:tcBorders>
                </w:tcPr>
                <w:p/>
              </w:tc>
              <w:tc>
                <w:tcPr>
                  <w:tcW w:type="dxa" w:w="473"/>
                  <w:vMerge/>
                  <w:tcBorders>
                    <w:top w:val="single" w:color="333333" w:sz="4"/>
                    <w:left w:val="none" w:color="000000" w:sz="4"/>
                    <w:bottom w:val="single" w:color="333333" w:sz="4"/>
                    <w:right w:val="single" w:color="333333" w:sz="4"/>
                  </w:tcBorders>
                </w:tcPr>
                <w:p/>
              </w:tc>
              <w:tc>
                <w:tcPr>
                  <w:tcW w:type="dxa" w:w="1983"/>
                  <w:vMerge/>
                  <w:tcBorders>
                    <w:top w:val="single" w:color="333333" w:sz="4"/>
                    <w:left w:val="none" w:color="000000" w:sz="4"/>
                    <w:bottom w:val="single" w:color="333333" w:sz="4"/>
                    <w:right w:val="single" w:color="333333" w:sz="4"/>
                  </w:tcBorders>
                </w:tcPr>
                <w:p/>
              </w:tc>
            </w:tr>
            <w:tr>
              <w:tc>
                <w:tcPr>
                  <w:tcW w:type="dxa" w:w="9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47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会计金融学院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大数据与会计</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大数据与财务管理</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金融服务与管理</w:t>
                  </w:r>
                </w:p>
              </w:tc>
            </w:tr>
            <w:tr>
              <w:tc>
                <w:tcPr>
                  <w:tcW w:type="dxa" w:w="97"/>
                  <w:vMerge w:val="restart"/>
                  <w:tcBorders>
                    <w:top w:val="single" w:color="333333"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473"/>
                  <w:vMerge w:val="restart"/>
                  <w:tcBorders>
                    <w:top w:val="single" w:color="333333"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管理学院</w:t>
                  </w:r>
                </w:p>
                <w:p>
                  <w:pPr>
                    <w:pStyle w:val="null3"/>
                    <w:jc w:val="center"/>
                  </w:p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现代物流管理</w:t>
                  </w:r>
                </w:p>
              </w:tc>
            </w:tr>
            <w:tr>
              <w:tc>
                <w:tcPr>
                  <w:tcW w:type="dxa" w:w="97"/>
                  <w:vMerge/>
                  <w:tcBorders>
                    <w:top w:val="single" w:color="333333" w:sz="4"/>
                    <w:left w:val="single" w:color="333333" w:sz="4"/>
                    <w:bottom w:val="outset" w:color="000000" w:sz="4"/>
                    <w:right w:val="single" w:color="333333" w:sz="4"/>
                  </w:tcBorders>
                </w:tcPr>
                <w:p/>
              </w:tc>
              <w:tc>
                <w:tcPr>
                  <w:tcW w:type="dxa" w:w="473"/>
                  <w:vMerge/>
                  <w:tcBorders>
                    <w:top w:val="single" w:color="333333"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市场营销</w:t>
                  </w:r>
                </w:p>
              </w:tc>
            </w:tr>
            <w:tr>
              <w:tc>
                <w:tcPr>
                  <w:tcW w:type="dxa" w:w="97"/>
                  <w:vMerge/>
                  <w:tcBorders>
                    <w:top w:val="single" w:color="333333" w:sz="4"/>
                    <w:left w:val="single" w:color="333333" w:sz="4"/>
                    <w:bottom w:val="outset" w:color="000000" w:sz="4"/>
                    <w:right w:val="single" w:color="333333" w:sz="4"/>
                  </w:tcBorders>
                </w:tcPr>
                <w:p/>
              </w:tc>
              <w:tc>
                <w:tcPr>
                  <w:tcW w:type="dxa" w:w="473"/>
                  <w:vMerge/>
                  <w:tcBorders>
                    <w:top w:val="single" w:color="333333"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关务与外贸服务</w:t>
                  </w:r>
                </w:p>
              </w:tc>
            </w:tr>
            <w:tr>
              <w:tc>
                <w:tcPr>
                  <w:tcW w:type="dxa" w:w="97"/>
                  <w:vMerge/>
                  <w:tcBorders>
                    <w:top w:val="single" w:color="333333" w:sz="4"/>
                    <w:left w:val="single" w:color="333333" w:sz="4"/>
                    <w:bottom w:val="outset" w:color="000000" w:sz="4"/>
                    <w:right w:val="single" w:color="333333" w:sz="4"/>
                  </w:tcBorders>
                </w:tcPr>
                <w:p/>
              </w:tc>
              <w:tc>
                <w:tcPr>
                  <w:tcW w:type="dxa" w:w="473"/>
                  <w:vMerge/>
                  <w:tcBorders>
                    <w:top w:val="single" w:color="333333"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电子商务</w:t>
                  </w:r>
                </w:p>
              </w:tc>
            </w:tr>
            <w:tr>
              <w:tc>
                <w:tcPr>
                  <w:tcW w:type="dxa" w:w="97"/>
                  <w:vMerge/>
                  <w:tcBorders>
                    <w:top w:val="single" w:color="333333" w:sz="4"/>
                    <w:left w:val="single" w:color="333333" w:sz="4"/>
                    <w:bottom w:val="outset" w:color="000000" w:sz="4"/>
                    <w:right w:val="single" w:color="333333" w:sz="4"/>
                  </w:tcBorders>
                </w:tcPr>
                <w:p/>
              </w:tc>
              <w:tc>
                <w:tcPr>
                  <w:tcW w:type="dxa" w:w="473"/>
                  <w:vMerge/>
                  <w:tcBorders>
                    <w:top w:val="single" w:color="333333"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人力资源管理</w:t>
                  </w:r>
                </w:p>
              </w:tc>
            </w:tr>
            <w:tr>
              <w:tc>
                <w:tcPr>
                  <w:tcW w:type="dxa" w:w="97"/>
                  <w:vMerge/>
                  <w:tcBorders>
                    <w:top w:val="single" w:color="333333" w:sz="4"/>
                    <w:left w:val="single" w:color="333333" w:sz="4"/>
                    <w:bottom w:val="outset" w:color="000000" w:sz="4"/>
                    <w:right w:val="single" w:color="333333" w:sz="4"/>
                  </w:tcBorders>
                </w:tcPr>
                <w:p/>
              </w:tc>
              <w:tc>
                <w:tcPr>
                  <w:tcW w:type="dxa" w:w="473"/>
                  <w:vMerge/>
                  <w:tcBorders>
                    <w:top w:val="single" w:color="333333"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供应链运营</w:t>
                  </w:r>
                </w:p>
              </w:tc>
            </w:tr>
            <w:tr>
              <w:tc>
                <w:tcPr>
                  <w:tcW w:type="dxa" w:w="9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47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建筑设备工程技术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建筑装饰工程技术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建设工程管理</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建筑智能化工程技术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现代物业管理</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工程造价</w:t>
                  </w:r>
                </w:p>
              </w:tc>
            </w:tr>
            <w:tr>
              <w:tc>
                <w:tcPr>
                  <w:tcW w:type="dxa" w:w="9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47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旅游与酒店管理学院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旅游管理</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酒店管理与数字化运营</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空中乘务</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旅游英语</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旅游日语</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会展策划与管理</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烹饪工艺与营养</w:t>
                  </w:r>
                </w:p>
              </w:tc>
            </w:tr>
            <w:tr>
              <w:tc>
                <w:tcPr>
                  <w:tcW w:type="dxa" w:w="9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47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信息与未来技术学院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计算机应用技术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信息安全技术应用</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现代移动通信技术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网络营销与直播电商</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大数据技术</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虚拟现实技术应用</w:t>
                  </w:r>
                </w:p>
              </w:tc>
            </w:tr>
            <w:tr>
              <w:tc>
                <w:tcPr>
                  <w:tcW w:type="dxa" w:w="97"/>
                  <w:vMerge/>
                  <w:tcBorders>
                    <w:top w:val="none" w:color="000000" w:sz="4"/>
                    <w:left w:val="single" w:color="333333" w:sz="4"/>
                    <w:bottom w:val="single" w:color="333333" w:sz="4"/>
                    <w:right w:val="single" w:color="333333" w:sz="4"/>
                  </w:tcBorders>
                </w:tcPr>
                <w:p/>
              </w:tc>
              <w:tc>
                <w:tcPr>
                  <w:tcW w:type="dxa" w:w="473"/>
                  <w:vMerge/>
                  <w:tcBorders>
                    <w:top w:val="none" w:color="000000" w:sz="4"/>
                    <w:left w:val="none" w:color="000000" w:sz="4"/>
                    <w:bottom w:val="single" w:color="333333"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人工智能技术应用</w:t>
                  </w:r>
                </w:p>
              </w:tc>
            </w:tr>
            <w:tr>
              <w:tc>
                <w:tcPr>
                  <w:tcW w:type="dxa" w:w="9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47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艺术设计学院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广播影视节目制作</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广告艺术设计</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舞台艺术设计与制作</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环境艺术设计</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数字媒体艺术设计</w:t>
                  </w:r>
                </w:p>
              </w:tc>
            </w:tr>
            <w:tr>
              <w:tc>
                <w:tcPr>
                  <w:tcW w:type="dxa" w:w="9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47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智能制造学院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汽车制造与试验技术</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飞机机电设备维修</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新能源汽车技术</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汽车检测与维修技术</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工业机器人技术</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数控技术</w:t>
                  </w:r>
                </w:p>
              </w:tc>
            </w:tr>
            <w:tr>
              <w:tc>
                <w:tcPr>
                  <w:tcW w:type="dxa" w:w="97"/>
                  <w:vMerge/>
                  <w:tcBorders>
                    <w:top w:val="none" w:color="000000" w:sz="4"/>
                    <w:left w:val="single" w:color="333333" w:sz="4"/>
                    <w:bottom w:val="outset" w:color="000000" w:sz="4"/>
                    <w:right w:val="single" w:color="333333" w:sz="4"/>
                  </w:tcBorders>
                </w:tcPr>
                <w:p/>
              </w:tc>
              <w:tc>
                <w:tcPr>
                  <w:tcW w:type="dxa" w:w="473"/>
                  <w:vMerge/>
                  <w:tcBorders>
                    <w:top w:val="none" w:color="000000" w:sz="4"/>
                    <w:left w:val="none" w:color="000000" w:sz="4"/>
                    <w:bottom w:val="outset" w:color="000000" w:sz="4"/>
                    <w:right w:val="single" w:color="333333" w:sz="4"/>
                  </w:tcBorders>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机电一体化技术</w:t>
                  </w:r>
                </w:p>
              </w:tc>
            </w:tr>
            <w:tr>
              <w:tc>
                <w:tcPr>
                  <w:tcW w:type="dxa" w:w="9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47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学前师范学院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学前教育</w:t>
                  </w:r>
                </w:p>
              </w:tc>
            </w:tr>
            <w:tr>
              <w:tc>
                <w:tcPr>
                  <w:tcW w:type="dxa" w:w="9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p>
              </w:tc>
              <w:tc>
                <w:tcPr>
                  <w:tcW w:type="dxa" w:w="47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早期教育</w:t>
                  </w:r>
                </w:p>
              </w:tc>
            </w:tr>
            <w:tr>
              <w:tc>
                <w:tcPr>
                  <w:tcW w:type="dxa" w:w="9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47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护理与健康学院</w:t>
                  </w:r>
                </w:p>
              </w:tc>
              <w:tc>
                <w:tcPr>
                  <w:tcW w:type="dxa" w:w="198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w:t>
                  </w:r>
                </w:p>
              </w:tc>
            </w:tr>
          </w:tbl>
          <w:p>
            <w:pPr>
              <w:pStyle w:val="null3"/>
            </w:pPr>
            <w:r>
              <w:rPr>
                <w:rFonts w:ascii="仿宋_GB2312" w:hAnsi="仿宋_GB2312" w:cs="仿宋_GB2312" w:eastAsia="仿宋_GB2312"/>
              </w:rPr>
              <w:t>2、出版社要求：供应商与全国大多数出版机构有直接的业务往来，图书经营品种至少达到当年全国出版图书品种的60%以上，能保证涵盖采购方95%以上学科所需图书的采购供应。以下出版社图书为2026年度陕西开放大学图书馆纸质图书采购的重点对象：</w:t>
            </w:r>
          </w:p>
          <w:p>
            <w:pPr>
              <w:pStyle w:val="null3"/>
              <w:ind w:firstLine="400"/>
            </w:pPr>
            <w:r>
              <w:rPr>
                <w:rFonts w:ascii="仿宋_GB2312" w:hAnsi="仿宋_GB2312" w:cs="仿宋_GB2312" w:eastAsia="仿宋_GB2312"/>
              </w:rPr>
              <w:t>高等教育出版社、科学出版社、商务印书馆、中华书局、上海三联书店、生活</w:t>
            </w:r>
            <w:r>
              <w:rPr>
                <w:rFonts w:ascii="仿宋_GB2312" w:hAnsi="仿宋_GB2312" w:cs="仿宋_GB2312" w:eastAsia="仿宋_GB2312"/>
              </w:rPr>
              <w:t>·读书·新知三联书店、人民出版社、人民文学出版社、译林出版社、中国青年出版社、中国经济出版社、经济科学出版社、法律出版社、中国金融出版社、经济管理出版社、立信会计出版社、中国政法大学出版社、科学出版社、中央编译出版社、社会科学文献出版社、中国财政经济出版社、中国社会科学出版社、上海译文出版社、外国文学出版社、中国建筑工业出版社、电子工业出版社、机械工业出版社及北京大学出版社、清华大学出版社、中国人民大学出版社、北京师范大学出版社、复旦大学出版社、上海财经大学出版社、外语教学与研究出版社、西北大学出版社、陕西师范大学出版社、广西师范大学出版社等大学出版社。供应商提供与以上出版社合作的授权书等证明材料。</w:t>
            </w:r>
          </w:p>
          <w:p>
            <w:pPr>
              <w:pStyle w:val="null3"/>
              <w:ind w:firstLine="400"/>
            </w:pPr>
            <w:r>
              <w:rPr>
                <w:rFonts w:ascii="仿宋_GB2312" w:hAnsi="仿宋_GB2312" w:cs="仿宋_GB2312" w:eastAsia="仿宋_GB2312"/>
              </w:rPr>
              <w:t>3、书目采购要求：供应商应保证以上重点出版社图书品种齐全，将招标文件所列重点出版社所有书目及出版动态每月一次提供作为参考，并根据采购方的专业、学科设置及具体要求，定期提供适合高校图书馆文献资源建设的新书书目，书目目录应包括：ISBN号、作者、出版社、出版日期、中图分类号、册套、定价及内容简介等；采访书目应剔除小开本、无书脊、袋装、散页、中小学教辅、青少年读物等明显不符合高校图书馆入藏要求的图书。</w:t>
            </w:r>
          </w:p>
          <w:p>
            <w:pPr>
              <w:pStyle w:val="null3"/>
              <w:ind w:firstLine="400"/>
            </w:pPr>
            <w:r>
              <w:rPr>
                <w:rFonts w:ascii="仿宋_GB2312" w:hAnsi="仿宋_GB2312" w:cs="仿宋_GB2312" w:eastAsia="仿宋_GB2312"/>
              </w:rPr>
              <w:t>4、现场采购：中标人应及时通报全国性大型图书展销会、投标人、出版社等举办的现场订货会等信息，并应满足采购方提出的到全国性大型图书展销会、订货会或指定地点现场采购图书的要求，负责安排图书现采有关事宜。</w:t>
            </w:r>
          </w:p>
          <w:p>
            <w:pPr>
              <w:pStyle w:val="null3"/>
              <w:ind w:firstLine="400"/>
            </w:pPr>
            <w:r>
              <w:rPr>
                <w:rFonts w:ascii="仿宋_GB2312" w:hAnsi="仿宋_GB2312" w:cs="仿宋_GB2312" w:eastAsia="仿宋_GB2312"/>
              </w:rPr>
              <w:t>三、图书配送要求</w:t>
            </w:r>
          </w:p>
          <w:p>
            <w:pPr>
              <w:pStyle w:val="null3"/>
              <w:ind w:firstLine="400"/>
            </w:pPr>
            <w:r>
              <w:rPr>
                <w:rFonts w:ascii="仿宋_GB2312" w:hAnsi="仿宋_GB2312" w:cs="仿宋_GB2312" w:eastAsia="仿宋_GB2312"/>
              </w:rPr>
              <w:t>1、订单查重和单本码洋要求：严格对采购方选订或报订的订单书目进行查重，与采购方核实确认，避免重复购书，单本码洋不得低于40元。</w:t>
            </w:r>
          </w:p>
          <w:p>
            <w:pPr>
              <w:pStyle w:val="null3"/>
              <w:ind w:firstLine="400"/>
            </w:pPr>
            <w:r>
              <w:rPr>
                <w:rFonts w:ascii="仿宋_GB2312" w:hAnsi="仿宋_GB2312" w:cs="仿宋_GB2312" w:eastAsia="仿宋_GB2312"/>
              </w:rPr>
              <w:t>2、供应商收到图书采购订单后应在一个工作日内回告，核实订单的图书预订册数和金额，并根据采购方提供的书目订单及时组织图书。及时向采购方通报图书组织情况，对于未采购到的图书说明原因。</w:t>
            </w:r>
          </w:p>
          <w:p>
            <w:pPr>
              <w:pStyle w:val="null3"/>
              <w:ind w:firstLine="400"/>
            </w:pPr>
            <w:r>
              <w:rPr>
                <w:rFonts w:ascii="仿宋_GB2312" w:hAnsi="仿宋_GB2312" w:cs="仿宋_GB2312" w:eastAsia="仿宋_GB2312"/>
              </w:rPr>
              <w:t>3、供应商收到采购方订购单之日起，预定图书（订单配书）应当在25个工作日内完成送货，到货率不低于90%；现采图书应在10个工作日内完成图书配送，到货率不低于95%。</w:t>
            </w:r>
          </w:p>
          <w:p>
            <w:pPr>
              <w:pStyle w:val="null3"/>
              <w:ind w:firstLine="400"/>
            </w:pPr>
            <w:r>
              <w:rPr>
                <w:rFonts w:ascii="仿宋_GB2312" w:hAnsi="仿宋_GB2312" w:cs="仿宋_GB2312" w:eastAsia="仿宋_GB2312"/>
              </w:rPr>
              <w:t>4、订单订购或现采图书完成后，及时送交采购方指定地点。采用防水包装纸打包，每批图书附加盖公章的清单一式两份（一份总清单，一份随包清单）。清单包含信息：书名、ISBN号、出版社、价格、复本数量以及当次送书每包册数、种数、码洋，及合计总册数、种数及总码洋等。图书在包中封装顺序与图书清单顺序一致。</w:t>
            </w:r>
          </w:p>
          <w:p>
            <w:pPr>
              <w:pStyle w:val="null3"/>
              <w:ind w:firstLine="400"/>
            </w:pPr>
            <w:r>
              <w:rPr>
                <w:rFonts w:ascii="仿宋_GB2312" w:hAnsi="仿宋_GB2312" w:cs="仿宋_GB2312" w:eastAsia="仿宋_GB2312"/>
              </w:rPr>
              <w:t>5、本批次到书品种与订单不一致超过5%、或存在严重质量问题的，采购方有权拒绝接受，并视情况决定是否继续采购。</w:t>
            </w:r>
          </w:p>
          <w:p>
            <w:pPr>
              <w:pStyle w:val="null3"/>
              <w:ind w:firstLine="400"/>
            </w:pPr>
            <w:r>
              <w:rPr>
                <w:rFonts w:ascii="仿宋_GB2312" w:hAnsi="仿宋_GB2312" w:cs="仿宋_GB2312" w:eastAsia="仿宋_GB2312"/>
              </w:rPr>
              <w:t>6、中标供应商连续两次没有按时间要求送货的，采购方不再向中标人发单或组织采购。</w:t>
            </w:r>
          </w:p>
          <w:p>
            <w:pPr>
              <w:pStyle w:val="null3"/>
              <w:ind w:firstLine="400"/>
            </w:pPr>
            <w:r>
              <w:rPr>
                <w:rFonts w:ascii="仿宋_GB2312" w:hAnsi="仿宋_GB2312" w:cs="仿宋_GB2312" w:eastAsia="仿宋_GB2312"/>
              </w:rPr>
              <w:t>7、采购方按批次统计到书率，时间从中标人收到订单次日起算，至相应规定的配送期限为止，到书率连续两次低于最终订单90%的，采购方不再向中标人发单或组织采购。</w:t>
            </w:r>
          </w:p>
          <w:p>
            <w:pPr>
              <w:pStyle w:val="null3"/>
            </w:pPr>
            <w:r>
              <w:rPr>
                <w:rFonts w:ascii="仿宋_GB2312" w:hAnsi="仿宋_GB2312" w:cs="仿宋_GB2312" w:eastAsia="仿宋_GB2312"/>
              </w:rPr>
              <w:t>8、订单验收结束时，中标人须及时提供未到品种情况说明。</w:t>
            </w:r>
          </w:p>
          <w:p>
            <w:pPr>
              <w:pStyle w:val="null3"/>
              <w:ind w:firstLine="400"/>
            </w:pPr>
            <w:r>
              <w:rPr>
                <w:rFonts w:ascii="仿宋_GB2312" w:hAnsi="仿宋_GB2312" w:cs="仿宋_GB2312" w:eastAsia="仿宋_GB2312"/>
              </w:rPr>
              <w:t>四、图书质量、验收与退货要求</w:t>
            </w:r>
          </w:p>
          <w:p>
            <w:pPr>
              <w:pStyle w:val="null3"/>
              <w:ind w:firstLine="400"/>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w:t>
            </w:r>
          </w:p>
          <w:p>
            <w:pPr>
              <w:pStyle w:val="null3"/>
              <w:ind w:firstLine="400"/>
            </w:pPr>
            <w:r>
              <w:rPr>
                <w:rFonts w:ascii="仿宋_GB2312" w:hAnsi="仿宋_GB2312" w:cs="仿宋_GB2312" w:eastAsia="仿宋_GB2312"/>
              </w:rPr>
              <w:t>2、对单册码洋200元以上、开本小于14cm的图书以及散页、线装、挂图、练习册、实验报告册和非当年出版的考试用书，以及分册三册以上的套书，必须经采购方二次确认方可供书；否则，采购方可以视为中标人自行配书。</w:t>
            </w:r>
          </w:p>
          <w:p>
            <w:pPr>
              <w:pStyle w:val="null3"/>
              <w:ind w:firstLine="400"/>
            </w:pPr>
            <w:r>
              <w:rPr>
                <w:rFonts w:ascii="仿宋_GB2312" w:hAnsi="仿宋_GB2312" w:cs="仿宋_GB2312" w:eastAsia="仿宋_GB2312"/>
              </w:rPr>
              <w:t>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ind w:firstLine="400"/>
            </w:pPr>
            <w:r>
              <w:rPr>
                <w:rFonts w:ascii="仿宋_GB2312" w:hAnsi="仿宋_GB2312" w:cs="仿宋_GB2312" w:eastAsia="仿宋_GB2312"/>
              </w:rPr>
              <w:t>五、加工技术要求</w:t>
            </w:r>
          </w:p>
          <w:p>
            <w:pPr>
              <w:pStyle w:val="null3"/>
              <w:ind w:firstLine="400"/>
            </w:pPr>
            <w:r>
              <w:rPr>
                <w:rFonts w:ascii="仿宋_GB2312" w:hAnsi="仿宋_GB2312" w:cs="仿宋_GB2312" w:eastAsia="仿宋_GB2312"/>
              </w:rPr>
              <w:t>（一）采访、编目数据要求</w:t>
            </w:r>
          </w:p>
          <w:p>
            <w:pPr>
              <w:pStyle w:val="null3"/>
              <w:ind w:firstLine="400"/>
            </w:pPr>
            <w:r>
              <w:rPr>
                <w:rFonts w:ascii="仿宋_GB2312" w:hAnsi="仿宋_GB2312" w:cs="仿宋_GB2312" w:eastAsia="仿宋_GB2312"/>
              </w:rPr>
              <w:t>1、供应商须为采购方免费提供规范、标准的CNMARC编目数据，编目数据需符合CALIS联合编目标准及其它规则。</w:t>
            </w:r>
          </w:p>
          <w:p>
            <w:pPr>
              <w:pStyle w:val="null3"/>
              <w:ind w:firstLine="400"/>
            </w:pPr>
            <w:r>
              <w:rPr>
                <w:rFonts w:ascii="仿宋_GB2312" w:hAnsi="仿宋_GB2312" w:cs="仿宋_GB2312" w:eastAsia="仿宋_GB2312"/>
              </w:rPr>
              <w:t>2、送书同时须发送编目数据，采购方如发现有缺少或不符合标准CNMARC编目的数据，中标人应及时补发。</w:t>
            </w:r>
          </w:p>
          <w:p>
            <w:pPr>
              <w:pStyle w:val="null3"/>
              <w:ind w:firstLine="400"/>
            </w:pPr>
            <w:r>
              <w:rPr>
                <w:rFonts w:ascii="仿宋_GB2312" w:hAnsi="仿宋_GB2312" w:cs="仿宋_GB2312" w:eastAsia="仿宋_GB2312"/>
              </w:rPr>
              <w:t>3、CNMARC格式的价格部分需为纯数字。</w:t>
            </w:r>
          </w:p>
          <w:p>
            <w:pPr>
              <w:pStyle w:val="null3"/>
              <w:ind w:firstLine="400"/>
            </w:pPr>
            <w:r>
              <w:rPr>
                <w:rFonts w:ascii="仿宋_GB2312" w:hAnsi="仿宋_GB2312" w:cs="仿宋_GB2312" w:eastAsia="仿宋_GB2312"/>
              </w:rPr>
              <w:t>4、对于分为上下册、中英文分册对照的，应按实际分册单列，并将分册信息加入书名字段部分，多卷书须分别标明整套价和单册价。</w:t>
            </w:r>
          </w:p>
          <w:p>
            <w:pPr>
              <w:pStyle w:val="null3"/>
              <w:ind w:firstLine="400"/>
            </w:pPr>
            <w:r>
              <w:rPr>
                <w:rFonts w:ascii="仿宋_GB2312" w:hAnsi="仿宋_GB2312" w:cs="仿宋_GB2312" w:eastAsia="仿宋_GB2312"/>
              </w:rPr>
              <w:t>（二）物理加工要求</w:t>
            </w:r>
          </w:p>
          <w:p>
            <w:pPr>
              <w:pStyle w:val="null3"/>
              <w:ind w:firstLine="400"/>
            </w:pPr>
            <w:r>
              <w:rPr>
                <w:rFonts w:ascii="仿宋_GB2312" w:hAnsi="仿宋_GB2312" w:cs="仿宋_GB2312" w:eastAsia="仿宋_GB2312"/>
              </w:rPr>
              <w:t>供应商须免费提供到馆编目、加工服务，具体包括为所供图书免费提供拆包验收、查重著录、盖章、贴书标条码、覆膜、加磁条、打包送库、上架排架等图书加工服务。并免费提供钴基复合</w:t>
            </w:r>
            <w:r>
              <w:rPr>
                <w:rFonts w:ascii="仿宋_GB2312" w:hAnsi="仿宋_GB2312" w:cs="仿宋_GB2312" w:eastAsia="仿宋_GB2312"/>
              </w:rPr>
              <w:t>16cm磁条、条码、书标、覆膜、打包纸、打包带等所涉及耗材。</w:t>
            </w:r>
          </w:p>
          <w:p>
            <w:pPr>
              <w:pStyle w:val="null3"/>
              <w:ind w:firstLine="400"/>
            </w:pPr>
            <w:r>
              <w:rPr>
                <w:rFonts w:ascii="仿宋_GB2312" w:hAnsi="仿宋_GB2312" w:cs="仿宋_GB2312" w:eastAsia="仿宋_GB2312"/>
              </w:rPr>
              <w:t>六、结算方式：中标供应商须完成合同总价款供货，经双方验收合格，在中标供应商完成加工后的</w:t>
            </w:r>
            <w:r>
              <w:rPr>
                <w:rFonts w:ascii="仿宋_GB2312" w:hAnsi="仿宋_GB2312" w:cs="仿宋_GB2312" w:eastAsia="仿宋_GB2312"/>
              </w:rPr>
              <w:t>5个工作日内，由中标供应商开具合同总价款增值税发票，采购方在30日内支付合同总价款(如特殊原因需延时，采购方应告知中标供应商协商解决)。</w:t>
            </w:r>
          </w:p>
          <w:p>
            <w:pPr>
              <w:pStyle w:val="null3"/>
              <w:ind w:firstLine="400"/>
            </w:pPr>
            <w:r>
              <w:rPr>
                <w:rFonts w:ascii="仿宋_GB2312" w:hAnsi="仿宋_GB2312" w:cs="仿宋_GB2312" w:eastAsia="仿宋_GB2312"/>
              </w:rPr>
              <w:t>七、其他要求</w:t>
            </w:r>
          </w:p>
          <w:p>
            <w:pPr>
              <w:pStyle w:val="null3"/>
              <w:ind w:firstLine="400"/>
            </w:pPr>
            <w:r>
              <w:rPr>
                <w:rFonts w:ascii="仿宋_GB2312" w:hAnsi="仿宋_GB2312" w:cs="仿宋_GB2312" w:eastAsia="仿宋_GB2312"/>
                <w:sz w:val="21"/>
              </w:rPr>
              <w:t>供应商能为图书馆提供有关最新出版的热点图书、畅销书、重点出版图书、名人推荐书单等图书的书目、书评或宣传推广文案；到馆开展畅销书展活动；为图书馆开展读者服务活动提供赞助，及其它有价值的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标的名称：合同包二自然科学类图书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一、项目概述</w:t>
            </w:r>
          </w:p>
          <w:p>
            <w:pPr>
              <w:pStyle w:val="null3"/>
              <w:ind w:firstLine="400"/>
            </w:pPr>
            <w:r>
              <w:rPr>
                <w:rFonts w:ascii="仿宋_GB2312" w:hAnsi="仿宋_GB2312" w:cs="仿宋_GB2312" w:eastAsia="仿宋_GB2312"/>
              </w:rPr>
              <w:t>1、项目名称：陕西开放大学2026年度中文纸质图书采购</w:t>
            </w:r>
          </w:p>
          <w:p>
            <w:pPr>
              <w:pStyle w:val="null3"/>
              <w:ind w:firstLine="400"/>
            </w:pPr>
            <w:r>
              <w:rPr>
                <w:rFonts w:ascii="仿宋_GB2312" w:hAnsi="仿宋_GB2312" w:cs="仿宋_GB2312" w:eastAsia="仿宋_GB2312"/>
              </w:rPr>
              <w:t>2、采购内容及范围：图书类目为符合采购方学科专业的自然科学类图书</w:t>
            </w:r>
            <w:r>
              <w:rPr>
                <w:rFonts w:ascii="仿宋_GB2312" w:hAnsi="仿宋_GB2312" w:cs="仿宋_GB2312" w:eastAsia="仿宋_GB2312"/>
              </w:rPr>
              <w:t>等</w:t>
            </w:r>
            <w:r>
              <w:rPr>
                <w:rFonts w:ascii="仿宋_GB2312" w:hAnsi="仿宋_GB2312" w:cs="仿宋_GB2312" w:eastAsia="仿宋_GB2312"/>
              </w:rPr>
              <w:t>共计约</w:t>
            </w:r>
            <w:r>
              <w:rPr>
                <w:rFonts w:ascii="仿宋_GB2312" w:hAnsi="仿宋_GB2312" w:cs="仿宋_GB2312" w:eastAsia="仿宋_GB2312"/>
              </w:rPr>
              <w:t>6200册。</w:t>
            </w:r>
          </w:p>
          <w:p>
            <w:pPr>
              <w:pStyle w:val="null3"/>
              <w:ind w:firstLine="400"/>
            </w:pPr>
            <w:r>
              <w:rPr>
                <w:rFonts w:ascii="仿宋_GB2312" w:hAnsi="仿宋_GB2312" w:cs="仿宋_GB2312" w:eastAsia="仿宋_GB2312"/>
              </w:rPr>
              <w:t>3、报价方式：图书码洋基础上的优惠率。投标供应商的固定优惠率在合同执行期间固定不变，中标单位不得以任何理由予以变更，除非招标方提出的服务变更。</w:t>
            </w:r>
          </w:p>
          <w:p>
            <w:pPr>
              <w:pStyle w:val="null3"/>
              <w:ind w:firstLine="400"/>
            </w:pPr>
            <w:r>
              <w:rPr>
                <w:rFonts w:ascii="仿宋_GB2312" w:hAnsi="仿宋_GB2312" w:cs="仿宋_GB2312" w:eastAsia="仿宋_GB2312"/>
              </w:rPr>
              <w:t>4、采购方式：采购以书目采购（包括供应商提供及采购方自行定制的书目）、现场采购及零星采购等相结合的方式。</w:t>
            </w:r>
          </w:p>
          <w:p>
            <w:pPr>
              <w:pStyle w:val="null3"/>
              <w:ind w:firstLine="400"/>
            </w:pPr>
            <w:r>
              <w:rPr>
                <w:rFonts w:ascii="仿宋_GB2312" w:hAnsi="仿宋_GB2312" w:cs="仿宋_GB2312" w:eastAsia="仿宋_GB2312"/>
              </w:rPr>
              <w:t>5.复本量：视学科及专业需求而定，每种图书的复本量一般为3册。</w:t>
            </w:r>
          </w:p>
          <w:p>
            <w:pPr>
              <w:pStyle w:val="null3"/>
              <w:ind w:firstLine="400"/>
            </w:pPr>
            <w:r>
              <w:rPr>
                <w:rFonts w:ascii="仿宋_GB2312" w:hAnsi="仿宋_GB2312" w:cs="仿宋_GB2312" w:eastAsia="仿宋_GB2312"/>
              </w:rPr>
              <w:t>6、结算方式：一次付清。</w:t>
            </w:r>
          </w:p>
          <w:p>
            <w:pPr>
              <w:pStyle w:val="null3"/>
              <w:ind w:firstLine="400"/>
            </w:pPr>
            <w:r>
              <w:rPr>
                <w:rFonts w:ascii="仿宋_GB2312" w:hAnsi="仿宋_GB2312" w:cs="仿宋_GB2312" w:eastAsia="仿宋_GB2312"/>
              </w:rPr>
              <w:t>7、服务期限：自合同签订生效后半年。</w:t>
            </w:r>
          </w:p>
          <w:p>
            <w:pPr>
              <w:pStyle w:val="null3"/>
              <w:ind w:firstLine="400"/>
            </w:pPr>
            <w:r>
              <w:rPr>
                <w:rFonts w:ascii="仿宋_GB2312" w:hAnsi="仿宋_GB2312" w:cs="仿宋_GB2312" w:eastAsia="仿宋_GB2312"/>
              </w:rPr>
              <w:t>二、具体采购内容及方式</w:t>
            </w:r>
          </w:p>
          <w:p>
            <w:pPr>
              <w:pStyle w:val="null3"/>
              <w:ind w:firstLine="400"/>
            </w:pPr>
            <w:r>
              <w:rPr>
                <w:rFonts w:ascii="仿宋_GB2312" w:hAnsi="仿宋_GB2312" w:cs="仿宋_GB2312" w:eastAsia="仿宋_GB2312"/>
              </w:rPr>
              <w:t>1、采购内容：符合采购方专业设置及学科建设要求，采购2024年1月之后出版发行的正版纸质图书。</w:t>
            </w:r>
          </w:p>
          <w:p>
            <w:pPr>
              <w:pStyle w:val="null3"/>
              <w:ind w:firstLine="400"/>
            </w:pPr>
            <w:r>
              <w:rPr>
                <w:rFonts w:ascii="仿宋_GB2312" w:hAnsi="仿宋_GB2312" w:cs="仿宋_GB2312" w:eastAsia="仿宋_GB2312"/>
              </w:rPr>
              <w:t>合同包</w:t>
            </w:r>
            <w:r>
              <w:rPr>
                <w:rFonts w:ascii="仿宋_GB2312" w:hAnsi="仿宋_GB2312" w:cs="仿宋_GB2312" w:eastAsia="仿宋_GB2312"/>
              </w:rPr>
              <w:t>2，自然科学类图书，预算金额30万元，约6200册；</w:t>
            </w:r>
          </w:p>
          <w:p>
            <w:pPr>
              <w:pStyle w:val="null3"/>
              <w:jc w:val="center"/>
            </w:pPr>
            <w:r>
              <w:rPr>
                <w:rFonts w:ascii="仿宋_GB2312" w:hAnsi="仿宋_GB2312" w:cs="仿宋_GB2312" w:eastAsia="仿宋_GB2312"/>
              </w:rPr>
              <w:t>（附采购方二级学院及相关专业名录）</w:t>
            </w:r>
          </w:p>
          <w:tbl>
            <w:tblPr>
              <w:tblInd w:type="dxa" w:w="255"/>
              <w:tblBorders>
                <w:top w:val="none" w:color="000000" w:sz="4"/>
                <w:left w:val="none" w:color="000000" w:sz="4"/>
                <w:bottom w:val="none" w:color="000000" w:sz="4"/>
                <w:right w:val="none" w:color="000000" w:sz="4"/>
                <w:insideH w:val="none"/>
                <w:insideV w:val="none"/>
              </w:tblBorders>
            </w:tblPr>
            <w:tblGrid>
              <w:gridCol w:w="239"/>
              <w:gridCol w:w="471"/>
              <w:gridCol w:w="1844"/>
            </w:tblGrid>
            <w:tr>
              <w:tc>
                <w:tcPr>
                  <w:tcW w:type="dxa" w:w="239"/>
                  <w:vMerge w:val="restart"/>
                  <w:tcBorders>
                    <w:top w:val="single" w:color="333333"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471"/>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w:t>
                  </w:r>
                  <w:r>
                    <w:rPr>
                      <w:rFonts w:ascii="仿宋_GB2312" w:hAnsi="仿宋_GB2312" w:cs="仿宋_GB2312" w:eastAsia="仿宋_GB2312"/>
                      <w:sz w:val="19"/>
                    </w:rPr>
                    <w:t xml:space="preserve">  </w:t>
                  </w:r>
                  <w:r>
                    <w:rPr>
                      <w:rFonts w:ascii="仿宋_GB2312" w:hAnsi="仿宋_GB2312" w:cs="仿宋_GB2312" w:eastAsia="仿宋_GB2312"/>
                      <w:sz w:val="19"/>
                    </w:rPr>
                    <w:t>院</w:t>
                  </w:r>
                </w:p>
              </w:tc>
              <w:tc>
                <w:tcPr>
                  <w:tcW w:type="dxa" w:w="1844"/>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专业名称</w:t>
                  </w:r>
                </w:p>
              </w:tc>
            </w:tr>
            <w:tr>
              <w:tc>
                <w:tcPr>
                  <w:tcW w:type="dxa" w:w="239"/>
                  <w:vMerge/>
                  <w:tcBorders>
                    <w:top w:val="single" w:color="333333" w:sz="4"/>
                    <w:left w:val="single" w:color="333333" w:sz="4"/>
                    <w:bottom w:val="single" w:color="333333" w:sz="4"/>
                    <w:right w:val="single" w:color="333333" w:sz="4"/>
                  </w:tcBorders>
                </w:tcPr>
                <w:p/>
              </w:tc>
              <w:tc>
                <w:tcPr>
                  <w:tcW w:type="dxa" w:w="471"/>
                  <w:vMerge/>
                  <w:tcBorders>
                    <w:top w:val="single" w:color="333333" w:sz="4"/>
                    <w:left w:val="none" w:color="000000" w:sz="4"/>
                    <w:bottom w:val="single" w:color="333333" w:sz="4"/>
                    <w:right w:val="single" w:color="333333" w:sz="4"/>
                  </w:tcBorders>
                </w:tcPr>
                <w:p/>
              </w:tc>
              <w:tc>
                <w:tcPr>
                  <w:tcW w:type="dxa" w:w="1844"/>
                  <w:vMerge/>
                  <w:tcBorders>
                    <w:top w:val="single" w:color="333333" w:sz="4"/>
                    <w:left w:val="none" w:color="000000" w:sz="4"/>
                    <w:bottom w:val="single" w:color="333333" w:sz="4"/>
                    <w:right w:val="single" w:color="333333" w:sz="4"/>
                  </w:tcBorders>
                </w:tcPr>
                <w:p/>
              </w:tc>
            </w:tr>
            <w:tr>
              <w:tc>
                <w:tcPr>
                  <w:tcW w:type="dxa" w:w="239"/>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47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会计金融学院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大数据与会计</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大数据与财务管理</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金融服务与管理</w:t>
                  </w:r>
                </w:p>
              </w:tc>
            </w:tr>
            <w:tr>
              <w:tc>
                <w:tcPr>
                  <w:tcW w:type="dxa" w:w="239"/>
                  <w:vMerge w:val="restart"/>
                  <w:tcBorders>
                    <w:top w:val="single" w:color="333333"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471"/>
                  <w:vMerge w:val="restart"/>
                  <w:tcBorders>
                    <w:top w:val="single" w:color="333333"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管理学院</w:t>
                  </w:r>
                </w:p>
                <w:p>
                  <w:pPr>
                    <w:pStyle w:val="null3"/>
                    <w:jc w:val="center"/>
                  </w:p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现代物流管理</w:t>
                  </w:r>
                </w:p>
              </w:tc>
            </w:tr>
            <w:tr>
              <w:tc>
                <w:tcPr>
                  <w:tcW w:type="dxa" w:w="239"/>
                  <w:vMerge/>
                  <w:tcBorders>
                    <w:top w:val="single" w:color="333333" w:sz="4"/>
                    <w:left w:val="single" w:color="333333" w:sz="4"/>
                    <w:bottom w:val="outset" w:color="000000" w:sz="4"/>
                    <w:right w:val="single" w:color="333333" w:sz="4"/>
                  </w:tcBorders>
                </w:tcPr>
                <w:p/>
              </w:tc>
              <w:tc>
                <w:tcPr>
                  <w:tcW w:type="dxa" w:w="471"/>
                  <w:vMerge/>
                  <w:tcBorders>
                    <w:top w:val="single" w:color="333333"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市场营销</w:t>
                  </w:r>
                </w:p>
              </w:tc>
            </w:tr>
            <w:tr>
              <w:tc>
                <w:tcPr>
                  <w:tcW w:type="dxa" w:w="239"/>
                  <w:vMerge/>
                  <w:tcBorders>
                    <w:top w:val="single" w:color="333333" w:sz="4"/>
                    <w:left w:val="single" w:color="333333" w:sz="4"/>
                    <w:bottom w:val="outset" w:color="000000" w:sz="4"/>
                    <w:right w:val="single" w:color="333333" w:sz="4"/>
                  </w:tcBorders>
                </w:tcPr>
                <w:p/>
              </w:tc>
              <w:tc>
                <w:tcPr>
                  <w:tcW w:type="dxa" w:w="471"/>
                  <w:vMerge/>
                  <w:tcBorders>
                    <w:top w:val="single" w:color="333333"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关务与外贸服务</w:t>
                  </w:r>
                </w:p>
              </w:tc>
            </w:tr>
            <w:tr>
              <w:tc>
                <w:tcPr>
                  <w:tcW w:type="dxa" w:w="239"/>
                  <w:vMerge/>
                  <w:tcBorders>
                    <w:top w:val="single" w:color="333333" w:sz="4"/>
                    <w:left w:val="single" w:color="333333" w:sz="4"/>
                    <w:bottom w:val="outset" w:color="000000" w:sz="4"/>
                    <w:right w:val="single" w:color="333333" w:sz="4"/>
                  </w:tcBorders>
                </w:tcPr>
                <w:p/>
              </w:tc>
              <w:tc>
                <w:tcPr>
                  <w:tcW w:type="dxa" w:w="471"/>
                  <w:vMerge/>
                  <w:tcBorders>
                    <w:top w:val="single" w:color="333333"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电子商务</w:t>
                  </w:r>
                </w:p>
              </w:tc>
            </w:tr>
            <w:tr>
              <w:tc>
                <w:tcPr>
                  <w:tcW w:type="dxa" w:w="239"/>
                  <w:vMerge/>
                  <w:tcBorders>
                    <w:top w:val="single" w:color="333333" w:sz="4"/>
                    <w:left w:val="single" w:color="333333" w:sz="4"/>
                    <w:bottom w:val="outset" w:color="000000" w:sz="4"/>
                    <w:right w:val="single" w:color="333333" w:sz="4"/>
                  </w:tcBorders>
                </w:tcPr>
                <w:p/>
              </w:tc>
              <w:tc>
                <w:tcPr>
                  <w:tcW w:type="dxa" w:w="471"/>
                  <w:vMerge/>
                  <w:tcBorders>
                    <w:top w:val="single" w:color="333333"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人力资源管理</w:t>
                  </w:r>
                </w:p>
              </w:tc>
            </w:tr>
            <w:tr>
              <w:tc>
                <w:tcPr>
                  <w:tcW w:type="dxa" w:w="239"/>
                  <w:vMerge/>
                  <w:tcBorders>
                    <w:top w:val="single" w:color="333333" w:sz="4"/>
                    <w:left w:val="single" w:color="333333" w:sz="4"/>
                    <w:bottom w:val="outset" w:color="000000" w:sz="4"/>
                    <w:right w:val="single" w:color="333333" w:sz="4"/>
                  </w:tcBorders>
                </w:tcPr>
                <w:p/>
              </w:tc>
              <w:tc>
                <w:tcPr>
                  <w:tcW w:type="dxa" w:w="471"/>
                  <w:vMerge/>
                  <w:tcBorders>
                    <w:top w:val="single" w:color="333333"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供应链运营</w:t>
                  </w:r>
                </w:p>
              </w:tc>
            </w:tr>
            <w:tr>
              <w:tc>
                <w:tcPr>
                  <w:tcW w:type="dxa" w:w="239"/>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47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建筑设备工程技术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建筑装饰工程技术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建设工程管理</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建筑智能化工程技术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现代物业管理</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工程造价</w:t>
                  </w:r>
                </w:p>
              </w:tc>
            </w:tr>
            <w:tr>
              <w:tc>
                <w:tcPr>
                  <w:tcW w:type="dxa" w:w="239"/>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47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旅游与酒店管理学院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旅游管理</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酒店管理与数字化运营</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空中乘务</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旅游英语</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旅游日语</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会展策划与管理</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烹饪工艺与营养</w:t>
                  </w:r>
                </w:p>
              </w:tc>
            </w:tr>
            <w:tr>
              <w:tc>
                <w:tcPr>
                  <w:tcW w:type="dxa" w:w="239"/>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47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信息与未来技术学院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计算机应用技术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信息安全技术应用</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现代移动通信技术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网络营销与直播电商</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大数据技术</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虚拟现实技术应用</w:t>
                  </w:r>
                </w:p>
              </w:tc>
            </w:tr>
            <w:tr>
              <w:tc>
                <w:tcPr>
                  <w:tcW w:type="dxa" w:w="239"/>
                  <w:vMerge/>
                  <w:tcBorders>
                    <w:top w:val="none" w:color="000000" w:sz="4"/>
                    <w:left w:val="single" w:color="333333" w:sz="4"/>
                    <w:bottom w:val="single" w:color="333333" w:sz="4"/>
                    <w:right w:val="single" w:color="333333" w:sz="4"/>
                  </w:tcBorders>
                </w:tcPr>
                <w:p/>
              </w:tc>
              <w:tc>
                <w:tcPr>
                  <w:tcW w:type="dxa" w:w="471"/>
                  <w:vMerge/>
                  <w:tcBorders>
                    <w:top w:val="none" w:color="000000" w:sz="4"/>
                    <w:left w:val="none" w:color="000000" w:sz="4"/>
                    <w:bottom w:val="single" w:color="333333"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人工智能技术应用</w:t>
                  </w:r>
                </w:p>
              </w:tc>
            </w:tr>
            <w:tr>
              <w:tc>
                <w:tcPr>
                  <w:tcW w:type="dxa" w:w="239"/>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47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艺术设计学院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广播影视节目制作</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广告艺术设计</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舞台艺术设计与制作</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环境艺术设计</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数字媒体艺术设计</w:t>
                  </w:r>
                </w:p>
              </w:tc>
            </w:tr>
            <w:tr>
              <w:tc>
                <w:tcPr>
                  <w:tcW w:type="dxa" w:w="239"/>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47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智能制造学院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汽车制造与试验技术</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飞机机电设备维修</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新能源汽车技术</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汽车检测与维修技术</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工业机器人技术</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数控技术</w:t>
                  </w:r>
                </w:p>
              </w:tc>
            </w:tr>
            <w:tr>
              <w:tc>
                <w:tcPr>
                  <w:tcW w:type="dxa" w:w="239"/>
                  <w:vMerge/>
                  <w:tcBorders>
                    <w:top w:val="none" w:color="000000" w:sz="4"/>
                    <w:left w:val="single" w:color="333333" w:sz="4"/>
                    <w:bottom w:val="outset" w:color="000000" w:sz="4"/>
                    <w:right w:val="single" w:color="333333" w:sz="4"/>
                  </w:tcBorders>
                </w:tcPr>
                <w:p/>
              </w:tc>
              <w:tc>
                <w:tcPr>
                  <w:tcW w:type="dxa" w:w="471"/>
                  <w:vMerge/>
                  <w:tcBorders>
                    <w:top w:val="none" w:color="000000" w:sz="4"/>
                    <w:left w:val="none" w:color="000000" w:sz="4"/>
                    <w:bottom w:val="outset" w:color="000000" w:sz="4"/>
                    <w:right w:val="single" w:color="333333" w:sz="4"/>
                  </w:tcBorders>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机电一体化技术</w:t>
                  </w:r>
                </w:p>
              </w:tc>
            </w:tr>
            <w:tr>
              <w:tc>
                <w:tcPr>
                  <w:tcW w:type="dxa" w:w="239"/>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47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学前师范学院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学前教育</w:t>
                  </w:r>
                </w:p>
              </w:tc>
            </w:tr>
            <w:tr>
              <w:tc>
                <w:tcPr>
                  <w:tcW w:type="dxa" w:w="239"/>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p>
              </w:tc>
              <w:tc>
                <w:tcPr>
                  <w:tcW w:type="dxa" w:w="47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早期教育</w:t>
                  </w:r>
                </w:p>
              </w:tc>
            </w:tr>
            <w:tr>
              <w:tc>
                <w:tcPr>
                  <w:tcW w:type="dxa" w:w="239"/>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47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护理与健康学院</w:t>
                  </w:r>
                </w:p>
              </w:tc>
              <w:tc>
                <w:tcPr>
                  <w:tcW w:type="dxa" w:w="1844"/>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w:t>
                  </w:r>
                </w:p>
              </w:tc>
            </w:tr>
          </w:tbl>
          <w:p>
            <w:pPr>
              <w:pStyle w:val="null3"/>
            </w:pPr>
            <w:r>
              <w:rPr>
                <w:rFonts w:ascii="仿宋_GB2312" w:hAnsi="仿宋_GB2312" w:cs="仿宋_GB2312" w:eastAsia="仿宋_GB2312"/>
              </w:rPr>
              <w:t>2、出版社要求：供应商与全国大多数出版机构有直接的业务往来，图书经营品种至少达到当年全国出版图书品种的60%以上，能保证涵盖采购方95%以上学科所需图书的采购供应。以下出版社图书为2026年度陕西开放大学图书馆纸质图书采购的重点对象：</w:t>
            </w:r>
          </w:p>
          <w:p>
            <w:pPr>
              <w:pStyle w:val="null3"/>
              <w:ind w:firstLine="400"/>
            </w:pPr>
            <w:r>
              <w:rPr>
                <w:rFonts w:ascii="仿宋_GB2312" w:hAnsi="仿宋_GB2312" w:cs="仿宋_GB2312" w:eastAsia="仿宋_GB2312"/>
              </w:rPr>
              <w:t>高等教育出版社、科学出版社、商务印书馆、中华书局、上海三联书店、生活</w:t>
            </w:r>
            <w:r>
              <w:rPr>
                <w:rFonts w:ascii="仿宋_GB2312" w:hAnsi="仿宋_GB2312" w:cs="仿宋_GB2312" w:eastAsia="仿宋_GB2312"/>
              </w:rPr>
              <w:t>·读书·新知三联书店、人民出版社、人民文学出版社、译林出版社、中国青年出版社、中国经济出版社、经济科学出版社、法律出版社、中国金融出版社、经济管理出版社、立信会计出版社、中国政法大学出版社、科学出版社、中央编译出版社、社会科学文献出版社、中国财政经济出版社、中国社会科学出版社、上海译文出版社、外国文学出版社、中国建筑工业出版社、电子工业出版社、机械工业出版社及北京大学出版社、清华大学出版社、中国人民大学出版社、北京师范大学出版社、复旦大学出版社、上海财经大学出版社、外语教学与研究出版社、西北大学出版社、陕西师范大学出版社、广西师范大学出版社等大学出版社。供应商提供与以上出版社合作的授权书等证明材料。</w:t>
            </w:r>
          </w:p>
          <w:p>
            <w:pPr>
              <w:pStyle w:val="null3"/>
              <w:ind w:firstLine="400"/>
            </w:pPr>
            <w:r>
              <w:rPr>
                <w:rFonts w:ascii="仿宋_GB2312" w:hAnsi="仿宋_GB2312" w:cs="仿宋_GB2312" w:eastAsia="仿宋_GB2312"/>
              </w:rPr>
              <w:t>3、书目采购要求：供应商应保证以上重点出版社图书品种齐全，将招标文件所列重点出版社所有书目及出版动态每月一次提供作为参考，并根据采购方的专业、学科设置及具体要求，定期提供适合高校图书馆文献资源建设的新书书目，书目目录应包括：ISBN号、作者、出版社、出版日期、中图分类号、册套、定价及内容简介等；采访书目应剔除小开本、无书脊、袋装、散页、中小学教辅、青少年读物等明显不符合高校图书馆入藏要求的图书。</w:t>
            </w:r>
          </w:p>
          <w:p>
            <w:pPr>
              <w:pStyle w:val="null3"/>
              <w:ind w:firstLine="400"/>
            </w:pPr>
            <w:r>
              <w:rPr>
                <w:rFonts w:ascii="仿宋_GB2312" w:hAnsi="仿宋_GB2312" w:cs="仿宋_GB2312" w:eastAsia="仿宋_GB2312"/>
              </w:rPr>
              <w:t>4、现场采购：中标人应及时通报全国性大型图书展销会、投标人、出版社等举办的现场订货会等信息，并应满足采购方提出的到全国性大型图书展销会、订货会或指定地点现场采购图书的要求，负责安排图书现采有关事宜。</w:t>
            </w:r>
          </w:p>
          <w:p>
            <w:pPr>
              <w:pStyle w:val="null3"/>
              <w:ind w:firstLine="400"/>
            </w:pPr>
            <w:r>
              <w:rPr>
                <w:rFonts w:ascii="仿宋_GB2312" w:hAnsi="仿宋_GB2312" w:cs="仿宋_GB2312" w:eastAsia="仿宋_GB2312"/>
              </w:rPr>
              <w:t>三、图书配送要求</w:t>
            </w:r>
          </w:p>
          <w:p>
            <w:pPr>
              <w:pStyle w:val="null3"/>
              <w:ind w:firstLine="400"/>
            </w:pPr>
            <w:r>
              <w:rPr>
                <w:rFonts w:ascii="仿宋_GB2312" w:hAnsi="仿宋_GB2312" w:cs="仿宋_GB2312" w:eastAsia="仿宋_GB2312"/>
              </w:rPr>
              <w:t>1、订单查重和单本码洋要求：严格对采购方选订或报订的订单书目进行查重，与采购方核实确认，避免重复购书，单本码洋不得低于40元。</w:t>
            </w:r>
          </w:p>
          <w:p>
            <w:pPr>
              <w:pStyle w:val="null3"/>
              <w:ind w:firstLine="400"/>
            </w:pPr>
            <w:r>
              <w:rPr>
                <w:rFonts w:ascii="仿宋_GB2312" w:hAnsi="仿宋_GB2312" w:cs="仿宋_GB2312" w:eastAsia="仿宋_GB2312"/>
              </w:rPr>
              <w:t>2、供应商收到图书采购订单后应在一个工作日内回告，核实订单的图书预订册数和金额，并根据采购方提供的书目订单及时组织图书。及时向采购方通报图书组织情况，对于未采购到的图书说明原因。</w:t>
            </w:r>
          </w:p>
          <w:p>
            <w:pPr>
              <w:pStyle w:val="null3"/>
              <w:ind w:firstLine="400"/>
            </w:pPr>
            <w:r>
              <w:rPr>
                <w:rFonts w:ascii="仿宋_GB2312" w:hAnsi="仿宋_GB2312" w:cs="仿宋_GB2312" w:eastAsia="仿宋_GB2312"/>
              </w:rPr>
              <w:t>3、供应商收到采购方订购单之日起，预定图书（订单配书）应当在25个工作日内完成送货，到货率不低于90%；现采图书应在10个工作日内完成图书配送，到货率不低于95%。</w:t>
            </w:r>
          </w:p>
          <w:p>
            <w:pPr>
              <w:pStyle w:val="null3"/>
              <w:ind w:firstLine="400"/>
            </w:pPr>
            <w:r>
              <w:rPr>
                <w:rFonts w:ascii="仿宋_GB2312" w:hAnsi="仿宋_GB2312" w:cs="仿宋_GB2312" w:eastAsia="仿宋_GB2312"/>
              </w:rPr>
              <w:t>4、订单订购或现采图书完成后，及时送交采购方指定地点。采用防水包装纸打包，每批图书附加盖公章的清单一式两份（一份总清单，一份随包清单）。清单包含信息：书名、ISBN号、出版社、价格、复本数量以及当次送书每包册数、种数、码洋，及合计总册数、种数及总码洋等。图书在包中封装顺序与图书清单顺序一致。</w:t>
            </w:r>
          </w:p>
          <w:p>
            <w:pPr>
              <w:pStyle w:val="null3"/>
              <w:ind w:firstLine="400"/>
            </w:pPr>
            <w:r>
              <w:rPr>
                <w:rFonts w:ascii="仿宋_GB2312" w:hAnsi="仿宋_GB2312" w:cs="仿宋_GB2312" w:eastAsia="仿宋_GB2312"/>
              </w:rPr>
              <w:t>5、本批次到书品种与订单不一致超过5%、或存在严重质量问题的，采购方有权拒绝接受，并视情况决定是否继续采购。</w:t>
            </w:r>
          </w:p>
          <w:p>
            <w:pPr>
              <w:pStyle w:val="null3"/>
              <w:ind w:firstLine="400"/>
            </w:pPr>
            <w:r>
              <w:rPr>
                <w:rFonts w:ascii="仿宋_GB2312" w:hAnsi="仿宋_GB2312" w:cs="仿宋_GB2312" w:eastAsia="仿宋_GB2312"/>
              </w:rPr>
              <w:t>6、中标供应商连续两次没有按时间要求送货的，采购方不再向中标人发单或组织采购。</w:t>
            </w:r>
          </w:p>
          <w:p>
            <w:pPr>
              <w:pStyle w:val="null3"/>
              <w:ind w:firstLine="400"/>
            </w:pPr>
            <w:r>
              <w:rPr>
                <w:rFonts w:ascii="仿宋_GB2312" w:hAnsi="仿宋_GB2312" w:cs="仿宋_GB2312" w:eastAsia="仿宋_GB2312"/>
              </w:rPr>
              <w:t>7、采购方按批次统计到书率，时间从中标人收到订单次日起算，至相应规定的配送期限为止，到书率连续两次低于最终订单90%的，采购方不再向中标人发单或组织采购。</w:t>
            </w:r>
          </w:p>
          <w:p>
            <w:pPr>
              <w:pStyle w:val="null3"/>
            </w:pPr>
            <w:r>
              <w:rPr>
                <w:rFonts w:ascii="仿宋_GB2312" w:hAnsi="仿宋_GB2312" w:cs="仿宋_GB2312" w:eastAsia="仿宋_GB2312"/>
              </w:rPr>
              <w:t>8、订单验收结束时，中标人须及时提供未到品种情况说明。</w:t>
            </w:r>
          </w:p>
          <w:p>
            <w:pPr>
              <w:pStyle w:val="null3"/>
              <w:ind w:firstLine="400"/>
            </w:pPr>
            <w:r>
              <w:rPr>
                <w:rFonts w:ascii="仿宋_GB2312" w:hAnsi="仿宋_GB2312" w:cs="仿宋_GB2312" w:eastAsia="仿宋_GB2312"/>
              </w:rPr>
              <w:t>四、图书质量、验收与退货要求</w:t>
            </w:r>
          </w:p>
          <w:p>
            <w:pPr>
              <w:pStyle w:val="null3"/>
              <w:ind w:firstLine="400"/>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w:t>
            </w:r>
          </w:p>
          <w:p>
            <w:pPr>
              <w:pStyle w:val="null3"/>
              <w:ind w:firstLine="400"/>
            </w:pPr>
            <w:r>
              <w:rPr>
                <w:rFonts w:ascii="仿宋_GB2312" w:hAnsi="仿宋_GB2312" w:cs="仿宋_GB2312" w:eastAsia="仿宋_GB2312"/>
              </w:rPr>
              <w:t>2、对单册码洋200元以上、开本小于14cm的图书以及散页、线装、挂图、练习册、实验报告册和非当年出版的考试用书，以及分册三册以上的套书，必须经采购方二次确认方可供书；否则，采购方可以视为中标人自行配书。</w:t>
            </w:r>
          </w:p>
          <w:p>
            <w:pPr>
              <w:pStyle w:val="null3"/>
              <w:ind w:firstLine="400"/>
            </w:pPr>
            <w:r>
              <w:rPr>
                <w:rFonts w:ascii="仿宋_GB2312" w:hAnsi="仿宋_GB2312" w:cs="仿宋_GB2312" w:eastAsia="仿宋_GB2312"/>
              </w:rPr>
              <w:t>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ind w:firstLine="400"/>
            </w:pPr>
            <w:r>
              <w:rPr>
                <w:rFonts w:ascii="仿宋_GB2312" w:hAnsi="仿宋_GB2312" w:cs="仿宋_GB2312" w:eastAsia="仿宋_GB2312"/>
              </w:rPr>
              <w:t>五、加工技术要求</w:t>
            </w:r>
          </w:p>
          <w:p>
            <w:pPr>
              <w:pStyle w:val="null3"/>
              <w:ind w:firstLine="400"/>
            </w:pPr>
            <w:r>
              <w:rPr>
                <w:rFonts w:ascii="仿宋_GB2312" w:hAnsi="仿宋_GB2312" w:cs="仿宋_GB2312" w:eastAsia="仿宋_GB2312"/>
              </w:rPr>
              <w:t>（一）采访、编目数据要求</w:t>
            </w:r>
          </w:p>
          <w:p>
            <w:pPr>
              <w:pStyle w:val="null3"/>
              <w:ind w:firstLine="400"/>
            </w:pPr>
            <w:r>
              <w:rPr>
                <w:rFonts w:ascii="仿宋_GB2312" w:hAnsi="仿宋_GB2312" w:cs="仿宋_GB2312" w:eastAsia="仿宋_GB2312"/>
              </w:rPr>
              <w:t>1、供应商须为采购方免费提供规范、标准的CNMARC编目数据，编目数据需符合CALIS联合编目标准及其它规则。</w:t>
            </w:r>
          </w:p>
          <w:p>
            <w:pPr>
              <w:pStyle w:val="null3"/>
              <w:ind w:firstLine="400"/>
            </w:pPr>
            <w:r>
              <w:rPr>
                <w:rFonts w:ascii="仿宋_GB2312" w:hAnsi="仿宋_GB2312" w:cs="仿宋_GB2312" w:eastAsia="仿宋_GB2312"/>
              </w:rPr>
              <w:t>2、送书同时须发送编目数据，采购方如发现有缺少或不符合标准CNMARC编目的数据，中标人应及时补发。</w:t>
            </w:r>
          </w:p>
          <w:p>
            <w:pPr>
              <w:pStyle w:val="null3"/>
              <w:ind w:firstLine="400"/>
            </w:pPr>
            <w:r>
              <w:rPr>
                <w:rFonts w:ascii="仿宋_GB2312" w:hAnsi="仿宋_GB2312" w:cs="仿宋_GB2312" w:eastAsia="仿宋_GB2312"/>
              </w:rPr>
              <w:t>3、CNMARC格式的价格部分需为纯数字。</w:t>
            </w:r>
          </w:p>
          <w:p>
            <w:pPr>
              <w:pStyle w:val="null3"/>
              <w:ind w:firstLine="400"/>
            </w:pPr>
            <w:r>
              <w:rPr>
                <w:rFonts w:ascii="仿宋_GB2312" w:hAnsi="仿宋_GB2312" w:cs="仿宋_GB2312" w:eastAsia="仿宋_GB2312"/>
              </w:rPr>
              <w:t>4、对于分为上下册、中英文分册对照的，应按实际分册单列，并将分册信息加入书名字段部分，多卷书须分别标明整套价和单册价。</w:t>
            </w:r>
          </w:p>
          <w:p>
            <w:pPr>
              <w:pStyle w:val="null3"/>
              <w:ind w:firstLine="400"/>
            </w:pPr>
            <w:r>
              <w:rPr>
                <w:rFonts w:ascii="仿宋_GB2312" w:hAnsi="仿宋_GB2312" w:cs="仿宋_GB2312" w:eastAsia="仿宋_GB2312"/>
              </w:rPr>
              <w:t>（二）物理加工要求</w:t>
            </w:r>
          </w:p>
          <w:p>
            <w:pPr>
              <w:pStyle w:val="null3"/>
              <w:ind w:firstLine="400"/>
            </w:pPr>
            <w:r>
              <w:rPr>
                <w:rFonts w:ascii="仿宋_GB2312" w:hAnsi="仿宋_GB2312" w:cs="仿宋_GB2312" w:eastAsia="仿宋_GB2312"/>
              </w:rPr>
              <w:t>供应商须免费提供到馆编目、加工服务，具体包括为所供图书免费提供拆包验收、查重著录、盖章、贴书标条码、覆膜、加磁条、打包送库、上架排架等图书加工服务。并免费提供钴基复合</w:t>
            </w:r>
            <w:r>
              <w:rPr>
                <w:rFonts w:ascii="仿宋_GB2312" w:hAnsi="仿宋_GB2312" w:cs="仿宋_GB2312" w:eastAsia="仿宋_GB2312"/>
              </w:rPr>
              <w:t>16cm磁条、条码、书标、覆膜、打包纸、打包带等所涉及耗材。</w:t>
            </w:r>
          </w:p>
          <w:p>
            <w:pPr>
              <w:pStyle w:val="null3"/>
              <w:ind w:firstLine="400"/>
            </w:pPr>
            <w:r>
              <w:rPr>
                <w:rFonts w:ascii="仿宋_GB2312" w:hAnsi="仿宋_GB2312" w:cs="仿宋_GB2312" w:eastAsia="仿宋_GB2312"/>
              </w:rPr>
              <w:t>六、结算方式：中标供应商须完成合同总价款供货，经双方验收合格，在中标供应商完成加工后的</w:t>
            </w:r>
            <w:r>
              <w:rPr>
                <w:rFonts w:ascii="仿宋_GB2312" w:hAnsi="仿宋_GB2312" w:cs="仿宋_GB2312" w:eastAsia="仿宋_GB2312"/>
              </w:rPr>
              <w:t>5个工作日内，由中标供应商开具合同总价款增值税发票，采购方在30日内支付合同总价款(如特殊原因需延时，采购方应告知中标供应商协商解决)。</w:t>
            </w:r>
          </w:p>
          <w:p>
            <w:pPr>
              <w:pStyle w:val="null3"/>
              <w:ind w:firstLine="400"/>
            </w:pPr>
            <w:r>
              <w:rPr>
                <w:rFonts w:ascii="仿宋_GB2312" w:hAnsi="仿宋_GB2312" w:cs="仿宋_GB2312" w:eastAsia="仿宋_GB2312"/>
              </w:rPr>
              <w:t>七、其他要求</w:t>
            </w:r>
          </w:p>
          <w:p>
            <w:pPr>
              <w:pStyle w:val="null3"/>
              <w:ind w:firstLine="400"/>
            </w:pPr>
            <w:r>
              <w:rPr>
                <w:rFonts w:ascii="仿宋_GB2312" w:hAnsi="仿宋_GB2312" w:cs="仿宋_GB2312" w:eastAsia="仿宋_GB2312"/>
                <w:sz w:val="21"/>
              </w:rPr>
              <w:t>供应商能为图书馆提供有关最新出版的热点图书、畅销书、重点出版图书、名人推荐书单等图书的书目、书评或宣传推广文案；到馆开展畅销书展活动；为图书馆开展读者服务活动提供赞助，及其它有价值的服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标的名称：包三综合类图书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一、项目概述</w:t>
            </w:r>
          </w:p>
          <w:p>
            <w:pPr>
              <w:pStyle w:val="null3"/>
              <w:ind w:firstLine="400"/>
            </w:pPr>
            <w:r>
              <w:rPr>
                <w:rFonts w:ascii="仿宋_GB2312" w:hAnsi="仿宋_GB2312" w:cs="仿宋_GB2312" w:eastAsia="仿宋_GB2312"/>
              </w:rPr>
              <w:t>1、项目名称：陕西开放大学2026年度中文纸质图书采购</w:t>
            </w:r>
          </w:p>
          <w:p>
            <w:pPr>
              <w:pStyle w:val="null3"/>
              <w:ind w:firstLine="400"/>
            </w:pPr>
            <w:r>
              <w:rPr>
                <w:rFonts w:ascii="仿宋_GB2312" w:hAnsi="仿宋_GB2312" w:cs="仿宋_GB2312" w:eastAsia="仿宋_GB2312"/>
              </w:rPr>
              <w:t>2、采购内容及范围：图书类目为符合采购方学科专业的综合类图书等共计约</w:t>
            </w:r>
            <w:r>
              <w:rPr>
                <w:rFonts w:ascii="仿宋_GB2312" w:hAnsi="仿宋_GB2312" w:cs="仿宋_GB2312" w:eastAsia="仿宋_GB2312"/>
              </w:rPr>
              <w:t>6900</w:t>
            </w:r>
            <w:r>
              <w:rPr>
                <w:rFonts w:ascii="仿宋_GB2312" w:hAnsi="仿宋_GB2312" w:cs="仿宋_GB2312" w:eastAsia="仿宋_GB2312"/>
              </w:rPr>
              <w:t>册。</w:t>
            </w:r>
          </w:p>
          <w:p>
            <w:pPr>
              <w:pStyle w:val="null3"/>
              <w:ind w:firstLine="400"/>
            </w:pPr>
            <w:r>
              <w:rPr>
                <w:rFonts w:ascii="仿宋_GB2312" w:hAnsi="仿宋_GB2312" w:cs="仿宋_GB2312" w:eastAsia="仿宋_GB2312"/>
              </w:rPr>
              <w:t>3、报价方式：图书码洋基础上的优惠率。投标供应商的固定优惠率在合同执行期间固定不变，中标单位不得以任何理由予以变更，除非招标方提出的服务变更。</w:t>
            </w:r>
          </w:p>
          <w:p>
            <w:pPr>
              <w:pStyle w:val="null3"/>
              <w:ind w:firstLine="400"/>
            </w:pPr>
            <w:r>
              <w:rPr>
                <w:rFonts w:ascii="仿宋_GB2312" w:hAnsi="仿宋_GB2312" w:cs="仿宋_GB2312" w:eastAsia="仿宋_GB2312"/>
              </w:rPr>
              <w:t>4、采购方式：采购以书目采购（包括供应商提供及采购方自行定制的书目）、现场采购及零星采购等相结合的方式。</w:t>
            </w:r>
          </w:p>
          <w:p>
            <w:pPr>
              <w:pStyle w:val="null3"/>
              <w:ind w:firstLine="400"/>
            </w:pPr>
            <w:r>
              <w:rPr>
                <w:rFonts w:ascii="仿宋_GB2312" w:hAnsi="仿宋_GB2312" w:cs="仿宋_GB2312" w:eastAsia="仿宋_GB2312"/>
              </w:rPr>
              <w:t>5.复本量：视学科及专业需求而定，每种图书的复本量一般为3册。</w:t>
            </w:r>
          </w:p>
          <w:p>
            <w:pPr>
              <w:pStyle w:val="null3"/>
              <w:ind w:firstLine="400"/>
            </w:pPr>
            <w:r>
              <w:rPr>
                <w:rFonts w:ascii="仿宋_GB2312" w:hAnsi="仿宋_GB2312" w:cs="仿宋_GB2312" w:eastAsia="仿宋_GB2312"/>
              </w:rPr>
              <w:t>6、结算方式：一次付清。</w:t>
            </w:r>
          </w:p>
          <w:p>
            <w:pPr>
              <w:pStyle w:val="null3"/>
              <w:ind w:firstLine="400"/>
            </w:pPr>
            <w:r>
              <w:rPr>
                <w:rFonts w:ascii="仿宋_GB2312" w:hAnsi="仿宋_GB2312" w:cs="仿宋_GB2312" w:eastAsia="仿宋_GB2312"/>
              </w:rPr>
              <w:t>7、服务期限：自合同签订生效后半年。</w:t>
            </w:r>
          </w:p>
          <w:p>
            <w:pPr>
              <w:pStyle w:val="null3"/>
              <w:ind w:firstLine="400"/>
            </w:pPr>
            <w:r>
              <w:rPr>
                <w:rFonts w:ascii="仿宋_GB2312" w:hAnsi="仿宋_GB2312" w:cs="仿宋_GB2312" w:eastAsia="仿宋_GB2312"/>
              </w:rPr>
              <w:t>二、具体采购内容及方式</w:t>
            </w:r>
          </w:p>
          <w:p>
            <w:pPr>
              <w:pStyle w:val="null3"/>
              <w:ind w:firstLine="400"/>
            </w:pPr>
            <w:r>
              <w:rPr>
                <w:rFonts w:ascii="仿宋_GB2312" w:hAnsi="仿宋_GB2312" w:cs="仿宋_GB2312" w:eastAsia="仿宋_GB2312"/>
              </w:rPr>
              <w:t>1、采购内容：符合采购方专业设置及学科建设要求，采购2024年1月之后出版发行的正版纸质图书。</w:t>
            </w:r>
          </w:p>
          <w:p>
            <w:pPr>
              <w:pStyle w:val="null3"/>
              <w:ind w:firstLine="400"/>
            </w:pPr>
            <w:r>
              <w:rPr>
                <w:rFonts w:ascii="仿宋_GB2312" w:hAnsi="仿宋_GB2312" w:cs="仿宋_GB2312" w:eastAsia="仿宋_GB2312"/>
              </w:rPr>
              <w:t>合同包</w:t>
            </w:r>
            <w:r>
              <w:rPr>
                <w:rFonts w:ascii="仿宋_GB2312" w:hAnsi="仿宋_GB2312" w:cs="仿宋_GB2312" w:eastAsia="仿宋_GB2312"/>
              </w:rPr>
              <w:t>3，综合类图书，预算金额26万元，约6900册；</w:t>
            </w:r>
          </w:p>
          <w:p>
            <w:pPr>
              <w:pStyle w:val="null3"/>
              <w:jc w:val="center"/>
            </w:pPr>
            <w:r>
              <w:rPr>
                <w:rFonts w:ascii="仿宋_GB2312" w:hAnsi="仿宋_GB2312" w:cs="仿宋_GB2312" w:eastAsia="仿宋_GB2312"/>
              </w:rPr>
              <w:t>（附采购方二级学院及相关专业名录）</w:t>
            </w:r>
          </w:p>
          <w:tbl>
            <w:tblPr>
              <w:tblInd w:type="dxa" w:w="255"/>
              <w:tblBorders>
                <w:top w:val="none" w:color="000000" w:sz="4"/>
                <w:left w:val="none" w:color="000000" w:sz="4"/>
                <w:bottom w:val="none" w:color="000000" w:sz="4"/>
                <w:right w:val="none" w:color="000000" w:sz="4"/>
                <w:insideH w:val="none"/>
                <w:insideV w:val="none"/>
              </w:tblBorders>
            </w:tblPr>
            <w:tblGrid>
              <w:gridCol w:w="185"/>
              <w:gridCol w:w="433"/>
              <w:gridCol w:w="1935"/>
            </w:tblGrid>
            <w:tr>
              <w:tc>
                <w:tcPr>
                  <w:tcW w:type="dxa" w:w="185"/>
                  <w:vMerge w:val="restart"/>
                  <w:tcBorders>
                    <w:top w:val="single" w:color="333333"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433"/>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w:t>
                  </w:r>
                  <w:r>
                    <w:rPr>
                      <w:rFonts w:ascii="仿宋_GB2312" w:hAnsi="仿宋_GB2312" w:cs="仿宋_GB2312" w:eastAsia="仿宋_GB2312"/>
                      <w:sz w:val="19"/>
                    </w:rPr>
                    <w:t xml:space="preserve">  </w:t>
                  </w:r>
                  <w:r>
                    <w:rPr>
                      <w:rFonts w:ascii="仿宋_GB2312" w:hAnsi="仿宋_GB2312" w:cs="仿宋_GB2312" w:eastAsia="仿宋_GB2312"/>
                      <w:sz w:val="19"/>
                    </w:rPr>
                    <w:t>院</w:t>
                  </w:r>
                </w:p>
              </w:tc>
              <w:tc>
                <w:tcPr>
                  <w:tcW w:type="dxa" w:w="1935"/>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专业名称</w:t>
                  </w:r>
                </w:p>
              </w:tc>
            </w:tr>
            <w:tr>
              <w:tc>
                <w:tcPr>
                  <w:tcW w:type="dxa" w:w="185"/>
                  <w:vMerge/>
                  <w:tcBorders>
                    <w:top w:val="single" w:color="333333" w:sz="4"/>
                    <w:left w:val="single" w:color="333333" w:sz="4"/>
                    <w:bottom w:val="single" w:color="333333" w:sz="4"/>
                    <w:right w:val="single" w:color="333333" w:sz="4"/>
                  </w:tcBorders>
                </w:tcPr>
                <w:p/>
              </w:tc>
              <w:tc>
                <w:tcPr>
                  <w:tcW w:type="dxa" w:w="433"/>
                  <w:vMerge/>
                  <w:tcBorders>
                    <w:top w:val="single" w:color="333333" w:sz="4"/>
                    <w:left w:val="none" w:color="000000" w:sz="4"/>
                    <w:bottom w:val="single" w:color="333333" w:sz="4"/>
                    <w:right w:val="single" w:color="333333" w:sz="4"/>
                  </w:tcBorders>
                </w:tcPr>
                <w:p/>
              </w:tc>
              <w:tc>
                <w:tcPr>
                  <w:tcW w:type="dxa" w:w="1935"/>
                  <w:vMerge/>
                  <w:tcBorders>
                    <w:top w:val="single" w:color="333333" w:sz="4"/>
                    <w:left w:val="none" w:color="000000" w:sz="4"/>
                    <w:bottom w:val="single" w:color="333333" w:sz="4"/>
                    <w:right w:val="single" w:color="333333" w:sz="4"/>
                  </w:tcBorders>
                </w:tcPr>
                <w:p/>
              </w:tc>
            </w:tr>
            <w:tr>
              <w:tc>
                <w:tcPr>
                  <w:tcW w:type="dxa" w:w="185"/>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43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会计金融学院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大数据与会计</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大数据与财务管理</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金融服务与管理</w:t>
                  </w:r>
                </w:p>
              </w:tc>
            </w:tr>
            <w:tr>
              <w:tc>
                <w:tcPr>
                  <w:tcW w:type="dxa" w:w="185"/>
                  <w:vMerge w:val="restart"/>
                  <w:tcBorders>
                    <w:top w:val="single" w:color="333333"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433"/>
                  <w:vMerge w:val="restart"/>
                  <w:tcBorders>
                    <w:top w:val="single" w:color="333333"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管理学院</w:t>
                  </w:r>
                </w:p>
                <w:p>
                  <w:pPr>
                    <w:pStyle w:val="null3"/>
                    <w:jc w:val="center"/>
                  </w:p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现代物流管理</w:t>
                  </w:r>
                </w:p>
              </w:tc>
            </w:tr>
            <w:tr>
              <w:tc>
                <w:tcPr>
                  <w:tcW w:type="dxa" w:w="185"/>
                  <w:vMerge/>
                  <w:tcBorders>
                    <w:top w:val="single" w:color="333333" w:sz="4"/>
                    <w:left w:val="single" w:color="333333" w:sz="4"/>
                    <w:bottom w:val="outset" w:color="000000" w:sz="4"/>
                    <w:right w:val="single" w:color="333333" w:sz="4"/>
                  </w:tcBorders>
                </w:tcPr>
                <w:p/>
              </w:tc>
              <w:tc>
                <w:tcPr>
                  <w:tcW w:type="dxa" w:w="433"/>
                  <w:vMerge/>
                  <w:tcBorders>
                    <w:top w:val="single" w:color="333333"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市场营销</w:t>
                  </w:r>
                </w:p>
              </w:tc>
            </w:tr>
            <w:tr>
              <w:tc>
                <w:tcPr>
                  <w:tcW w:type="dxa" w:w="185"/>
                  <w:vMerge/>
                  <w:tcBorders>
                    <w:top w:val="single" w:color="333333" w:sz="4"/>
                    <w:left w:val="single" w:color="333333" w:sz="4"/>
                    <w:bottom w:val="outset" w:color="000000" w:sz="4"/>
                    <w:right w:val="single" w:color="333333" w:sz="4"/>
                  </w:tcBorders>
                </w:tcPr>
                <w:p/>
              </w:tc>
              <w:tc>
                <w:tcPr>
                  <w:tcW w:type="dxa" w:w="433"/>
                  <w:vMerge/>
                  <w:tcBorders>
                    <w:top w:val="single" w:color="333333"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关务与外贸服务</w:t>
                  </w:r>
                </w:p>
              </w:tc>
            </w:tr>
            <w:tr>
              <w:tc>
                <w:tcPr>
                  <w:tcW w:type="dxa" w:w="185"/>
                  <w:vMerge/>
                  <w:tcBorders>
                    <w:top w:val="single" w:color="333333" w:sz="4"/>
                    <w:left w:val="single" w:color="333333" w:sz="4"/>
                    <w:bottom w:val="outset" w:color="000000" w:sz="4"/>
                    <w:right w:val="single" w:color="333333" w:sz="4"/>
                  </w:tcBorders>
                </w:tcPr>
                <w:p/>
              </w:tc>
              <w:tc>
                <w:tcPr>
                  <w:tcW w:type="dxa" w:w="433"/>
                  <w:vMerge/>
                  <w:tcBorders>
                    <w:top w:val="single" w:color="333333"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电子商务</w:t>
                  </w:r>
                </w:p>
              </w:tc>
            </w:tr>
            <w:tr>
              <w:tc>
                <w:tcPr>
                  <w:tcW w:type="dxa" w:w="185"/>
                  <w:vMerge/>
                  <w:tcBorders>
                    <w:top w:val="single" w:color="333333" w:sz="4"/>
                    <w:left w:val="single" w:color="333333" w:sz="4"/>
                    <w:bottom w:val="outset" w:color="000000" w:sz="4"/>
                    <w:right w:val="single" w:color="333333" w:sz="4"/>
                  </w:tcBorders>
                </w:tcPr>
                <w:p/>
              </w:tc>
              <w:tc>
                <w:tcPr>
                  <w:tcW w:type="dxa" w:w="433"/>
                  <w:vMerge/>
                  <w:tcBorders>
                    <w:top w:val="single" w:color="333333"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人力资源管理</w:t>
                  </w:r>
                </w:p>
              </w:tc>
            </w:tr>
            <w:tr>
              <w:tc>
                <w:tcPr>
                  <w:tcW w:type="dxa" w:w="185"/>
                  <w:vMerge/>
                  <w:tcBorders>
                    <w:top w:val="single" w:color="333333" w:sz="4"/>
                    <w:left w:val="single" w:color="333333" w:sz="4"/>
                    <w:bottom w:val="outset" w:color="000000" w:sz="4"/>
                    <w:right w:val="single" w:color="333333" w:sz="4"/>
                  </w:tcBorders>
                </w:tcPr>
                <w:p/>
              </w:tc>
              <w:tc>
                <w:tcPr>
                  <w:tcW w:type="dxa" w:w="433"/>
                  <w:vMerge/>
                  <w:tcBorders>
                    <w:top w:val="single" w:color="333333"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供应链运营</w:t>
                  </w:r>
                </w:p>
              </w:tc>
            </w:tr>
            <w:tr>
              <w:tc>
                <w:tcPr>
                  <w:tcW w:type="dxa" w:w="185"/>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43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建筑设备工程技术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建筑装饰工程技术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建设工程管理</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建筑智能化工程技术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现代物业管理</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工程造价</w:t>
                  </w:r>
                </w:p>
              </w:tc>
            </w:tr>
            <w:tr>
              <w:tc>
                <w:tcPr>
                  <w:tcW w:type="dxa" w:w="185"/>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43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旅游与酒店管理学院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旅游管理</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酒店管理与数字化运营</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空中乘务</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旅游英语</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旅游日语</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会展策划与管理</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烹饪工艺与营养</w:t>
                  </w:r>
                </w:p>
              </w:tc>
            </w:tr>
            <w:tr>
              <w:tc>
                <w:tcPr>
                  <w:tcW w:type="dxa" w:w="185"/>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433"/>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信息与未来技术学院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计算机应用技术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信息安全技术应用</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现代移动通信技术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网络营销与直播电商</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大数据技术</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虚拟现实技术应用</w:t>
                  </w:r>
                </w:p>
              </w:tc>
            </w:tr>
            <w:tr>
              <w:tc>
                <w:tcPr>
                  <w:tcW w:type="dxa" w:w="185"/>
                  <w:vMerge/>
                  <w:tcBorders>
                    <w:top w:val="none" w:color="000000" w:sz="4"/>
                    <w:left w:val="single" w:color="333333" w:sz="4"/>
                    <w:bottom w:val="single" w:color="333333" w:sz="4"/>
                    <w:right w:val="single" w:color="333333" w:sz="4"/>
                  </w:tcBorders>
                </w:tcPr>
                <w:p/>
              </w:tc>
              <w:tc>
                <w:tcPr>
                  <w:tcW w:type="dxa" w:w="433"/>
                  <w:vMerge/>
                  <w:tcBorders>
                    <w:top w:val="none" w:color="000000" w:sz="4"/>
                    <w:left w:val="none" w:color="000000" w:sz="4"/>
                    <w:bottom w:val="single" w:color="333333"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人工智能技术应用</w:t>
                  </w:r>
                </w:p>
              </w:tc>
            </w:tr>
            <w:tr>
              <w:tc>
                <w:tcPr>
                  <w:tcW w:type="dxa" w:w="185"/>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43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艺术设计学院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广播影视节目制作</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广告艺术设计</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舞台艺术设计与制作</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环境艺术设计</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数字媒体艺术设计</w:t>
                  </w:r>
                </w:p>
              </w:tc>
            </w:tr>
            <w:tr>
              <w:tc>
                <w:tcPr>
                  <w:tcW w:type="dxa" w:w="185"/>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433"/>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智能制造学院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汽车制造与试验技术</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飞机机电设备维修</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新能源汽车技术</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汽车检测与维修技术</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工业机器人技术</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数控技术</w:t>
                  </w:r>
                </w:p>
              </w:tc>
            </w:tr>
            <w:tr>
              <w:tc>
                <w:tcPr>
                  <w:tcW w:type="dxa" w:w="185"/>
                  <w:vMerge/>
                  <w:tcBorders>
                    <w:top w:val="none" w:color="000000" w:sz="4"/>
                    <w:left w:val="single" w:color="333333" w:sz="4"/>
                    <w:bottom w:val="outset" w:color="000000" w:sz="4"/>
                    <w:right w:val="single" w:color="333333" w:sz="4"/>
                  </w:tcBorders>
                </w:tcPr>
                <w:p/>
              </w:tc>
              <w:tc>
                <w:tcPr>
                  <w:tcW w:type="dxa" w:w="433"/>
                  <w:vMerge/>
                  <w:tcBorders>
                    <w:top w:val="none" w:color="000000" w:sz="4"/>
                    <w:left w:val="none" w:color="000000" w:sz="4"/>
                    <w:bottom w:val="outset" w:color="000000" w:sz="4"/>
                    <w:right w:val="single" w:color="333333" w:sz="4"/>
                  </w:tcBorders>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机电一体化技术</w:t>
                  </w:r>
                </w:p>
              </w:tc>
            </w:tr>
            <w:tr>
              <w:tc>
                <w:tcPr>
                  <w:tcW w:type="dxa" w:w="185"/>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43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学前师范学院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学前教育</w:t>
                  </w:r>
                </w:p>
              </w:tc>
            </w:tr>
            <w:tr>
              <w:tc>
                <w:tcPr>
                  <w:tcW w:type="dxa" w:w="185"/>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p>
              </w:tc>
              <w:tc>
                <w:tcPr>
                  <w:tcW w:type="dxa" w:w="43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早期教育</w:t>
                  </w:r>
                </w:p>
              </w:tc>
            </w:tr>
            <w:tr>
              <w:tc>
                <w:tcPr>
                  <w:tcW w:type="dxa" w:w="185"/>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433"/>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护理与健康学院</w:t>
                  </w:r>
                </w:p>
              </w:tc>
              <w:tc>
                <w:tcPr>
                  <w:tcW w:type="dxa" w:w="1935"/>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w:t>
                  </w:r>
                </w:p>
              </w:tc>
            </w:tr>
          </w:tbl>
          <w:p>
            <w:pPr>
              <w:pStyle w:val="null3"/>
            </w:pPr>
            <w:r>
              <w:rPr>
                <w:rFonts w:ascii="仿宋_GB2312" w:hAnsi="仿宋_GB2312" w:cs="仿宋_GB2312" w:eastAsia="仿宋_GB2312"/>
              </w:rPr>
              <w:t>2、出版社要求：供应商与全国大多数出版机构有直接的业务往来，图书经营品种至少达到当年全国出版图书品种的60%以上，能保证涵盖采购方95%以上学科所需图书的采购供应。以下出版社图书为2026年度陕西开放大学图书馆纸质图书采购的重点对象：</w:t>
            </w:r>
          </w:p>
          <w:p>
            <w:pPr>
              <w:pStyle w:val="null3"/>
              <w:ind w:firstLine="400"/>
            </w:pPr>
            <w:r>
              <w:rPr>
                <w:rFonts w:ascii="仿宋_GB2312" w:hAnsi="仿宋_GB2312" w:cs="仿宋_GB2312" w:eastAsia="仿宋_GB2312"/>
              </w:rPr>
              <w:t>高等教育出版社、科学出版社、商务印书馆、中华书局、上海三联书店、生活</w:t>
            </w:r>
            <w:r>
              <w:rPr>
                <w:rFonts w:ascii="仿宋_GB2312" w:hAnsi="仿宋_GB2312" w:cs="仿宋_GB2312" w:eastAsia="仿宋_GB2312"/>
              </w:rPr>
              <w:t>·读书·新知三联书店、人民出版社、人民文学出版社、译林出版社、中国青年出版社、中国经济出版社、经济科学出版社、法律出版社、中国金融出版社、经济管理出版社、立信会计出版社、中国政法大学出版社、科学出版社、中央编译出版社、社会科学文献出版社、中国财政经济出版社、中国社会科学出版社、上海译文出版社、外国文学出版社、中国建筑工业出版社、电子工业出版社、机械工业出版社及北京大学出版社、清华大学出版社、中国人民大学出版社、北京师范大学出版社、复旦大学出版社、上海财经大学出版社、外语教学与研究出版社、西北大学出版社、陕西师范大学出版社、广西师范大学出版社等大学出版社。供应商提供与以上出版社合作的授权书等证明材料。</w:t>
            </w:r>
          </w:p>
          <w:p>
            <w:pPr>
              <w:pStyle w:val="null3"/>
              <w:ind w:firstLine="400"/>
            </w:pPr>
            <w:r>
              <w:rPr>
                <w:rFonts w:ascii="仿宋_GB2312" w:hAnsi="仿宋_GB2312" w:cs="仿宋_GB2312" w:eastAsia="仿宋_GB2312"/>
              </w:rPr>
              <w:t>3、书目采购要求：供应商应保证以上重点出版社图书品种齐全，将招标文件所列重点出版社所有书目及出版动态每月一次提供作为参考，并根据采购方的专业、学科设置及具体要求，定期提供适合高校图书馆文献资源建设的新书书目，书目目录应包括：ISBN号、作者、出版社、出版日期、中图分类号、册套、定价及内容简介等；采访书目应剔除小开本、无书脊、袋装、散页、中小学教辅、青少年读物等明显不符合高校图书馆入藏要求的图书。</w:t>
            </w:r>
          </w:p>
          <w:p>
            <w:pPr>
              <w:pStyle w:val="null3"/>
              <w:ind w:firstLine="400"/>
            </w:pPr>
            <w:r>
              <w:rPr>
                <w:rFonts w:ascii="仿宋_GB2312" w:hAnsi="仿宋_GB2312" w:cs="仿宋_GB2312" w:eastAsia="仿宋_GB2312"/>
              </w:rPr>
              <w:t>4、现场采购：中标人应及时通报全国性大型图书展销会、投标人、出版社等举办的现场订货会等信息，并应满足采购方提出的到全国性大型图书展销会、订货会或指定地点现场采购图书的要求，负责安排图书现采有关事宜。</w:t>
            </w:r>
          </w:p>
          <w:p>
            <w:pPr>
              <w:pStyle w:val="null3"/>
              <w:ind w:firstLine="400"/>
            </w:pPr>
            <w:r>
              <w:rPr>
                <w:rFonts w:ascii="仿宋_GB2312" w:hAnsi="仿宋_GB2312" w:cs="仿宋_GB2312" w:eastAsia="仿宋_GB2312"/>
              </w:rPr>
              <w:t>三、图书配送要求</w:t>
            </w:r>
          </w:p>
          <w:p>
            <w:pPr>
              <w:pStyle w:val="null3"/>
              <w:ind w:firstLine="400"/>
            </w:pPr>
            <w:r>
              <w:rPr>
                <w:rFonts w:ascii="仿宋_GB2312" w:hAnsi="仿宋_GB2312" w:cs="仿宋_GB2312" w:eastAsia="仿宋_GB2312"/>
              </w:rPr>
              <w:t>1、订单查重和单本码洋要求：严格对采购方选订或报订的订单书目进行查重，与采购方核实确认，避免重复购书，单本码洋不得低于40元。</w:t>
            </w:r>
          </w:p>
          <w:p>
            <w:pPr>
              <w:pStyle w:val="null3"/>
              <w:ind w:firstLine="400"/>
            </w:pPr>
            <w:r>
              <w:rPr>
                <w:rFonts w:ascii="仿宋_GB2312" w:hAnsi="仿宋_GB2312" w:cs="仿宋_GB2312" w:eastAsia="仿宋_GB2312"/>
              </w:rPr>
              <w:t>2、供应商收到图书采购订单后应在一个工作日内回告，核实订单的图书预订册数和金额，并根据采购方提供的书目订单及时组织图书。及时向采购方通报图书组织情况，对于未采购到的图书说明原因。</w:t>
            </w:r>
          </w:p>
          <w:p>
            <w:pPr>
              <w:pStyle w:val="null3"/>
              <w:ind w:firstLine="400"/>
            </w:pPr>
            <w:r>
              <w:rPr>
                <w:rFonts w:ascii="仿宋_GB2312" w:hAnsi="仿宋_GB2312" w:cs="仿宋_GB2312" w:eastAsia="仿宋_GB2312"/>
              </w:rPr>
              <w:t>3、供应商收到采购方订购单之日起，预定图书（订单配书）应当在25个工作日内完成送货，到货率不低于90%；现采图书应在10个工作日内完成图书配送，到货率不低于95%。</w:t>
            </w:r>
          </w:p>
          <w:p>
            <w:pPr>
              <w:pStyle w:val="null3"/>
              <w:ind w:firstLine="400"/>
            </w:pPr>
            <w:r>
              <w:rPr>
                <w:rFonts w:ascii="仿宋_GB2312" w:hAnsi="仿宋_GB2312" w:cs="仿宋_GB2312" w:eastAsia="仿宋_GB2312"/>
              </w:rPr>
              <w:t>4、订单订购或现采图书完成后，及时送交采购方指定地点。采用防水包装纸打包，每批图书附加盖公章的清单一式两份（一份总清单，一份随包清单）。清单包含信息：书名、ISBN号、出版社、价格、复本数量以及当次送书每包册数、种数、码洋，及合计总册数、种数及总码洋等。图书在包中封装顺序与图书清单顺序一致。</w:t>
            </w:r>
          </w:p>
          <w:p>
            <w:pPr>
              <w:pStyle w:val="null3"/>
              <w:ind w:firstLine="400"/>
            </w:pPr>
            <w:r>
              <w:rPr>
                <w:rFonts w:ascii="仿宋_GB2312" w:hAnsi="仿宋_GB2312" w:cs="仿宋_GB2312" w:eastAsia="仿宋_GB2312"/>
              </w:rPr>
              <w:t>5、本批次到书品种与订单不一致超过5%、或存在严重质量问题的，采购方有权拒绝接受，并视情况决定是否继续采购。</w:t>
            </w:r>
          </w:p>
          <w:p>
            <w:pPr>
              <w:pStyle w:val="null3"/>
              <w:ind w:firstLine="400"/>
            </w:pPr>
            <w:r>
              <w:rPr>
                <w:rFonts w:ascii="仿宋_GB2312" w:hAnsi="仿宋_GB2312" w:cs="仿宋_GB2312" w:eastAsia="仿宋_GB2312"/>
              </w:rPr>
              <w:t>6、中标供应商连续两次没有按时间要求送货的，采购方不再向中标人发单或组织采购。</w:t>
            </w:r>
          </w:p>
          <w:p>
            <w:pPr>
              <w:pStyle w:val="null3"/>
              <w:ind w:firstLine="400"/>
            </w:pPr>
            <w:r>
              <w:rPr>
                <w:rFonts w:ascii="仿宋_GB2312" w:hAnsi="仿宋_GB2312" w:cs="仿宋_GB2312" w:eastAsia="仿宋_GB2312"/>
              </w:rPr>
              <w:t>7、采购方按批次统计到书率，时间从中标人收到订单次日起算，至相应规定的配送期限为止，到书率连续两次低于最终订单90%的，采购方不再向中标人发单或组织采购。</w:t>
            </w:r>
          </w:p>
          <w:p>
            <w:pPr>
              <w:pStyle w:val="null3"/>
            </w:pPr>
            <w:r>
              <w:rPr>
                <w:rFonts w:ascii="仿宋_GB2312" w:hAnsi="仿宋_GB2312" w:cs="仿宋_GB2312" w:eastAsia="仿宋_GB2312"/>
              </w:rPr>
              <w:t>8、订单验收结束时，中标人须及时提供未到品种情况说明。</w:t>
            </w:r>
          </w:p>
          <w:p>
            <w:pPr>
              <w:pStyle w:val="null3"/>
              <w:ind w:firstLine="400"/>
            </w:pPr>
            <w:r>
              <w:rPr>
                <w:rFonts w:ascii="仿宋_GB2312" w:hAnsi="仿宋_GB2312" w:cs="仿宋_GB2312" w:eastAsia="仿宋_GB2312"/>
              </w:rPr>
              <w:t>四、图书质量、验收与退货要求</w:t>
            </w:r>
          </w:p>
          <w:p>
            <w:pPr>
              <w:pStyle w:val="null3"/>
              <w:ind w:firstLine="400"/>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w:t>
            </w:r>
          </w:p>
          <w:p>
            <w:pPr>
              <w:pStyle w:val="null3"/>
              <w:ind w:firstLine="400"/>
            </w:pPr>
            <w:r>
              <w:rPr>
                <w:rFonts w:ascii="仿宋_GB2312" w:hAnsi="仿宋_GB2312" w:cs="仿宋_GB2312" w:eastAsia="仿宋_GB2312"/>
              </w:rPr>
              <w:t>2、对单册码洋200元以上、开本小于14cm的图书以及散页、线装、挂图、练习册、实验报告册和非当年出版的考试用书，以及分册三册以上的套书，必须经采购方二次确认方可供书；否则，采购方可以视为中标人自行配书。</w:t>
            </w:r>
          </w:p>
          <w:p>
            <w:pPr>
              <w:pStyle w:val="null3"/>
              <w:ind w:firstLine="400"/>
            </w:pPr>
            <w:r>
              <w:rPr>
                <w:rFonts w:ascii="仿宋_GB2312" w:hAnsi="仿宋_GB2312" w:cs="仿宋_GB2312" w:eastAsia="仿宋_GB2312"/>
              </w:rPr>
              <w:t>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ind w:firstLine="400"/>
            </w:pPr>
            <w:r>
              <w:rPr>
                <w:rFonts w:ascii="仿宋_GB2312" w:hAnsi="仿宋_GB2312" w:cs="仿宋_GB2312" w:eastAsia="仿宋_GB2312"/>
              </w:rPr>
              <w:t>五、加工技术要求</w:t>
            </w:r>
          </w:p>
          <w:p>
            <w:pPr>
              <w:pStyle w:val="null3"/>
              <w:ind w:firstLine="400"/>
            </w:pPr>
            <w:r>
              <w:rPr>
                <w:rFonts w:ascii="仿宋_GB2312" w:hAnsi="仿宋_GB2312" w:cs="仿宋_GB2312" w:eastAsia="仿宋_GB2312"/>
              </w:rPr>
              <w:t>（一）采访、编目数据要求</w:t>
            </w:r>
          </w:p>
          <w:p>
            <w:pPr>
              <w:pStyle w:val="null3"/>
              <w:ind w:firstLine="400"/>
            </w:pPr>
            <w:r>
              <w:rPr>
                <w:rFonts w:ascii="仿宋_GB2312" w:hAnsi="仿宋_GB2312" w:cs="仿宋_GB2312" w:eastAsia="仿宋_GB2312"/>
              </w:rPr>
              <w:t>1、供应商须为采购方免费提供规范、标准的CNMARC编目数据，编目数据需符合CALIS联合编目标准及其它规则。</w:t>
            </w:r>
          </w:p>
          <w:p>
            <w:pPr>
              <w:pStyle w:val="null3"/>
              <w:ind w:firstLine="400"/>
            </w:pPr>
            <w:r>
              <w:rPr>
                <w:rFonts w:ascii="仿宋_GB2312" w:hAnsi="仿宋_GB2312" w:cs="仿宋_GB2312" w:eastAsia="仿宋_GB2312"/>
              </w:rPr>
              <w:t>2、送书同时须发送编目数据，采购方如发现有缺少或不符合标准CNMARC编目的数据，中标人应及时补发。</w:t>
            </w:r>
          </w:p>
          <w:p>
            <w:pPr>
              <w:pStyle w:val="null3"/>
              <w:ind w:firstLine="400"/>
            </w:pPr>
            <w:r>
              <w:rPr>
                <w:rFonts w:ascii="仿宋_GB2312" w:hAnsi="仿宋_GB2312" w:cs="仿宋_GB2312" w:eastAsia="仿宋_GB2312"/>
              </w:rPr>
              <w:t>3、CNMARC格式的价格部分需为纯数字。</w:t>
            </w:r>
          </w:p>
          <w:p>
            <w:pPr>
              <w:pStyle w:val="null3"/>
              <w:ind w:firstLine="400"/>
            </w:pPr>
            <w:r>
              <w:rPr>
                <w:rFonts w:ascii="仿宋_GB2312" w:hAnsi="仿宋_GB2312" w:cs="仿宋_GB2312" w:eastAsia="仿宋_GB2312"/>
              </w:rPr>
              <w:t>4、对于分为上下册、中英文分册对照的，应按实际分册单列，并将分册信息加入书名字段部分，多卷书须分别标明整套价和单册价。</w:t>
            </w:r>
          </w:p>
          <w:p>
            <w:pPr>
              <w:pStyle w:val="null3"/>
              <w:ind w:firstLine="400"/>
            </w:pPr>
            <w:r>
              <w:rPr>
                <w:rFonts w:ascii="仿宋_GB2312" w:hAnsi="仿宋_GB2312" w:cs="仿宋_GB2312" w:eastAsia="仿宋_GB2312"/>
              </w:rPr>
              <w:t>（二）物理加工要求</w:t>
            </w:r>
          </w:p>
          <w:p>
            <w:pPr>
              <w:pStyle w:val="null3"/>
              <w:ind w:firstLine="400"/>
            </w:pPr>
            <w:r>
              <w:rPr>
                <w:rFonts w:ascii="仿宋_GB2312" w:hAnsi="仿宋_GB2312" w:cs="仿宋_GB2312" w:eastAsia="仿宋_GB2312"/>
              </w:rPr>
              <w:t>供应商须免费提供到馆编目、加工服务，具体包括为所供图书免费提供拆包验收、查重著录、盖章、贴书标条码、覆膜、加磁条、打包送库、上架排架等图书加工服务。并免费提供钴基复合</w:t>
            </w:r>
            <w:r>
              <w:rPr>
                <w:rFonts w:ascii="仿宋_GB2312" w:hAnsi="仿宋_GB2312" w:cs="仿宋_GB2312" w:eastAsia="仿宋_GB2312"/>
              </w:rPr>
              <w:t>16cm磁条、条码、书标、覆膜、打包纸、打包带等所涉及耗材。</w:t>
            </w:r>
          </w:p>
          <w:p>
            <w:pPr>
              <w:pStyle w:val="null3"/>
              <w:ind w:firstLine="400"/>
            </w:pPr>
            <w:r>
              <w:rPr>
                <w:rFonts w:ascii="仿宋_GB2312" w:hAnsi="仿宋_GB2312" w:cs="仿宋_GB2312" w:eastAsia="仿宋_GB2312"/>
              </w:rPr>
              <w:t>六、结算方式：中标供应商须完成合同总价款供货，经双方验收合格，在中标供应商完成加工后的</w:t>
            </w:r>
            <w:r>
              <w:rPr>
                <w:rFonts w:ascii="仿宋_GB2312" w:hAnsi="仿宋_GB2312" w:cs="仿宋_GB2312" w:eastAsia="仿宋_GB2312"/>
              </w:rPr>
              <w:t>5个工作日内，由中标供应商开具合同总价款增值税发票，采购方在30日内支付合同总价款(如特殊原因需延时，采购方应告知中标供应商协商解决)。</w:t>
            </w:r>
          </w:p>
          <w:p>
            <w:pPr>
              <w:pStyle w:val="null3"/>
              <w:ind w:firstLine="400"/>
            </w:pPr>
            <w:r>
              <w:rPr>
                <w:rFonts w:ascii="仿宋_GB2312" w:hAnsi="仿宋_GB2312" w:cs="仿宋_GB2312" w:eastAsia="仿宋_GB2312"/>
              </w:rPr>
              <w:t>七、其他要求</w:t>
            </w:r>
          </w:p>
          <w:p>
            <w:pPr>
              <w:pStyle w:val="null3"/>
              <w:ind w:firstLine="400"/>
            </w:pPr>
            <w:r>
              <w:rPr>
                <w:rFonts w:ascii="仿宋_GB2312" w:hAnsi="仿宋_GB2312" w:cs="仿宋_GB2312" w:eastAsia="仿宋_GB2312"/>
                <w:sz w:val="21"/>
              </w:rPr>
              <w:t>供应商能为图书馆提供有关最新出版的热点图书、畅销书、重点出版图书、名人推荐书单等图书的书目、书评或宣传推广文案；到馆开展畅销书展活动；为图书馆开展读者服务活动提供赞助，及其它有价值的服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标的名称：包四 推荐图书及专题采购图书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一、项目概述</w:t>
            </w:r>
          </w:p>
          <w:p>
            <w:pPr>
              <w:pStyle w:val="null3"/>
              <w:ind w:firstLine="400"/>
            </w:pPr>
            <w:r>
              <w:rPr>
                <w:rFonts w:ascii="仿宋_GB2312" w:hAnsi="仿宋_GB2312" w:cs="仿宋_GB2312" w:eastAsia="仿宋_GB2312"/>
              </w:rPr>
              <w:t>1、项目名称：陕西开放大学2026年度中文纸质图书采购</w:t>
            </w:r>
          </w:p>
          <w:p>
            <w:pPr>
              <w:pStyle w:val="null3"/>
              <w:ind w:firstLine="400"/>
            </w:pPr>
            <w:r>
              <w:rPr>
                <w:rFonts w:ascii="仿宋_GB2312" w:hAnsi="仿宋_GB2312" w:cs="仿宋_GB2312" w:eastAsia="仿宋_GB2312"/>
              </w:rPr>
              <w:t>2、采购内容及范围：图书类目为符合采购方学科专业的荐购及专题采购图书等共计约</w:t>
            </w:r>
            <w:r>
              <w:rPr>
                <w:rFonts w:ascii="仿宋_GB2312" w:hAnsi="仿宋_GB2312" w:cs="仿宋_GB2312" w:eastAsia="仿宋_GB2312"/>
              </w:rPr>
              <w:t>1600</w:t>
            </w:r>
            <w:r>
              <w:rPr>
                <w:rFonts w:ascii="仿宋_GB2312" w:hAnsi="仿宋_GB2312" w:cs="仿宋_GB2312" w:eastAsia="仿宋_GB2312"/>
              </w:rPr>
              <w:t>册。</w:t>
            </w:r>
          </w:p>
          <w:p>
            <w:pPr>
              <w:pStyle w:val="null3"/>
              <w:ind w:firstLine="400"/>
            </w:pPr>
            <w:r>
              <w:rPr>
                <w:rFonts w:ascii="仿宋_GB2312" w:hAnsi="仿宋_GB2312" w:cs="仿宋_GB2312" w:eastAsia="仿宋_GB2312"/>
              </w:rPr>
              <w:t>3、报价方式：图书码洋基础上的优惠率。投标供应商的固定优惠率在合同执行期间固定不变，中标单位不得以任何理由予以变更，除非招标方提出的服务变更。</w:t>
            </w:r>
          </w:p>
          <w:p>
            <w:pPr>
              <w:pStyle w:val="null3"/>
              <w:ind w:firstLine="400"/>
            </w:pPr>
            <w:r>
              <w:rPr>
                <w:rFonts w:ascii="仿宋_GB2312" w:hAnsi="仿宋_GB2312" w:cs="仿宋_GB2312" w:eastAsia="仿宋_GB2312"/>
              </w:rPr>
              <w:t>4、采购方式：采购以书目采购（包括供应商提供及采购方自行定制的书目）、现场采购及零星采购等相结合的方式。</w:t>
            </w:r>
          </w:p>
          <w:p>
            <w:pPr>
              <w:pStyle w:val="null3"/>
              <w:ind w:firstLine="400"/>
            </w:pPr>
            <w:r>
              <w:rPr>
                <w:rFonts w:ascii="仿宋_GB2312" w:hAnsi="仿宋_GB2312" w:cs="仿宋_GB2312" w:eastAsia="仿宋_GB2312"/>
              </w:rPr>
              <w:t>5.复本量：视学科及专业需求而定，每种图书的复本量一般为1-2册。</w:t>
            </w:r>
          </w:p>
          <w:p>
            <w:pPr>
              <w:pStyle w:val="null3"/>
              <w:ind w:firstLine="400"/>
            </w:pPr>
            <w:r>
              <w:rPr>
                <w:rFonts w:ascii="仿宋_GB2312" w:hAnsi="仿宋_GB2312" w:cs="仿宋_GB2312" w:eastAsia="仿宋_GB2312"/>
              </w:rPr>
              <w:t>6、结算方式：一次付清。</w:t>
            </w:r>
          </w:p>
          <w:p>
            <w:pPr>
              <w:pStyle w:val="null3"/>
              <w:ind w:firstLine="400"/>
            </w:pPr>
            <w:r>
              <w:rPr>
                <w:rFonts w:ascii="仿宋_GB2312" w:hAnsi="仿宋_GB2312" w:cs="仿宋_GB2312" w:eastAsia="仿宋_GB2312"/>
              </w:rPr>
              <w:t>7、服务期限：自合同签订生效后半年。</w:t>
            </w:r>
          </w:p>
          <w:p>
            <w:pPr>
              <w:pStyle w:val="null3"/>
              <w:ind w:firstLine="400"/>
            </w:pPr>
            <w:r>
              <w:rPr>
                <w:rFonts w:ascii="仿宋_GB2312" w:hAnsi="仿宋_GB2312" w:cs="仿宋_GB2312" w:eastAsia="仿宋_GB2312"/>
              </w:rPr>
              <w:t>二、具体采购内容及方式</w:t>
            </w:r>
          </w:p>
          <w:p>
            <w:pPr>
              <w:pStyle w:val="null3"/>
              <w:ind w:firstLine="400"/>
            </w:pPr>
            <w:r>
              <w:rPr>
                <w:rFonts w:ascii="仿宋_GB2312" w:hAnsi="仿宋_GB2312" w:cs="仿宋_GB2312" w:eastAsia="仿宋_GB2312"/>
              </w:rPr>
              <w:t>1、采购内容：符合采购方专业设置及学科建设要求，采购2024年1月之后出版发行的正版纸质图书。</w:t>
            </w:r>
          </w:p>
          <w:p>
            <w:pPr>
              <w:pStyle w:val="null3"/>
              <w:ind w:firstLine="400"/>
            </w:pPr>
            <w:r>
              <w:rPr>
                <w:rFonts w:ascii="仿宋_GB2312" w:hAnsi="仿宋_GB2312" w:cs="仿宋_GB2312" w:eastAsia="仿宋_GB2312"/>
              </w:rPr>
              <w:t>合同包</w:t>
            </w:r>
            <w:r>
              <w:rPr>
                <w:rFonts w:ascii="仿宋_GB2312" w:hAnsi="仿宋_GB2312" w:cs="仿宋_GB2312" w:eastAsia="仿宋_GB2312"/>
              </w:rPr>
              <w:t>4，荐购图书及专题采购图书，预算金额10万元，约1600册。</w:t>
            </w:r>
          </w:p>
          <w:p>
            <w:pPr>
              <w:pStyle w:val="null3"/>
              <w:jc w:val="center"/>
            </w:pPr>
            <w:r>
              <w:rPr>
                <w:rFonts w:ascii="仿宋_GB2312" w:hAnsi="仿宋_GB2312" w:cs="仿宋_GB2312" w:eastAsia="仿宋_GB2312"/>
              </w:rPr>
              <w:t>（附采购方二级学院及相关专业名录）</w:t>
            </w:r>
          </w:p>
          <w:tbl>
            <w:tblPr>
              <w:tblInd w:type="dxa" w:w="255"/>
              <w:tblBorders>
                <w:top w:val="none" w:color="000000" w:sz="4"/>
                <w:left w:val="none" w:color="000000" w:sz="4"/>
                <w:bottom w:val="none" w:color="000000" w:sz="4"/>
                <w:right w:val="none" w:color="000000" w:sz="4"/>
                <w:insideH w:val="none"/>
                <w:insideV w:val="none"/>
              </w:tblBorders>
            </w:tblPr>
            <w:tblGrid>
              <w:gridCol w:w="227"/>
              <w:gridCol w:w="441"/>
              <w:gridCol w:w="1886"/>
            </w:tblGrid>
            <w:tr>
              <w:tc>
                <w:tcPr>
                  <w:tcW w:type="dxa" w:w="227"/>
                  <w:vMerge w:val="restart"/>
                  <w:tcBorders>
                    <w:top w:val="single" w:color="333333"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441"/>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w:t>
                  </w:r>
                  <w:r>
                    <w:rPr>
                      <w:rFonts w:ascii="仿宋_GB2312" w:hAnsi="仿宋_GB2312" w:cs="仿宋_GB2312" w:eastAsia="仿宋_GB2312"/>
                      <w:sz w:val="19"/>
                    </w:rPr>
                    <w:t xml:space="preserve">  </w:t>
                  </w:r>
                  <w:r>
                    <w:rPr>
                      <w:rFonts w:ascii="仿宋_GB2312" w:hAnsi="仿宋_GB2312" w:cs="仿宋_GB2312" w:eastAsia="仿宋_GB2312"/>
                      <w:sz w:val="19"/>
                    </w:rPr>
                    <w:t>院</w:t>
                  </w:r>
                </w:p>
              </w:tc>
              <w:tc>
                <w:tcPr>
                  <w:tcW w:type="dxa" w:w="1886"/>
                  <w:vMerge w:val="restart"/>
                  <w:tcBorders>
                    <w:top w:val="single" w:color="333333"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专业名称</w:t>
                  </w:r>
                </w:p>
              </w:tc>
            </w:tr>
            <w:tr>
              <w:tc>
                <w:tcPr>
                  <w:tcW w:type="dxa" w:w="227"/>
                  <w:vMerge/>
                  <w:tcBorders>
                    <w:top w:val="single" w:color="333333" w:sz="4"/>
                    <w:left w:val="single" w:color="333333" w:sz="4"/>
                    <w:bottom w:val="single" w:color="333333" w:sz="4"/>
                    <w:right w:val="single" w:color="333333" w:sz="4"/>
                  </w:tcBorders>
                </w:tcPr>
                <w:p/>
              </w:tc>
              <w:tc>
                <w:tcPr>
                  <w:tcW w:type="dxa" w:w="441"/>
                  <w:vMerge/>
                  <w:tcBorders>
                    <w:top w:val="single" w:color="333333" w:sz="4"/>
                    <w:left w:val="none" w:color="000000" w:sz="4"/>
                    <w:bottom w:val="single" w:color="333333" w:sz="4"/>
                    <w:right w:val="single" w:color="333333" w:sz="4"/>
                  </w:tcBorders>
                </w:tcPr>
                <w:p/>
              </w:tc>
              <w:tc>
                <w:tcPr>
                  <w:tcW w:type="dxa" w:w="1886"/>
                  <w:vMerge/>
                  <w:tcBorders>
                    <w:top w:val="single" w:color="333333" w:sz="4"/>
                    <w:left w:val="none" w:color="000000" w:sz="4"/>
                    <w:bottom w:val="single" w:color="333333" w:sz="4"/>
                    <w:right w:val="single" w:color="333333" w:sz="4"/>
                  </w:tcBorders>
                </w:tcPr>
                <w:p/>
              </w:tc>
            </w:tr>
            <w:tr>
              <w:tc>
                <w:tcPr>
                  <w:tcW w:type="dxa" w:w="22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44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会计金融学院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大数据与会计</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大数据与财务管理</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金融服务与管理</w:t>
                  </w:r>
                </w:p>
              </w:tc>
            </w:tr>
            <w:tr>
              <w:tc>
                <w:tcPr>
                  <w:tcW w:type="dxa" w:w="227"/>
                  <w:vMerge w:val="restart"/>
                  <w:tcBorders>
                    <w:top w:val="single" w:color="333333"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441"/>
                  <w:vMerge w:val="restart"/>
                  <w:tcBorders>
                    <w:top w:val="single" w:color="333333"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管理学院</w:t>
                  </w:r>
                </w:p>
                <w:p>
                  <w:pPr>
                    <w:pStyle w:val="null3"/>
                    <w:jc w:val="center"/>
                  </w:p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现代物流管理</w:t>
                  </w:r>
                </w:p>
              </w:tc>
            </w:tr>
            <w:tr>
              <w:tc>
                <w:tcPr>
                  <w:tcW w:type="dxa" w:w="227"/>
                  <w:vMerge/>
                  <w:tcBorders>
                    <w:top w:val="single" w:color="333333" w:sz="4"/>
                    <w:left w:val="single" w:color="333333" w:sz="4"/>
                    <w:bottom w:val="outset" w:color="000000" w:sz="4"/>
                    <w:right w:val="single" w:color="333333" w:sz="4"/>
                  </w:tcBorders>
                </w:tcPr>
                <w:p/>
              </w:tc>
              <w:tc>
                <w:tcPr>
                  <w:tcW w:type="dxa" w:w="441"/>
                  <w:vMerge/>
                  <w:tcBorders>
                    <w:top w:val="single" w:color="333333"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市场营销</w:t>
                  </w:r>
                </w:p>
              </w:tc>
            </w:tr>
            <w:tr>
              <w:tc>
                <w:tcPr>
                  <w:tcW w:type="dxa" w:w="227"/>
                  <w:vMerge/>
                  <w:tcBorders>
                    <w:top w:val="single" w:color="333333" w:sz="4"/>
                    <w:left w:val="single" w:color="333333" w:sz="4"/>
                    <w:bottom w:val="outset" w:color="000000" w:sz="4"/>
                    <w:right w:val="single" w:color="333333" w:sz="4"/>
                  </w:tcBorders>
                </w:tcPr>
                <w:p/>
              </w:tc>
              <w:tc>
                <w:tcPr>
                  <w:tcW w:type="dxa" w:w="441"/>
                  <w:vMerge/>
                  <w:tcBorders>
                    <w:top w:val="single" w:color="333333"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关务与外贸服务</w:t>
                  </w:r>
                </w:p>
              </w:tc>
            </w:tr>
            <w:tr>
              <w:tc>
                <w:tcPr>
                  <w:tcW w:type="dxa" w:w="227"/>
                  <w:vMerge/>
                  <w:tcBorders>
                    <w:top w:val="single" w:color="333333" w:sz="4"/>
                    <w:left w:val="single" w:color="333333" w:sz="4"/>
                    <w:bottom w:val="outset" w:color="000000" w:sz="4"/>
                    <w:right w:val="single" w:color="333333" w:sz="4"/>
                  </w:tcBorders>
                </w:tcPr>
                <w:p/>
              </w:tc>
              <w:tc>
                <w:tcPr>
                  <w:tcW w:type="dxa" w:w="441"/>
                  <w:vMerge/>
                  <w:tcBorders>
                    <w:top w:val="single" w:color="333333"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电子商务</w:t>
                  </w:r>
                </w:p>
              </w:tc>
            </w:tr>
            <w:tr>
              <w:tc>
                <w:tcPr>
                  <w:tcW w:type="dxa" w:w="227"/>
                  <w:vMerge/>
                  <w:tcBorders>
                    <w:top w:val="single" w:color="333333" w:sz="4"/>
                    <w:left w:val="single" w:color="333333" w:sz="4"/>
                    <w:bottom w:val="outset" w:color="000000" w:sz="4"/>
                    <w:right w:val="single" w:color="333333" w:sz="4"/>
                  </w:tcBorders>
                </w:tcPr>
                <w:p/>
              </w:tc>
              <w:tc>
                <w:tcPr>
                  <w:tcW w:type="dxa" w:w="441"/>
                  <w:vMerge/>
                  <w:tcBorders>
                    <w:top w:val="single" w:color="333333"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人力资源管理</w:t>
                  </w:r>
                </w:p>
              </w:tc>
            </w:tr>
            <w:tr>
              <w:tc>
                <w:tcPr>
                  <w:tcW w:type="dxa" w:w="227"/>
                  <w:vMerge/>
                  <w:tcBorders>
                    <w:top w:val="single" w:color="333333" w:sz="4"/>
                    <w:left w:val="single" w:color="333333" w:sz="4"/>
                    <w:bottom w:val="outset" w:color="000000" w:sz="4"/>
                    <w:right w:val="single" w:color="333333" w:sz="4"/>
                  </w:tcBorders>
                </w:tcPr>
                <w:p/>
              </w:tc>
              <w:tc>
                <w:tcPr>
                  <w:tcW w:type="dxa" w:w="441"/>
                  <w:vMerge/>
                  <w:tcBorders>
                    <w:top w:val="single" w:color="333333"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供应链运营</w:t>
                  </w:r>
                </w:p>
              </w:tc>
            </w:tr>
            <w:tr>
              <w:tc>
                <w:tcPr>
                  <w:tcW w:type="dxa" w:w="22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44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建筑设备工程技术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建筑装饰工程技术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建筑工程技术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建设工程管理</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建筑智能化工程技术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现代物业管理</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工程造价</w:t>
                  </w:r>
                </w:p>
              </w:tc>
            </w:tr>
            <w:tr>
              <w:tc>
                <w:tcPr>
                  <w:tcW w:type="dxa" w:w="22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44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旅游与酒店管理学院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旅游管理</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酒店管理与数字化运营</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空中乘务</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旅游英语</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旅游日语</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会展策划与管理</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烹饪工艺与营养</w:t>
                  </w:r>
                </w:p>
              </w:tc>
            </w:tr>
            <w:tr>
              <w:tc>
                <w:tcPr>
                  <w:tcW w:type="dxa" w:w="227"/>
                  <w:vMerge w:val="restart"/>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441"/>
                  <w:vMerge w:val="restart"/>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信息与未来技术学院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计算机应用技术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信息安全技术应用</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现代移动通信技术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网络营销与直播电商</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大数据技术</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虚拟现实技术应用</w:t>
                  </w:r>
                </w:p>
              </w:tc>
            </w:tr>
            <w:tr>
              <w:tc>
                <w:tcPr>
                  <w:tcW w:type="dxa" w:w="227"/>
                  <w:vMerge/>
                  <w:tcBorders>
                    <w:top w:val="none" w:color="000000" w:sz="4"/>
                    <w:left w:val="single" w:color="333333" w:sz="4"/>
                    <w:bottom w:val="single" w:color="333333" w:sz="4"/>
                    <w:right w:val="single" w:color="333333" w:sz="4"/>
                  </w:tcBorders>
                </w:tcPr>
                <w:p/>
              </w:tc>
              <w:tc>
                <w:tcPr>
                  <w:tcW w:type="dxa" w:w="441"/>
                  <w:vMerge/>
                  <w:tcBorders>
                    <w:top w:val="none" w:color="000000" w:sz="4"/>
                    <w:left w:val="none" w:color="000000" w:sz="4"/>
                    <w:bottom w:val="single" w:color="333333"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人工智能技术应用</w:t>
                  </w:r>
                </w:p>
              </w:tc>
            </w:tr>
            <w:tr>
              <w:tc>
                <w:tcPr>
                  <w:tcW w:type="dxa" w:w="22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44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艺术设计学院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广播影视节目制作</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广告艺术设计</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舞台艺术设计与制作</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环境艺术设计</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数字媒体艺术设计</w:t>
                  </w:r>
                </w:p>
              </w:tc>
            </w:tr>
            <w:tr>
              <w:tc>
                <w:tcPr>
                  <w:tcW w:type="dxa" w:w="227"/>
                  <w:vMerge w:val="restart"/>
                  <w:tcBorders>
                    <w:top w:val="none" w:color="000000" w:sz="4"/>
                    <w:left w:val="single" w:color="333333"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441"/>
                  <w:vMerge w:val="restart"/>
                  <w:tcBorders>
                    <w:top w:val="none" w:color="000000" w:sz="4"/>
                    <w:left w:val="none" w:color="000000" w:sz="4"/>
                    <w:bottom w:val="outset" w:color="000000"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智能制造学院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汽车制造与试验技术</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飞机机电设备维修</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新能源汽车技术</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汽车检测与维修技术</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工业机器人技术</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数控技术</w:t>
                  </w:r>
                </w:p>
              </w:tc>
            </w:tr>
            <w:tr>
              <w:tc>
                <w:tcPr>
                  <w:tcW w:type="dxa" w:w="227"/>
                  <w:vMerge/>
                  <w:tcBorders>
                    <w:top w:val="none" w:color="000000" w:sz="4"/>
                    <w:left w:val="single" w:color="333333" w:sz="4"/>
                    <w:bottom w:val="outset" w:color="000000" w:sz="4"/>
                    <w:right w:val="single" w:color="333333" w:sz="4"/>
                  </w:tcBorders>
                </w:tcPr>
                <w:p/>
              </w:tc>
              <w:tc>
                <w:tcPr>
                  <w:tcW w:type="dxa" w:w="441"/>
                  <w:vMerge/>
                  <w:tcBorders>
                    <w:top w:val="none" w:color="000000" w:sz="4"/>
                    <w:left w:val="none" w:color="000000" w:sz="4"/>
                    <w:bottom w:val="outset" w:color="000000" w:sz="4"/>
                    <w:right w:val="single" w:color="333333" w:sz="4"/>
                  </w:tcBorders>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机电一体化技术</w:t>
                  </w:r>
                </w:p>
              </w:tc>
            </w:tr>
            <w:tr>
              <w:tc>
                <w:tcPr>
                  <w:tcW w:type="dxa" w:w="22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44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学前师范学院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学前教育</w:t>
                  </w:r>
                </w:p>
              </w:tc>
            </w:tr>
            <w:tr>
              <w:tc>
                <w:tcPr>
                  <w:tcW w:type="dxa" w:w="22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p>
              </w:tc>
              <w:tc>
                <w:tcPr>
                  <w:tcW w:type="dxa" w:w="44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早期教育</w:t>
                  </w:r>
                </w:p>
              </w:tc>
            </w:tr>
            <w:tr>
              <w:tc>
                <w:tcPr>
                  <w:tcW w:type="dxa" w:w="227"/>
                  <w:tcBorders>
                    <w:top w:val="none" w:color="000000" w:sz="4"/>
                    <w:left w:val="single" w:color="333333"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441"/>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护理与健康学院</w:t>
                  </w:r>
                </w:p>
              </w:tc>
              <w:tc>
                <w:tcPr>
                  <w:tcW w:type="dxa" w:w="1886"/>
                  <w:tcBorders>
                    <w:top w:val="none" w:color="000000" w:sz="4"/>
                    <w:left w:val="none" w:color="000000" w:sz="4"/>
                    <w:bottom w:val="single" w:color="333333" w:sz="4"/>
                    <w:right w:val="single" w:color="333333" w:sz="4"/>
                  </w:tcBorders>
                  <w:shd w:fill="FEFEFE"/>
                  <w:tcMar>
                    <w:top w:type="dxa" w:w="0"/>
                    <w:left w:type="dxa" w:w="0"/>
                    <w:bottom w:type="dxa" w:w="0"/>
                    <w:right w:type="dxa" w:w="0"/>
                  </w:tcMar>
                  <w:vAlign w:val="top"/>
                </w:tcPr>
                <w:p>
                  <w:pPr>
                    <w:pStyle w:val="null3"/>
                    <w:jc w:val="center"/>
                  </w:pPr>
                  <w:r>
                    <w:rPr>
                      <w:rFonts w:ascii="仿宋_GB2312" w:hAnsi="仿宋_GB2312" w:cs="仿宋_GB2312" w:eastAsia="仿宋_GB2312"/>
                      <w:sz w:val="19"/>
                    </w:rPr>
                    <w:t>护理</w:t>
                  </w:r>
                </w:p>
              </w:tc>
            </w:tr>
          </w:tbl>
          <w:p>
            <w:pPr>
              <w:pStyle w:val="null3"/>
            </w:pPr>
            <w:r>
              <w:rPr>
                <w:rFonts w:ascii="仿宋_GB2312" w:hAnsi="仿宋_GB2312" w:cs="仿宋_GB2312" w:eastAsia="仿宋_GB2312"/>
              </w:rPr>
              <w:t>2、出版社要求：供应商与全国大多数出版机构有直接的业务往来，图书经营品种至少达到当年全国出版图书品种的60%以上，能保证涵盖采购方95%以上学科所需图书的采购供应。以下出版社图书为2026年度陕西开放大学图书馆纸质图书采购的重点对象：</w:t>
            </w:r>
          </w:p>
          <w:p>
            <w:pPr>
              <w:pStyle w:val="null3"/>
              <w:ind w:firstLine="400"/>
            </w:pPr>
            <w:r>
              <w:rPr>
                <w:rFonts w:ascii="仿宋_GB2312" w:hAnsi="仿宋_GB2312" w:cs="仿宋_GB2312" w:eastAsia="仿宋_GB2312"/>
              </w:rPr>
              <w:t>高等教育出版社、科学出版社、商务印书馆、中华书局、上海三联书店、生活</w:t>
            </w:r>
            <w:r>
              <w:rPr>
                <w:rFonts w:ascii="仿宋_GB2312" w:hAnsi="仿宋_GB2312" w:cs="仿宋_GB2312" w:eastAsia="仿宋_GB2312"/>
              </w:rPr>
              <w:t>·读书·新知三联书店、人民出版社、人民文学出版社、译林出版社、中国青年出版社、中国经济出版社、经济科学出版社、法律出版社、中国金融出版社、经济管理出版社、立信会计出版社、中国政法大学出版社、科学出版社、中央编译出版社、社会科学文献出版社、中国财政经济出版社、中国社会科学出版社、上海译文出版社、外国文学出版社、中国建筑工业出版社、电子工业出版社、机械工业出版社及北京大学出版社、清华大学出版社、中国人民大学出版社、北京师范大学出版社、复旦大学出版社、上海财经大学出版社、外语教学与研究出版社、西北大学出版社、陕西师范大学出版社、广西师范大学出版社等大学出版社。供应商提供与以上出版社合作的授权书等证明材料。</w:t>
            </w:r>
          </w:p>
          <w:p>
            <w:pPr>
              <w:pStyle w:val="null3"/>
              <w:ind w:firstLine="400"/>
            </w:pPr>
            <w:r>
              <w:rPr>
                <w:rFonts w:ascii="仿宋_GB2312" w:hAnsi="仿宋_GB2312" w:cs="仿宋_GB2312" w:eastAsia="仿宋_GB2312"/>
              </w:rPr>
              <w:t>3、书目采购要求：供应商应保证以上重点出版社图书品种齐全，将招标文件所列重点出版社所有书目及出版动态每月一次提供作为参考，并根据采购方的专业、学科设置及具体要求，定期提供适合高校图书馆文献资源建设的新书书目，书目目录应包括：ISBN号、作者、出版社、出版日期、中图分类号、册套、定价及内容简介等；采访书目应剔除小开本、无书脊、袋装、散页、中小学教辅、青少年读物等明显不符合高校图书馆入藏要求的图书。</w:t>
            </w:r>
          </w:p>
          <w:p>
            <w:pPr>
              <w:pStyle w:val="null3"/>
              <w:ind w:firstLine="400"/>
            </w:pPr>
            <w:r>
              <w:rPr>
                <w:rFonts w:ascii="仿宋_GB2312" w:hAnsi="仿宋_GB2312" w:cs="仿宋_GB2312" w:eastAsia="仿宋_GB2312"/>
              </w:rPr>
              <w:t>4、现场采购：中标人应及时通报全国性大型图书展销会、投标人、出版社等举办的现场订货会等信息，并应满足采购方提出的到全国性大型图书展销会、订货会或指定地点现场采购图书的要求，负责安排图书现采有关事宜。</w:t>
            </w:r>
          </w:p>
          <w:p>
            <w:pPr>
              <w:pStyle w:val="null3"/>
              <w:ind w:firstLine="400"/>
            </w:pPr>
            <w:r>
              <w:rPr>
                <w:rFonts w:ascii="仿宋_GB2312" w:hAnsi="仿宋_GB2312" w:cs="仿宋_GB2312" w:eastAsia="仿宋_GB2312"/>
              </w:rPr>
              <w:t>三、图书配送要求</w:t>
            </w:r>
          </w:p>
          <w:p>
            <w:pPr>
              <w:pStyle w:val="null3"/>
              <w:ind w:firstLine="400"/>
            </w:pPr>
            <w:r>
              <w:rPr>
                <w:rFonts w:ascii="仿宋_GB2312" w:hAnsi="仿宋_GB2312" w:cs="仿宋_GB2312" w:eastAsia="仿宋_GB2312"/>
              </w:rPr>
              <w:t>1、订单查重和单本码洋要求：严格对采购方选订或报订的订单书目进行查重，与采购方核实确认，避免重复购书，单本码洋不得低于40元。</w:t>
            </w:r>
          </w:p>
          <w:p>
            <w:pPr>
              <w:pStyle w:val="null3"/>
              <w:ind w:firstLine="400"/>
            </w:pPr>
            <w:r>
              <w:rPr>
                <w:rFonts w:ascii="仿宋_GB2312" w:hAnsi="仿宋_GB2312" w:cs="仿宋_GB2312" w:eastAsia="仿宋_GB2312"/>
              </w:rPr>
              <w:t>2、供应商收到图书采购订单后应在一个工作日内回告，核实订单的图书预订册数和金额，并根据采购方提供的书目订单及时组织图书。及时向采购方通报图书组织情况，对于未采购到的图书说明原因。</w:t>
            </w:r>
          </w:p>
          <w:p>
            <w:pPr>
              <w:pStyle w:val="null3"/>
              <w:ind w:firstLine="400"/>
            </w:pPr>
            <w:r>
              <w:rPr>
                <w:rFonts w:ascii="仿宋_GB2312" w:hAnsi="仿宋_GB2312" w:cs="仿宋_GB2312" w:eastAsia="仿宋_GB2312"/>
                <w:shd w:fill="FFFFFF" w:val="clear"/>
              </w:rPr>
              <w:t>3、供应商收到采购方订购单</w:t>
            </w:r>
            <w:r>
              <w:rPr>
                <w:rFonts w:ascii="仿宋_GB2312" w:hAnsi="仿宋_GB2312" w:cs="仿宋_GB2312" w:eastAsia="仿宋_GB2312"/>
                <w:shd w:fill="FFFFFF" w:val="clear"/>
              </w:rPr>
              <w:t>(包括预定及现采订单)</w:t>
            </w:r>
            <w:r>
              <w:rPr>
                <w:rFonts w:ascii="仿宋_GB2312" w:hAnsi="仿宋_GB2312" w:cs="仿宋_GB2312" w:eastAsia="仿宋_GB2312"/>
                <w:shd w:fill="FFFFFF" w:val="clear"/>
              </w:rPr>
              <w:t>之日起，应当在</w:t>
            </w:r>
            <w:r>
              <w:rPr>
                <w:rFonts w:ascii="仿宋_GB2312" w:hAnsi="仿宋_GB2312" w:cs="仿宋_GB2312" w:eastAsia="仿宋_GB2312"/>
                <w:shd w:fill="FFFFFF" w:val="clear"/>
              </w:rPr>
              <w:t>7</w:t>
            </w:r>
            <w:r>
              <w:rPr>
                <w:rFonts w:ascii="仿宋_GB2312" w:hAnsi="仿宋_GB2312" w:cs="仿宋_GB2312" w:eastAsia="仿宋_GB2312"/>
                <w:shd w:fill="FFFFFF" w:val="clear"/>
              </w:rPr>
              <w:t>个工作日内完成送货，到货率不低于</w:t>
            </w:r>
            <w:r>
              <w:rPr>
                <w:rFonts w:ascii="仿宋_GB2312" w:hAnsi="仿宋_GB2312" w:cs="仿宋_GB2312" w:eastAsia="仿宋_GB2312"/>
                <w:shd w:fill="FFFFFF" w:val="clear"/>
              </w:rPr>
              <w:t>98%。</w:t>
            </w:r>
          </w:p>
          <w:p>
            <w:pPr>
              <w:pStyle w:val="null3"/>
              <w:ind w:firstLine="400"/>
            </w:pPr>
            <w:r>
              <w:rPr>
                <w:rFonts w:ascii="仿宋_GB2312" w:hAnsi="仿宋_GB2312" w:cs="仿宋_GB2312" w:eastAsia="仿宋_GB2312"/>
              </w:rPr>
              <w:t>4、订单订购或现采图书完成后，及时送交采购方指定地点。采用防水包装纸打包，每批图书附加盖公章的清单一式两份（一份总清单，一份随包清单）。清单包含信息：书名、ISBN号、出版社、价格、复本数量以及当次送书每包册数、种数、码洋，及合计总册数、种数及总码洋等。图书在包中封装顺序与图书清单顺序一致。</w:t>
            </w:r>
          </w:p>
          <w:p>
            <w:pPr>
              <w:pStyle w:val="null3"/>
              <w:ind w:firstLine="400"/>
            </w:pPr>
            <w:r>
              <w:rPr>
                <w:rFonts w:ascii="仿宋_GB2312" w:hAnsi="仿宋_GB2312" w:cs="仿宋_GB2312" w:eastAsia="仿宋_GB2312"/>
              </w:rPr>
              <w:t>5、本批次到书品种与订单不一致超过5%、或存在严重质量问题的，采购方有权拒绝接受，并视情况决定是否继续采购。</w:t>
            </w:r>
          </w:p>
          <w:p>
            <w:pPr>
              <w:pStyle w:val="null3"/>
              <w:ind w:firstLine="400"/>
            </w:pPr>
            <w:r>
              <w:rPr>
                <w:rFonts w:ascii="仿宋_GB2312" w:hAnsi="仿宋_GB2312" w:cs="仿宋_GB2312" w:eastAsia="仿宋_GB2312"/>
              </w:rPr>
              <w:t>6、中标供应商连续两次没有按时间要求送货的，采购方不再向中标人发单或组织采购。</w:t>
            </w:r>
          </w:p>
          <w:p>
            <w:pPr>
              <w:pStyle w:val="null3"/>
              <w:ind w:firstLine="400"/>
            </w:pPr>
            <w:r>
              <w:rPr>
                <w:rFonts w:ascii="仿宋_GB2312" w:hAnsi="仿宋_GB2312" w:cs="仿宋_GB2312" w:eastAsia="仿宋_GB2312"/>
              </w:rPr>
              <w:t>7、采购方按批次统计到书率，时间从中标人收到订单次日起算，至相应规定的配送期限为止，到书率连续两次低于最终订单90%的，采购方不再向中标人发单或组织采购。</w:t>
            </w:r>
          </w:p>
          <w:p>
            <w:pPr>
              <w:pStyle w:val="null3"/>
            </w:pPr>
            <w:r>
              <w:rPr>
                <w:rFonts w:ascii="仿宋_GB2312" w:hAnsi="仿宋_GB2312" w:cs="仿宋_GB2312" w:eastAsia="仿宋_GB2312"/>
              </w:rPr>
              <w:t>8、订单验收结束时，中标人须及时提供未到品种情况说明。</w:t>
            </w:r>
          </w:p>
          <w:p>
            <w:pPr>
              <w:pStyle w:val="null3"/>
              <w:ind w:firstLine="400"/>
            </w:pPr>
            <w:r>
              <w:rPr>
                <w:rFonts w:ascii="仿宋_GB2312" w:hAnsi="仿宋_GB2312" w:cs="仿宋_GB2312" w:eastAsia="仿宋_GB2312"/>
              </w:rPr>
              <w:t>四、图书质量、验收与退货要求</w:t>
            </w:r>
          </w:p>
          <w:p>
            <w:pPr>
              <w:pStyle w:val="null3"/>
              <w:ind w:firstLine="400"/>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w:t>
            </w:r>
          </w:p>
          <w:p>
            <w:pPr>
              <w:pStyle w:val="null3"/>
              <w:ind w:firstLine="400"/>
            </w:pPr>
            <w:r>
              <w:rPr>
                <w:rFonts w:ascii="仿宋_GB2312" w:hAnsi="仿宋_GB2312" w:cs="仿宋_GB2312" w:eastAsia="仿宋_GB2312"/>
              </w:rPr>
              <w:t>2、对单册码洋200元以上、开本小于14cm的图书以及散页、线装、挂图、练习册、实验报告册和非当年出版的考试用书，以及分册三册以上的套书，必须经采购方二次确认方可供书；否则，采购方可以视为中标人自行配书。</w:t>
            </w:r>
          </w:p>
          <w:p>
            <w:pPr>
              <w:pStyle w:val="null3"/>
              <w:ind w:firstLine="400"/>
            </w:pPr>
            <w:r>
              <w:rPr>
                <w:rFonts w:ascii="仿宋_GB2312" w:hAnsi="仿宋_GB2312" w:cs="仿宋_GB2312" w:eastAsia="仿宋_GB2312"/>
              </w:rPr>
              <w:t>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ind w:firstLine="400"/>
            </w:pPr>
            <w:r>
              <w:rPr>
                <w:rFonts w:ascii="仿宋_GB2312" w:hAnsi="仿宋_GB2312" w:cs="仿宋_GB2312" w:eastAsia="仿宋_GB2312"/>
              </w:rPr>
              <w:t>五、加工技术要求</w:t>
            </w:r>
          </w:p>
          <w:p>
            <w:pPr>
              <w:pStyle w:val="null3"/>
              <w:ind w:firstLine="400"/>
            </w:pPr>
            <w:r>
              <w:rPr>
                <w:rFonts w:ascii="仿宋_GB2312" w:hAnsi="仿宋_GB2312" w:cs="仿宋_GB2312" w:eastAsia="仿宋_GB2312"/>
              </w:rPr>
              <w:t>（一）采访、编目数据要求</w:t>
            </w:r>
          </w:p>
          <w:p>
            <w:pPr>
              <w:pStyle w:val="null3"/>
              <w:ind w:firstLine="400"/>
            </w:pPr>
            <w:r>
              <w:rPr>
                <w:rFonts w:ascii="仿宋_GB2312" w:hAnsi="仿宋_GB2312" w:cs="仿宋_GB2312" w:eastAsia="仿宋_GB2312"/>
              </w:rPr>
              <w:t>1、供应商须为采购方免费提供规范、标准的CNMARC编目数据，编目数据需符合CALIS联合编目标准及其它规则。</w:t>
            </w:r>
          </w:p>
          <w:p>
            <w:pPr>
              <w:pStyle w:val="null3"/>
              <w:ind w:firstLine="400"/>
            </w:pPr>
            <w:r>
              <w:rPr>
                <w:rFonts w:ascii="仿宋_GB2312" w:hAnsi="仿宋_GB2312" w:cs="仿宋_GB2312" w:eastAsia="仿宋_GB2312"/>
              </w:rPr>
              <w:t>2、送书同时须发送编目数据，采购方如发现有缺少或不符合标准CNMARC编目的数据，中标人应及时补发。</w:t>
            </w:r>
          </w:p>
          <w:p>
            <w:pPr>
              <w:pStyle w:val="null3"/>
              <w:ind w:firstLine="400"/>
            </w:pPr>
            <w:r>
              <w:rPr>
                <w:rFonts w:ascii="仿宋_GB2312" w:hAnsi="仿宋_GB2312" w:cs="仿宋_GB2312" w:eastAsia="仿宋_GB2312"/>
              </w:rPr>
              <w:t>3、CNMARC格式的价格部分需为纯数字。</w:t>
            </w:r>
          </w:p>
          <w:p>
            <w:pPr>
              <w:pStyle w:val="null3"/>
              <w:ind w:firstLine="400"/>
            </w:pPr>
            <w:r>
              <w:rPr>
                <w:rFonts w:ascii="仿宋_GB2312" w:hAnsi="仿宋_GB2312" w:cs="仿宋_GB2312" w:eastAsia="仿宋_GB2312"/>
              </w:rPr>
              <w:t>4、对于分为上下册、中英文分册对照的，应按实际分册单列，并将分册信息加入书名字段部分，多卷书须分别标明整套价和单册价。</w:t>
            </w:r>
          </w:p>
          <w:p>
            <w:pPr>
              <w:pStyle w:val="null3"/>
              <w:ind w:firstLine="400"/>
            </w:pPr>
            <w:r>
              <w:rPr>
                <w:rFonts w:ascii="仿宋_GB2312" w:hAnsi="仿宋_GB2312" w:cs="仿宋_GB2312" w:eastAsia="仿宋_GB2312"/>
              </w:rPr>
              <w:t>（二）物理加工要求</w:t>
            </w:r>
          </w:p>
          <w:p>
            <w:pPr>
              <w:pStyle w:val="null3"/>
              <w:ind w:firstLine="400"/>
            </w:pPr>
            <w:r>
              <w:rPr>
                <w:rFonts w:ascii="仿宋_GB2312" w:hAnsi="仿宋_GB2312" w:cs="仿宋_GB2312" w:eastAsia="仿宋_GB2312"/>
              </w:rPr>
              <w:t>供应商须免费提供到馆编目、加工服务，具体包括为所供图书免费提供拆包验收、查重著录、盖章、贴书标条码、覆膜、加磁条、打包送库、上架排架等图书加工服务。并免费提供钴基复合</w:t>
            </w:r>
            <w:r>
              <w:rPr>
                <w:rFonts w:ascii="仿宋_GB2312" w:hAnsi="仿宋_GB2312" w:cs="仿宋_GB2312" w:eastAsia="仿宋_GB2312"/>
              </w:rPr>
              <w:t>16cm磁条、条码、书标、覆膜、打包纸、打包带等所涉及耗材。</w:t>
            </w:r>
          </w:p>
          <w:p>
            <w:pPr>
              <w:pStyle w:val="null3"/>
              <w:ind w:firstLine="400"/>
            </w:pPr>
            <w:r>
              <w:rPr>
                <w:rFonts w:ascii="仿宋_GB2312" w:hAnsi="仿宋_GB2312" w:cs="仿宋_GB2312" w:eastAsia="仿宋_GB2312"/>
              </w:rPr>
              <w:t>六、结算方式：中标供应商须完成合同总价款供货，经双方验收合格，在中标供应商完成加工后的</w:t>
            </w:r>
            <w:r>
              <w:rPr>
                <w:rFonts w:ascii="仿宋_GB2312" w:hAnsi="仿宋_GB2312" w:cs="仿宋_GB2312" w:eastAsia="仿宋_GB2312"/>
              </w:rPr>
              <w:t>5个工作日内，由中标供应商开具合同总价款增值税发票，采购方在30日内支付合同总价款(如特殊原因需延时，采购方应告知中标供应商协商解决)。</w:t>
            </w:r>
          </w:p>
          <w:p>
            <w:pPr>
              <w:pStyle w:val="null3"/>
              <w:ind w:firstLine="400"/>
            </w:pPr>
            <w:r>
              <w:rPr>
                <w:rFonts w:ascii="仿宋_GB2312" w:hAnsi="仿宋_GB2312" w:cs="仿宋_GB2312" w:eastAsia="仿宋_GB2312"/>
              </w:rPr>
              <w:t>七、其他要求</w:t>
            </w:r>
          </w:p>
          <w:p>
            <w:pPr>
              <w:pStyle w:val="null3"/>
              <w:ind w:firstLine="400"/>
            </w:pPr>
            <w:r>
              <w:rPr>
                <w:rFonts w:ascii="仿宋_GB2312" w:hAnsi="仿宋_GB2312" w:cs="仿宋_GB2312" w:eastAsia="仿宋_GB2312"/>
                <w:sz w:val="21"/>
              </w:rPr>
              <w:t>供应商能为图书馆提供有关最新出版的热点图书、畅销书、重点出版图书、名人推荐书单等图书的书目、书评或宣传推广文案；到馆开展畅销书展活动；为图书馆开展读者服务活动提供赞助，及其它有价值的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供应商收到采购方订购单之日起，预定图书（订单配书）应当在25个工作日内完成送货，到货率不低于90%；现采图书应在10个工作日内完成图书配送，到货率不低于95%。自合同签订生效后半年内完成全部供货。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供应商收到采购方订购单之日起，预定图书（订单配书）应当在25个工作日内完成送货，到货率不低于90%；现采图书应在10个工作日内完成图书配送，到货率不低于95%。自合同签订生效后半年内完成全部供货。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供应商收到采购方订购单之日起，预定图书（订单配书）应当在25个工作日内完成送货，到货率不低于90%；现采图书应在10个工作日内完成图书配送，到货率不低于95%。自合同签订生效后半年内完成全部供货。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供应商收到采购方订购单(包括预定及现采订单)之日起，应当在7个工作日内完成送货，到货率不低于98%。自合同签订生效后半年内完成全部供货。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本项目指定地点（采购人指定）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本项目指定地点（采购人指定）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合同生效后，中标供应商须完成合同总价款供货，经双方验收合格，在中标供应商完成加工后的5个工作日内，由中标供应商开具合同总价款增值税发票（如特殊原因需延时，采购方应告知中标供应商协商解决）</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合同生效后，中标供应商须完成合同总价款供货，经双方验收合格，在中标供应商完成加工后的5个工作日内，由中标供应商开具合同总价款增值税发票（如特殊原因需延时，采购方应告知中标供应商协商解决）</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付款条件说明：合同生效后，中标供应商须完成合同总价款供货，经双方验收合格，在中标供应商完成加工后的5个工作日内，由中标供应商开具合同总价款增值税发票（如特殊原因需延时，采购方应告知中标供应商协商解决）</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付款条件说明：合同生效后，中标供应商须完成合同总价款供货，经双方验收合格，在中标供应商完成加工后的5个工作日内，由中标供应商开具合同总价款增值税发票（如特殊原因需延时，采购方应告知中标供应商协商解决）</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 2、对单册码洋200元以上、开本小于14cm的图书以及散页、线装、挂图、练习册、实验报告册和非当年出版的考试用书，以及分册三册以上的套书，必须经采购方二次确认方可供书；否则，采购方可以视为中标人自行配书。 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 2、对单册码洋200元以上、开本小于14cm的图书以及散页、线装、挂图、练习册、实验报告册和非当年出版的考试用书，以及分册三册以上的套书，必须经采购方二次确认方可供书；否则，采购方可以视为中标人自行配书。 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 2、对单册码洋200元以上、开本小于14cm的图书以及散页、线装、挂图、练习册、实验报告册和非当年出版的考试用书，以及分册三册以上的套书，必须经采购方二次确认方可供书；否则，采购方可以视为中标人自行配书。 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1、要求所供图书必须是国家正规出版社出版的全新正版图书。图书出版质量须符合国家标准、行业标准和新闻出版总署关于图书出版质量的管理规定。 2、对单册码洋200元以上、开本小于14cm的图书以及散页、线装、挂图、练习册、实验报告册和非当年出版的考试用书，以及分册三册以上的套书，必须经采购方二次确认方可供书；否则，采购方可以视为中标人自行配书。 3、供应商应派专人与采购方严格按照订单进行验收，供应商须保证所配送图书是采购方选订的，且没有污染、图文不清、缺页、倒页、缺附件等质量问题。与订单不符、盗版、缺页、污损、错配、印刷质量不符合要求、缺少附件等质量不合格的图书；因供应商提供图书信息不准确、识别困难或错误等导致采购方认为不适合入藏的图书，无论编目加工与否，采购方均可无条件退回。</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1.优惠率=1-(实洋/码洋)x100%。 2.供应商按采购包报名、下载招标文件,可参与多个采购包投标,但最终只能中标一个采购包。评标委员会按照采购包1、采购包2、采购包3、采购包4依次开展评审工作，供应商若在前一个采购包评审中得分第一，其后各采购包只参与打分，不再被推荐为中标候选人。 3.其他：为顺利推进政府采购电子化交易平台试点应用工作，供应商需要在线提交投标文件。中标供应商在结果公示结束后2个工作日内向代理机构提供纸质版投标文件三套。纸质投标文件均须A4纸打印，分别各自装订成册并编制目录和页码，与电子投标文件一致的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资格审查内容1.docx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度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具有经营许可证</w:t>
            </w:r>
          </w:p>
        </w:tc>
        <w:tc>
          <w:tcPr>
            <w:tcW w:type="dxa" w:w="3322"/>
          </w:tcPr>
          <w:p>
            <w:pPr>
              <w:pStyle w:val="null3"/>
            </w:pPr>
            <w:r>
              <w:rPr>
                <w:rFonts w:ascii="仿宋_GB2312" w:hAnsi="仿宋_GB2312" w:cs="仿宋_GB2312" w:eastAsia="仿宋_GB2312"/>
              </w:rPr>
              <w:t>具备合格的《出版物经营许可证》。</w:t>
            </w:r>
          </w:p>
        </w:tc>
        <w:tc>
          <w:tcPr>
            <w:tcW w:type="dxa" w:w="1661"/>
          </w:tcPr>
          <w:p>
            <w:pPr>
              <w:pStyle w:val="null3"/>
            </w:pPr>
            <w:r>
              <w:rPr>
                <w:rFonts w:ascii="仿宋_GB2312" w:hAnsi="仿宋_GB2312" w:cs="仿宋_GB2312" w:eastAsia="仿宋_GB2312"/>
              </w:rPr>
              <w:t>资格审查内容1.docx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投标文件封面 服务偏离表.docx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资格审查内容1.docx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投标文件封面 服务偏离表.docx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资格审查内容1.docx 投标函 中小企业声明函 残疾人福利性单位声明函 标的清单 投标文件封面 服务偏离表.docx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投标文件封面 服务偏离表.docx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资格审查内容1.docx 投标函 中小企业声明函 残疾人福利性单位声明函 标的清单 投标文件封面 服务偏离表.docx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投标文件封面 服务偏离表.docx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采购人的需求提供详细、具体、可行的项目组织及供货方案；在图书征订、回告、配货、运送、入库、换货与退货等方面有详细的描述。按方案的科学性、便利性和可操作性进行综合评审。评审标准:上述方案内容无缺陷得10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针对本项目的图书到货率、到准率、到货期等提供详细的服务承诺及解决方案。评审标准:（1）承诺合理可行，解决方案科学完善，完全满足项目需求计6.1-8分；（2）承诺合理，解决方案符合项目实际情况，基本满足项目需求计3.1-6分；（3）有基本服务承诺，但承诺及解决方案简单，只列出框架内容的计0.1-3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编目数据的响应程度：编目数据需符合CALIS联合编目标准及其它规则，并与CALIS签订编目数据下载协议，同时项目人员具有相关证书。（1）与CALIS签订编目数据下载协议的计1分（提供协议扫描件）； （2）编目数据符合有关要求的计1分（提供编目数据样例）；（3）项目人员中每提供1名中文CALIS编目员证书的计1分，满分2分。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针对本项目制定的图书加工方案（①加工流程和保障措施、②人员配备）。方案制定内容齐全，各类措施健全，完全满足采购需求并符合本项目实施特点得4分；以上方面中每缺少一项内容扣2分；每项每有一处内容与实际需求不符或不满足要求扣0.5-2.0分，扣完为止。 注：人员需提供近6个月的社保证明和相关证明材料。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供货方案5</w:t>
            </w:r>
          </w:p>
        </w:tc>
        <w:tc>
          <w:tcPr>
            <w:tcW w:type="dxa" w:w="2492"/>
          </w:tcPr>
          <w:p>
            <w:pPr>
              <w:pStyle w:val="null3"/>
            </w:pPr>
            <w:r>
              <w:rPr>
                <w:rFonts w:ascii="仿宋_GB2312" w:hAnsi="仿宋_GB2312" w:cs="仿宋_GB2312" w:eastAsia="仿宋_GB2312"/>
              </w:rPr>
              <w:t>零订服务、应急供货响应及售后服务：（1）供应商可随时满足采购人的零订需求（包括但不限于网络销售图书），按其响应程度计0-2分。（2）具有针对采购人增订、加急追订、调剂等突发问题等应急预案，按其预案描述内容的完整性和可实现性计0-3分。（3）针对本项目的实际需求提供具体、可行的售后服务承诺（承诺合理的退换、调换方案及响应时间等）及售后方案，承诺及方案内容全面，可行性强，得3-5分；承诺及方案内容不够全面，有一定可行性，得0.1-2.9分；承诺及方案内容可行性较差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协助图书馆开展读书月活动，并提供相关活动证明（包括合作单位案例等），计2分。（2）供应商应提供读书月活动、阅读推广活动及其他服务的活动方案，总体方案完备、合理、切实可行计2～3分；总体方案内容不够全面，有一定可行性，得0.1-1.9分；总体方案较差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销售及仓储能力：（1）具有固定的图书营业场所或零售卖场计2分；（2）具有可供现采的仓储式现货库房（含零售卖场）或者样本库。现货库或样本库面积＜2万平方米，计2分； 现货库或样本库面积≥2万平方米，计3分。须提供房产证明或房屋租赁合同扫描件，未提供证明材料不得分。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供货渠道保障：投标人提供招标文件所列重点出版社的合作协议或者授权书（有效期内）、以及提供与每家出版社近两年以来结算的发票扫描件，提供完整（两者同时提供）的 1份计1分，满分10 分，同一家出版社不重复计算。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会展能力：1.具有组织参加现货会的能力，以2025年组织参加的现货会为参考，按其响应程度计0-2分，未提供证明材料则不得分。2.具有中文图书全品类线上采购平台，并提供相关证明材料，计2分。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2024年至今有六所以上高校图书馆供书经历得基本分2分，每多一所高校图书馆供书经历得2分，最高加4分。（附合同扫描件及相关负责人姓名及座机电话以备评标现场查证）。（2）提供与用户单位的供货服务满意评价表，同一单位的用户满意评价表算一份（包含图书为质量、图书发货包装、图书发货清单、随书配送的编目数据、售后服务及到书率等），所有服务为非常满意得1分，任意一项一般扣0.5分，任意一项为不满意不得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优惠率最高的为评标基准价，优惠率最高的有效响应得满分30分。其余报价按(有效响应优惠率/有效最高响应优惠率x30)的公式计算其得分，计算分数时四舍五入取小数点后两位；报价不完整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采购人的需求提供详细、具体、可行的项目组织及供货方案；在图书征订、回告、配货、运送、入库、换货与退货等方面有详细的描述。按方案的科学性、便利性和可操作性进行综合评审。评审标准:上述方案内容无缺陷得10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针对本项目的图书到货率、到准率、到货期等提供详细的服务承诺及解决方案。评审标准:（1）承诺合理可行，解决方案科学完善，完全满足项目需求计6.1-8分；（2）承诺合理，解决方案符合项目实际情况，基本满足项目需求计3.1-6分；（3）有基本服务承诺，但承诺及解决方案简单，只列出框架内容的计0.1-3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编目数据的响应程度：编目数据需符合CALIS联合编目标准及其它规则，并与CALIS签订编目数据下载协议，同时项目人员具有相关证书。（1）与CALIS签订编目数据下载协议的计1分（提供协议扫描件）； （2）编目数据符合有关要求的计1分（提供编目数据样例）；（3）项目人员中每提供1名中文CALIS编目员证书的计1分，满分2分。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针对本项目制定的图书加工方案（①加工流程和保障措施、②人员配备）。方案制定内容齐全，各类措施健全，完全满足采购需求并符合本项目实施特点得4分；以上方面中每缺少一项内容扣2分；每项每有一处内容与实际需求不符或不满足要求扣0.5-2.0分，扣完为止。 注：人员需提供近6个月的社保证明和相关证明材料。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供货方案5</w:t>
            </w:r>
          </w:p>
        </w:tc>
        <w:tc>
          <w:tcPr>
            <w:tcW w:type="dxa" w:w="2492"/>
          </w:tcPr>
          <w:p>
            <w:pPr>
              <w:pStyle w:val="null3"/>
            </w:pPr>
            <w:r>
              <w:rPr>
                <w:rFonts w:ascii="仿宋_GB2312" w:hAnsi="仿宋_GB2312" w:cs="仿宋_GB2312" w:eastAsia="仿宋_GB2312"/>
              </w:rPr>
              <w:t>零订服务、应急供货响应及售后服务：（1）供应商可随时满足采购人的零订需求（包括但不限于网络销售图书），按其响应程度计0-2分。（2）具有针对采购人增订、加急追订、调剂等突发问题等应急预案，按其预案描述内容的完整性和可实现性计0-3分。（3）针对本项目的实际需求提供具体、可行的售后服务承诺（承诺合理的退换、调换方案及响应时间等）及售后方案，承诺及方案内容全面，可行性强，得3-5分；承诺及方案内容不够全面，有一定可行性，得0.1-2.9分；承诺及方案内容可行性较差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协助图书馆开展读书月活动，并提供相关活动证明（包括合作单位案例等），计2分。（2）供应商应提供读书月活动、阅读推广活动及其他服务的活动方案，总体方案完备、合理、切实可行计2～3分；总体方案内容不够全面，有一定可行性，得0.1-1.9分；总体方案较差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销售及仓储能力：（1）具有固定的图书营业场所或零售卖场计2分；（2）具有可供现采的仓储式现货库房（含零售卖场）或者样本库。现货库或样本库面积＜2万平方米，计2分； 现货库或样本库面积≥2万平方米，计3分。须提供房产证明或房屋租赁合同扫描件，未提供证明材料不得分。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供货渠道保障：投标人提供招标文件所列重点出版社的合作协议或者授权书（有效期内）、以及提供与每家出版社近两年以来结算的发票扫描件，提供完整（两者同时提供）的 1份计1分，满分10 分，同一家出版社不重复计算。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会展能力：1.具有组织参加现货会的能力，以2025年组织参加的现货会为参考，按其响应程度计0-2分，未提供证明材料则不得分。2.具有中文图书全品类线上采购平台，并提供相关证明材料，计2分。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2024年至今有六所以上高校图书馆供书经历得基本分2分，每多一所高校图书馆供书经历得2分，最高加4分。（附合同扫描件及相关负责人姓名及座机电话以备评标现场查证）。（2）提供与用户单位的供货服务满意评价表，同一单位的用户满意评价表算一份（包含图书为质量、图书发货包装、图书发货清单、随书配送的编目数据、售后服务及到书率等），所有服务为非常满意得1分，任意一项一般扣0.5分，任意一项为不满意不得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优惠率最高的为评标基准价，优惠率最高的有效响应得满分30分。其余报价按(有效响应优惠率/有效最高响应优惠率x30)的公式计算其得分，计算分数时四舍五入取小数点后两位；报价不完整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采购人的需求提供详细、具体、可行的项目组织及供货方案；在图书征订、回告、配货、运送、入库、换货与退货等方面有详细的描述。按方案的科学性、便利性和可操作性进行综合评审。评审标准:上述方案内容无缺陷得10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针对本项目的图书到货率、到准率、到货期等提供详细的服务承诺及解决方案。评审标准:（1）承诺合理可行，解决方案科学完善，完全满足项目需求计6.1-8分；（2）承诺合理，解决方案符合项目实际情况，基本满足项目需求计3.1-6分；（3）有基本服务承诺，但承诺及解决方案简单，只列出框架内容的计0.1-3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编目数据的响应程度：编目数据需符合CALIS联合编目标准及其它规则，并与CALIS签订编目数据下载协议，同时项目人员具有相关证书。（1）与CALIS签订编目数据下载协议的计1分（提供协议扫描件）； （2）编目数据符合有关要求的计1分（提供编目数据样例）；（3）项目人员中每提供1名中文CALIS编目员证书的计1分，满分2分。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针对本项目制定的图书加工方案（①加工流程和保障措施、②人员配备）。方案制定内容齐全，各类措施健全，完全满足采购需求并符合本项目实施特点得4分；以上方面中每缺少一项内容扣2分；每项每有一处内容与实际需求不符或不满足要求扣0.5-2.0分，扣完为止。 注：人员需提供近6个月的社保证明和相关证明材料。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供货方案5</w:t>
            </w:r>
          </w:p>
        </w:tc>
        <w:tc>
          <w:tcPr>
            <w:tcW w:type="dxa" w:w="2492"/>
          </w:tcPr>
          <w:p>
            <w:pPr>
              <w:pStyle w:val="null3"/>
            </w:pPr>
            <w:r>
              <w:rPr>
                <w:rFonts w:ascii="仿宋_GB2312" w:hAnsi="仿宋_GB2312" w:cs="仿宋_GB2312" w:eastAsia="仿宋_GB2312"/>
              </w:rPr>
              <w:t>零订服务、应急供货响应及售后服务：（1）供应商可随时满足采购人的零订需求（包括但不限于网络销售图书），按其响应程度计0-2分。（2）具有针对采购人增订、加急追订、调剂等突发问题等应急预案，按其预案描述内容的完整性和可实现性计0-3分。（3）针对本项目的实际需求提供具体、可行的售后服务承诺（承诺合理的退换、调换方案及响应时间等）及售后方案，承诺及方案内容全面，可行性强，得3-5分；承诺及方案内容不够全面，有一定可行性，得0.1-2.9分；承诺及方案内容可行性较差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协助图书馆开展读书月活动，并提供相关活动证明（包括合作单位案例等），计2分。（2）供应商应提供读书月活动、阅读推广活动及其他服务的活动方案，总体方案完备、合理、切实可行计2～3分；总体方案内容不够全面，有一定可行性，得0.1-1.9分；总体方案较差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销售及仓储能力：（1）具有固定的图书营业场所或零售卖场计2分；（2）具有可供现采的仓储式现货库房（含零售卖场）或者样本库。现货库或样本库面积＜2万平方米，计2分； 现货库或样本库面积≥2万平方米，计3分。须提供房产证明或房屋租赁合同扫描件，未提供证明材料不得分。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供货渠道保障：投标人提供招标文件所列重点出版社的合作协议或者授权书（有效期内）、以及提供与每家出版社近两年以来结算的发票扫描件，提供完整（两者同时提供）的 1份计1分，满分10 分，同一家出版社不重复计算。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会展能力：1.具有组织参加现货会的能力，以2025年组织参加的现货会为参考，按其响应程度计0-2分，未提供证明材料则不得分。2.具有中文图书全品类线上采购平台，并提供相关证明材料，计2分。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2024年至今有六所以上高校图书馆供书经历得基本分2分，每多一所高校图书馆供书经历得2分，最高加4分。（附合同扫描件及相关负责人姓名及座机电话以备评标现场查证）。（2）提供与用户单位的供货服务满意评价表，同一单位的用户满意评价表算一份（包含图书为质量、图书发货包装、图书发货清单、随书配送的编目数据、售后服务及到书率等），所有服务为非常满意得1分，任意一项一般扣0.5分，任意一项为不满意不得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优惠率最高的为评标基准价，优惠率最高的有效响应得满分30分。其余报价按(有效响应优惠率/有效最高响应优惠率x30)的公式计算其得分，计算分数时四舍五入取小数点后两位；报价不完整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采购人的需求提供详细、具体、可行的项目组织及供货方案；在图书征订、回告、配货、运送、入库、换货与退货等方面有详细的描述。按方案的科学性、便利性和可操作性进行综合评审。评审标准:上述方案内容无缺陷得10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针对本项目的图书到货率、到准率、到货期等提供详细的服务承诺及解决方案。评审标准:（1）承诺合理可行，解决方案科学完善，完全满足项目需求计6.1-8分；（2）承诺合理，解决方案符合项目实际情况，基本满足项目需求计3.1-6分；（3）有基本服务承诺，但承诺及解决方案简单，只列出框架内容的计0.1-3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编目数据的响应程度：编目数据需符合CALIS联合编目标准及其它规则，并与CALIS签订编目数据下载协议，同时项目人员具有相关证书。（1）与CALIS签订编目数据下载协议的计1分（提供协议扫描件）； （2）编目数据符合有关要求的计1分（提供编目数据样例）；（3）项目人员中每提供1名中文CALIS编目员证书的计1分，满分2分。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针对本项目制定的图书加工方案（①加工流程和保障措施、②人员配备）。方案制定内容齐全，各类措施健全，完全满足采购需求并符合本项目实施特点得4分；以上方面中每缺少一项内容扣2分；每项每有一处内容与实际需求不符或不满足要求扣0.5-2.0分，扣完为止。 注：人员需提供近6个月的社保证明和相关证明材料。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供货方案5</w:t>
            </w:r>
          </w:p>
        </w:tc>
        <w:tc>
          <w:tcPr>
            <w:tcW w:type="dxa" w:w="2492"/>
          </w:tcPr>
          <w:p>
            <w:pPr>
              <w:pStyle w:val="null3"/>
            </w:pPr>
            <w:r>
              <w:rPr>
                <w:rFonts w:ascii="仿宋_GB2312" w:hAnsi="仿宋_GB2312" w:cs="仿宋_GB2312" w:eastAsia="仿宋_GB2312"/>
              </w:rPr>
              <w:t>零订服务、应急供货响应及售后服务：（1）供应商可随时满足采购人的零订需求（包括但不限于网络销售图书），按其响应程度计0-2分。（2）具有针对采购人增订、加急追订、调剂等突发问题等应急预案，按其预案描述内容的完整性和可实现性计0-3分。（3）针对本项目的实际需求提供具体、可行的售后服务承诺（承诺合理的退换、调换方案及响应时间等）及售后方案，承诺及方案内容全面，可行性强，得3-5分；承诺及方案内容不够全面，有一定可行性，得0.1-2.9分；承诺及方案内容可行性较差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协助图书馆开展读书月活动，并提供相关活动证明（包括合作单位案例等），计2分。（2）供应商应提供读书月活动、阅读推广活动及其他服务的活动方案，总体方案完备、合理、切实可行计2～3分；总体方案内容不够全面，有一定可行性，得0.1-1.9分；总体方案较差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销售及仓储能力：（1）具有固定的图书营业场所或零售卖场计2分；（2）具有可供现采的仓储式现货库房（含零售卖场）或者样本库。现货库或样本库面积＜2万平方米，计2分； 现货库或样本库面积≥2万平方米，计3分。须提供房产证明或房屋租赁合同扫描件，未提供证明材料不得分。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供货渠道保障：投标人提供招标文件所列重点出版社的合作协议或者授权书（有效期内）、以及提供与每家出版社近两年以来结算的发票扫描件，提供完整（两者同时提供）的 1份计1分，满分10 分，同一家出版社不重复计算。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会展能力：1.具有组织参加现货会的能力，以2025年组织参加的现货会为参考，按其响应程度计0-2分，未提供证明材料则不得分。2.具有中文图书全品类线上采购平台，并提供相关证明材料，计2分。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2024年至今有六所以上高校图书馆供书经历得基本分2分，每多一所高校图书馆供书经历得2分，最高加4分。（附合同扫描件及相关负责人姓名及座机电话以备评标现场查证）。（2）提供与用户单位的供货服务满意评价表，同一单位的用户满意评价表算一份（包含图书为质量、图书发货包装、图书发货清单、随书配送的编目数据、售后服务及到书率等），所有服务为非常满意得1分，任意一项一般扣0.5分，任意一项为不满意不得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优惠率最高的为评标基准价，优惠率最高的有效响应得满分30分。其余报价按(有效响应优惠率/有效最高响应优惠率x30)的公式计算其得分，计算分数时四舍五入取小数点后两位；报价不完整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详见附件：资格审查内容1.docx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详见附件：资格审查内容1.docx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详见附件：资格审查内容1.docx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详见附件：资格审查内容1.docx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详见附件：陕西开放大学图书购销合同.docx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