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版本号：zscg-20260420260509001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汉台区医联体信息化能力提升项目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zscg-202604</w:t>
      </w:r>
      <w:r>
        <w:br/>
      </w:r>
      <w:r>
        <w:br/>
      </w:r>
      <w:r>
        <w:br/>
      </w:r>
    </w:p>
    <w:p>
      <w:pPr>
        <w:pStyle w:val="null3"/>
        <w:jc w:val="center"/>
        <w:outlineLvl w:val="2"/>
      </w:pPr>
      <w:r>
        <w:rPr>
          <w:rFonts w:ascii="仿宋_GB2312" w:hAnsi="仿宋_GB2312" w:cs="仿宋_GB2312" w:eastAsia="仿宋_GB2312"/>
          <w:sz w:val="28"/>
          <w:b/>
        </w:rPr>
        <w:t>汉中市人民医院</w:t>
      </w:r>
    </w:p>
    <w:p>
      <w:pPr>
        <w:pStyle w:val="null3"/>
        <w:jc w:val="center"/>
        <w:outlineLvl w:val="2"/>
      </w:pPr>
      <w:r>
        <w:rPr>
          <w:rFonts w:ascii="仿宋_GB2312" w:hAnsi="仿宋_GB2312" w:cs="仿宋_GB2312" w:eastAsia="仿宋_GB2312"/>
          <w:sz w:val="28"/>
          <w:b/>
        </w:rPr>
        <w:t>中陕工程咨询有限公司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中陕工程咨询有限公司</w:t>
      </w:r>
      <w:r>
        <w:rPr>
          <w:rFonts w:ascii="仿宋_GB2312" w:hAnsi="仿宋_GB2312" w:cs="仿宋_GB2312" w:eastAsia="仿宋_GB2312"/>
        </w:rPr>
        <w:t>（以下简称“代理机构”）受</w:t>
      </w:r>
      <w:r>
        <w:rPr>
          <w:rFonts w:ascii="仿宋_GB2312" w:hAnsi="仿宋_GB2312" w:cs="仿宋_GB2312" w:eastAsia="仿宋_GB2312"/>
        </w:rPr>
        <w:t>汉中市人民医院</w:t>
      </w:r>
      <w:r>
        <w:rPr>
          <w:rFonts w:ascii="仿宋_GB2312" w:hAnsi="仿宋_GB2312" w:cs="仿宋_GB2312" w:eastAsia="仿宋_GB2312"/>
        </w:rPr>
        <w:t>委托，拟对</w:t>
      </w:r>
      <w:r>
        <w:rPr>
          <w:rFonts w:ascii="仿宋_GB2312" w:hAnsi="仿宋_GB2312" w:cs="仿宋_GB2312" w:eastAsia="仿宋_GB2312"/>
        </w:rPr>
        <w:t>汉台区医联体信息化能力提升项目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zscg-202604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汉台区医联体信息化能力提升项目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采购相关硬件设备，同时对现有的医联体远程系统进行升级改造，完成和医院云影像系统对接，实现区域内患者手机端查询影像和报告功能。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3、信誉要求：具有良好的商业信誉和健全的财务会计制度,具有履行合同所必需的设备和专业技术能力，具有依法缴纳税收和社会保障金的良好记录，参加本项目采购活动前三年内无重大违法活动记录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)，供应商应按照汉中市财政局《关于全面推行政府采购供应商基本资格条件承诺制的通知》（汉财办采管〔2024〕20号）文件要求，提供加盖公章的《汉中市政府采购供应商资格承诺函》 ；</w:t>
      </w:r>
    </w:p>
    <w:p>
      <w:pPr>
        <w:pStyle w:val="null3"/>
      </w:pPr>
      <w:r>
        <w:rPr>
          <w:rFonts w:ascii="仿宋_GB2312" w:hAnsi="仿宋_GB2312" w:cs="仿宋_GB2312" w:eastAsia="仿宋_GB2312"/>
        </w:rPr>
        <w:t>4、关联关系：单位负责人为同一人或者存在控股、管理关系的不同单位不得同时参加，需提供书面声明；</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0916-2709263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中陕工程咨询有限公司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陕西省西安市碑林区长安北路1号陕西国际会展大厦1幢1单元27层12701号房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18329465761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开户名称：中陕工程咨询有限公司汉中分公司</w:t>
            </w:r>
          </w:p>
          <w:p>
            <w:pPr>
              <w:pStyle w:val="null3"/>
            </w:pPr>
            <w:r>
              <w:rPr>
                <w:rFonts w:ascii="仿宋_GB2312" w:hAnsi="仿宋_GB2312" w:cs="仿宋_GB2312" w:eastAsia="仿宋_GB2312"/>
              </w:rPr>
              <w:t>开户银行：中国银行股份有限公司汉中陕西理工大学支行</w:t>
            </w:r>
          </w:p>
          <w:p>
            <w:pPr>
              <w:pStyle w:val="null3"/>
            </w:pPr>
            <w:r>
              <w:rPr>
                <w:rFonts w:ascii="仿宋_GB2312" w:hAnsi="仿宋_GB2312" w:cs="仿宋_GB2312" w:eastAsia="仿宋_GB2312"/>
              </w:rPr>
              <w:t>银行账号：103300926235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交纳招标代理服务费，招标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2.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汉中市人民医院</w:t>
      </w:r>
      <w:r>
        <w:rPr>
          <w:rFonts w:ascii="仿宋_GB2312" w:hAnsi="仿宋_GB2312" w:cs="仿宋_GB2312" w:eastAsia="仿宋_GB2312"/>
        </w:rPr>
        <w:t>和</w:t>
      </w:r>
      <w:r>
        <w:rPr>
          <w:rFonts w:ascii="仿宋_GB2312" w:hAnsi="仿宋_GB2312" w:cs="仿宋_GB2312" w:eastAsia="仿宋_GB2312"/>
        </w:rPr>
        <w:t>中陕工程咨询有限公司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中陕工程咨询有限公司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中陕工程咨询有限公司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联系人：王慧</w:t>
      </w:r>
    </w:p>
    <w:p>
      <w:pPr>
        <w:pStyle w:val="null3"/>
      </w:pPr>
      <w:r>
        <w:rPr>
          <w:rFonts w:ascii="仿宋_GB2312" w:hAnsi="仿宋_GB2312" w:cs="仿宋_GB2312" w:eastAsia="仿宋_GB2312"/>
        </w:rPr>
        <w:t>联系电话：18329465761</w:t>
      </w:r>
    </w:p>
    <w:p>
      <w:pPr>
        <w:pStyle w:val="null3"/>
      </w:pPr>
      <w:r>
        <w:rPr>
          <w:rFonts w:ascii="仿宋_GB2312" w:hAnsi="仿宋_GB2312" w:cs="仿宋_GB2312" w:eastAsia="仿宋_GB2312"/>
        </w:rPr>
        <w:t>地址：陕西省汉中市汉台区金泰滨江花城106商铺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采购相关硬件设备，同时对现有的医联体远程系统进行升级改造，完成和医院云影像系统对接，实现区域内患者手机端查询影像和报告功能。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采购相关硬件设备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标的名称：采购相关硬件设备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24"/>
                <w:b/>
              </w:rPr>
              <w:t>1.国产化超融合集群(6台)</w:t>
            </w:r>
          </w:p>
          <w:tbl>
            <w:tblPr>
              <w:tblBorders>
                <w:top w:val="none" w:color="000000" w:sz="4"/>
                <w:left w:val="none" w:color="000000" w:sz="4"/>
                <w:bottom w:val="none" w:color="000000" w:sz="4"/>
                <w:right w:val="none" w:color="000000" w:sz="4"/>
                <w:insideH w:val="none"/>
                <w:insideV w:val="none"/>
              </w:tblBorders>
            </w:tblPr>
            <w:tblGrid>
              <w:gridCol w:w="239"/>
              <w:gridCol w:w="423"/>
              <w:gridCol w:w="1891"/>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231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参数描述</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超融合集群</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服务器</w:t>
                  </w:r>
                  <w:r>
                    <w:rPr>
                      <w:rFonts w:ascii="仿宋_GB2312" w:hAnsi="仿宋_GB2312" w:cs="仿宋_GB2312" w:eastAsia="仿宋_GB2312"/>
                      <w:sz w:val="22"/>
                    </w:rPr>
                    <w:t>硬件参数</w:t>
                  </w:r>
                </w:p>
              </w:tc>
              <w:tc>
                <w:tcPr>
                  <w:tcW w:type="dxa" w:w="1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硬件要求：本次配置</w:t>
                  </w:r>
                  <w:r>
                    <w:rPr>
                      <w:rFonts w:ascii="仿宋_GB2312" w:hAnsi="仿宋_GB2312" w:cs="仿宋_GB2312" w:eastAsia="仿宋_GB2312"/>
                      <w:sz w:val="22"/>
                    </w:rPr>
                    <w:t>6台</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1.规格：2U标准机架式；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2"/>
                    </w:rPr>
                    <w:t>2.国产通用架构C86处理器≥2颗；单颗核数≥32核、主频≥2.5GHz；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2"/>
                    </w:rPr>
                    <w:t>3.内存：单台配置≥8条×64GBDDR5；</w:t>
                  </w:r>
                </w:p>
                <w:p>
                  <w:pPr>
                    <w:pStyle w:val="null3"/>
                    <w:jc w:val="both"/>
                  </w:pPr>
                  <w:r>
                    <w:rPr>
                      <w:rFonts w:ascii="仿宋_GB2312" w:hAnsi="仿宋_GB2312" w:cs="仿宋_GB2312" w:eastAsia="仿宋_GB2312"/>
                      <w:sz w:val="22"/>
                    </w:rPr>
                    <w:t>4.硬盘：单台系统盘≥2块×480GBSSD；单台缓存盘≥2块×1.6TBNVMeSSD；单台数据盘≥40TBHDD；</w:t>
                  </w:r>
                </w:p>
                <w:p>
                  <w:pPr>
                    <w:pStyle w:val="null3"/>
                    <w:jc w:val="both"/>
                  </w:pPr>
                  <w:r>
                    <w:rPr>
                      <w:rFonts w:ascii="仿宋_GB2312" w:hAnsi="仿宋_GB2312" w:cs="仿宋_GB2312" w:eastAsia="仿宋_GB2312"/>
                      <w:sz w:val="24"/>
                    </w:rPr>
                    <w:t>★</w:t>
                  </w:r>
                  <w:r>
                    <w:rPr>
                      <w:rFonts w:ascii="仿宋_GB2312" w:hAnsi="仿宋_GB2312" w:cs="仿宋_GB2312" w:eastAsia="仿宋_GB2312"/>
                      <w:sz w:val="22"/>
                    </w:rPr>
                    <w:t>5.网络：≥4个千兆RJ45电口、≥4个万兆SFP+光口，满配多模光模块；</w:t>
                  </w:r>
                </w:p>
                <w:p>
                  <w:pPr>
                    <w:pStyle w:val="null3"/>
                    <w:jc w:val="both"/>
                  </w:pPr>
                  <w:r>
                    <w:rPr>
                      <w:rFonts w:ascii="仿宋_GB2312" w:hAnsi="仿宋_GB2312" w:cs="仿宋_GB2312" w:eastAsia="仿宋_GB2312"/>
                      <w:sz w:val="22"/>
                    </w:rPr>
                    <w:t>6.电源：双电源，支持1+1冗余；冗余风扇，N+1热插拔；</w:t>
                  </w:r>
                </w:p>
                <w:p>
                  <w:pPr>
                    <w:pStyle w:val="null3"/>
                    <w:jc w:val="both"/>
                  </w:pPr>
                  <w:r>
                    <w:rPr>
                      <w:rFonts w:ascii="仿宋_GB2312" w:hAnsi="仿宋_GB2312" w:cs="仿宋_GB2312" w:eastAsia="仿宋_GB2312"/>
                      <w:sz w:val="22"/>
                    </w:rPr>
                    <w:t>7.软硬件质保：≥3年原厂质保；</w:t>
                  </w:r>
                </w:p>
                <w:p>
                  <w:pPr>
                    <w:pStyle w:val="null3"/>
                    <w:jc w:val="both"/>
                  </w:pPr>
                  <w:r>
                    <w:rPr>
                      <w:rFonts w:ascii="仿宋_GB2312" w:hAnsi="仿宋_GB2312" w:cs="仿宋_GB2312" w:eastAsia="仿宋_GB2312"/>
                      <w:sz w:val="22"/>
                    </w:rPr>
                    <w:t>8.配套：含配套万兆多模光模块及光纤线等辅材；</w:t>
                  </w:r>
                </w:p>
              </w:tc>
            </w:tr>
            <w:tr>
              <w:tc>
                <w:tcPr>
                  <w:tcW w:type="dxa" w:w="239"/>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管理平台要求</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1.包含云管理平台软件1套，永久授权（无使用有效期），≥12颗CPU使用授权；</w:t>
                  </w:r>
                </w:p>
                <w:p>
                  <w:pPr>
                    <w:pStyle w:val="null3"/>
                    <w:jc w:val="both"/>
                  </w:pPr>
                  <w:r>
                    <w:rPr>
                      <w:rFonts w:ascii="仿宋_GB2312" w:hAnsi="仿宋_GB2312" w:cs="仿宋_GB2312" w:eastAsia="仿宋_GB2312"/>
                      <w:sz w:val="22"/>
                    </w:rPr>
                    <w:t>2.具备可视化统一管理界面（UI）；支持跨集群、跨数据中心统一管理超融合集群、物理服务器；支持虚拟机全生命周期管理、性能监控；</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支持用户自定义展示内容、展示项至少包含：虚拟化资源池健康度、告警、资源使用情况、主机性能、虚拟机性能、共享存储性能、系统总体健康度、主机健康度、CPU分配比、内存分配比、存储分配比、系统告警汇总与详情；</w:t>
                  </w:r>
                </w:p>
                <w:p>
                  <w:pPr>
                    <w:pStyle w:val="null3"/>
                    <w:jc w:val="both"/>
                  </w:pPr>
                  <w:r>
                    <w:rPr>
                      <w:rFonts w:ascii="仿宋_GB2312" w:hAnsi="仿宋_GB2312" w:cs="仿宋_GB2312" w:eastAsia="仿宋_GB2312"/>
                      <w:sz w:val="22"/>
                    </w:rPr>
                    <w:t>4.支持纳管物理服务器；支持物理机状态监控、硬件信息、性能指标、告警上报；</w:t>
                  </w:r>
                </w:p>
              </w:tc>
            </w:tr>
            <w:tr>
              <w:tc>
                <w:tcPr>
                  <w:tcW w:type="dxa" w:w="239"/>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计算虚拟化软件</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1.国产计算虚拟化软件：永久授权1套，无使用有效期限制；CPU授权：≥12颗CPU使用授权；提供不限制容量的备份授权；</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支持</w:t>
                  </w:r>
                  <w:r>
                    <w:rPr>
                      <w:rFonts w:ascii="仿宋_GB2312" w:hAnsi="仿宋_GB2312" w:cs="仿宋_GB2312" w:eastAsia="仿宋_GB2312"/>
                      <w:sz w:val="22"/>
                    </w:rPr>
                    <w:t>集群级动态资源调度</w:t>
                  </w:r>
                  <w:r>
                    <w:rPr>
                      <w:rFonts w:ascii="仿宋_GB2312" w:hAnsi="仿宋_GB2312" w:cs="仿宋_GB2312" w:eastAsia="仿宋_GB2312"/>
                      <w:sz w:val="22"/>
                    </w:rPr>
                    <w:t>/负载均衡；可基于主机CPU利用率、内存利用率、磁盘I/O、存储利用率、磁盘请求、网络流量等多维资源指标，自动调度虚拟机位置与资源分配；支持自动/手动切换，支持负载均衡、节能调度等策略；</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支持</w:t>
                  </w:r>
                  <w:r>
                    <w:rPr>
                      <w:rFonts w:ascii="仿宋_GB2312" w:hAnsi="仿宋_GB2312" w:cs="仿宋_GB2312" w:eastAsia="仿宋_GB2312"/>
                      <w:sz w:val="22"/>
                    </w:rPr>
                    <w:t>告警管理与通知：告警分级支持</w:t>
                  </w:r>
                  <w:r>
                    <w:rPr>
                      <w:rFonts w:ascii="仿宋_GB2312" w:hAnsi="仿宋_GB2312" w:cs="仿宋_GB2312" w:eastAsia="仿宋_GB2312"/>
                      <w:sz w:val="22"/>
                    </w:rPr>
                    <w:t>4级告警类型（紧急、严重、一般、提示）；告警覆盖集群、主机、虚拟机、CPU、内存、磁盘等全资源维度；</w:t>
                  </w:r>
                  <w:r>
                    <w:rPr>
                      <w:rFonts w:ascii="仿宋_GB2312" w:hAnsi="仿宋_GB2312" w:cs="仿宋_GB2312" w:eastAsia="仿宋_GB2312"/>
                      <w:sz w:val="22"/>
                    </w:rPr>
                    <w:t>支持</w:t>
                  </w:r>
                  <w:r>
                    <w:rPr>
                      <w:rFonts w:ascii="仿宋_GB2312" w:hAnsi="仿宋_GB2312" w:cs="仿宋_GB2312" w:eastAsia="仿宋_GB2312"/>
                      <w:sz w:val="22"/>
                    </w:rPr>
                    <w:t>平台对告警信息自动给出告警处理建议；支持短信</w:t>
                  </w:r>
                  <w:r>
                    <w:rPr>
                      <w:rFonts w:ascii="仿宋_GB2312" w:hAnsi="仿宋_GB2312" w:cs="仿宋_GB2312" w:eastAsia="仿宋_GB2312"/>
                      <w:sz w:val="22"/>
                    </w:rPr>
                    <w:t>+邮件方式将告警发送给管理员；</w:t>
                  </w:r>
                </w:p>
              </w:tc>
            </w:tr>
            <w:tr>
              <w:tc>
                <w:tcPr>
                  <w:tcW w:type="dxa" w:w="239"/>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存储虚拟化软件</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1.国产分布式存储虚拟化软件：授权模式：永久授权1套，无使用有效期限制，≥12颗CPU使用授权，不限制硬盘容量；</w:t>
                  </w:r>
                </w:p>
                <w:p>
                  <w:pPr>
                    <w:pStyle w:val="null3"/>
                    <w:jc w:val="both"/>
                  </w:pPr>
                  <w:r>
                    <w:rPr>
                      <w:rFonts w:ascii="仿宋_GB2312" w:hAnsi="仿宋_GB2312" w:cs="仿宋_GB2312" w:eastAsia="仿宋_GB2312"/>
                      <w:sz w:val="22"/>
                    </w:rPr>
                    <w:t>2.为保障我院业务系统数据高可靠与未来容量增长需求，本次投标超融合产品须按照＞2副本冗余；部署完成后，集群有效可用容量≥150TiB；确保在满足数据可靠性前提下实现更高存储利用率，降低医院总体硬件投入成本，本次招标硬件配置为最低要求，投标厂商可按照可用容量要求自行扩展。</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3.为降低硬盘损坏带来的影响，需支持硬盘寿命预测功能，可预估硬盘剩余可使用时间，进行实时预警，提醒我院在硬盘寿命到期之前安全更换硬盘。</w:t>
                  </w:r>
                </w:p>
              </w:tc>
            </w:tr>
            <w:tr>
              <w:tc>
                <w:tcPr>
                  <w:tcW w:type="dxa" w:w="239"/>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网络虚拟化软件</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1.国产自研网络虚拟化软件：永久授权1套，无使用有效期限制；≥12颗CPU使用授权，提供不限制容量的备份授权；</w:t>
                  </w:r>
                </w:p>
                <w:p>
                  <w:pPr>
                    <w:pStyle w:val="null3"/>
                    <w:jc w:val="both"/>
                  </w:pPr>
                  <w:r>
                    <w:rPr>
                      <w:rFonts w:ascii="仿宋_GB2312" w:hAnsi="仿宋_GB2312" w:cs="仿宋_GB2312" w:eastAsia="仿宋_GB2312"/>
                      <w:sz w:val="22"/>
                    </w:rPr>
                    <w:t>2.支持网络拓扑设计与构建；可对虚拟网络进行连接、开启、关闭、删除等管理操作；</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3.为便于我单位后续业务规划和建设，虚拟交换机、虚拟路由器、虚拟防火墙和虚拟负载均衡，同时支持大三层Vxlan网络与现有的局域网，保障网络环境兼容。</w:t>
                  </w:r>
                </w:p>
              </w:tc>
            </w:tr>
            <w:tr>
              <w:tc>
                <w:tcPr>
                  <w:tcW w:type="dxa" w:w="239"/>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安全虚拟化软件</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1.国产自研安全虚拟化软件：永久授权1套，无使用有效期限制；≥12颗CPU使用授权；</w:t>
                  </w:r>
                </w:p>
                <w:p>
                  <w:pPr>
                    <w:pStyle w:val="null3"/>
                    <w:jc w:val="both"/>
                  </w:pPr>
                  <w:r>
                    <w:rPr>
                      <w:rFonts w:ascii="仿宋_GB2312" w:hAnsi="仿宋_GB2312" w:cs="仿宋_GB2312" w:eastAsia="仿宋_GB2312"/>
                      <w:sz w:val="22"/>
                    </w:rPr>
                    <w:t>2.主机侧安全能力（EDR+防病毒+漏洞）；</w:t>
                  </w:r>
                </w:p>
                <w:p>
                  <w:pPr>
                    <w:pStyle w:val="null3"/>
                    <w:jc w:val="both"/>
                  </w:pPr>
                  <w:r>
                    <w:rPr>
                      <w:rFonts w:ascii="仿宋_GB2312" w:hAnsi="仿宋_GB2312" w:cs="仿宋_GB2312" w:eastAsia="仿宋_GB2312"/>
                      <w:sz w:val="22"/>
                    </w:rPr>
                    <w:t>≥200台虚拟机防病毒及EDR授权：支持监控防病毒模块安装状态、IP地址、安装进度，支持一键安装；配置三年病毒库升级许可；支持操作系统病毒查杀、恶意文件检测、入侵行为检测与响应（EDR）、系统漏洞管理；</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3.网络层安全：支持以单台虚拟机为粒度的入侵防御，防御网络层攻击；对无法及时修复的OS/中间件漏洞提供临时防护；支持Web应用防护（WAF）：防御SQL注入、跨站脚本（XSS）等常见Web攻击。</w:t>
                  </w:r>
                </w:p>
              </w:tc>
            </w:tr>
            <w:tr>
              <w:tc>
                <w:tcPr>
                  <w:tcW w:type="dxa" w:w="239"/>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持续数据保护与迁移</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1.为保证核心业务虚拟机的安全性，本次配置≥</w:t>
                  </w:r>
                  <w:r>
                    <w:rPr>
                      <w:rFonts w:ascii="仿宋_GB2312" w:hAnsi="仿宋_GB2312" w:cs="仿宋_GB2312" w:eastAsia="仿宋_GB2312"/>
                      <w:sz w:val="22"/>
                    </w:rPr>
                    <w:t>20</w:t>
                  </w:r>
                  <w:r>
                    <w:rPr>
                      <w:rFonts w:ascii="仿宋_GB2312" w:hAnsi="仿宋_GB2312" w:cs="仿宋_GB2312" w:eastAsia="仿宋_GB2312"/>
                      <w:sz w:val="22"/>
                    </w:rPr>
                    <w:t>个虚拟机</w:t>
                  </w:r>
                  <w:r>
                    <w:rPr>
                      <w:rFonts w:ascii="仿宋_GB2312" w:hAnsi="仿宋_GB2312" w:cs="仿宋_GB2312" w:eastAsia="仿宋_GB2312"/>
                      <w:sz w:val="22"/>
                    </w:rPr>
                    <w:t>CDP持续数据保护能力。</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2.为保障我院内网核心业务虚拟机安全性，应提供对医疗业务虚拟机的无代理备份能力，无备份数据容量限制，可直接将虚拟机备份到磁盘；</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3.提供1套迁移平台软件，提供在线迁移工具</w:t>
                  </w:r>
                  <w:r>
                    <w:rPr>
                      <w:rFonts w:ascii="仿宋_GB2312" w:hAnsi="仿宋_GB2312" w:cs="仿宋_GB2312" w:eastAsia="仿宋_GB2312"/>
                      <w:sz w:val="22"/>
                    </w:rPr>
                    <w:t>或原厂</w:t>
                  </w:r>
                  <w:r>
                    <w:rPr>
                      <w:rFonts w:ascii="仿宋_GB2312" w:hAnsi="仿宋_GB2312" w:cs="仿宋_GB2312" w:eastAsia="仿宋_GB2312"/>
                      <w:sz w:val="22"/>
                    </w:rPr>
                    <w:t>迁移服务</w:t>
                  </w:r>
                  <w:r>
                    <w:rPr>
                      <w:rFonts w:ascii="仿宋_GB2312" w:hAnsi="仿宋_GB2312" w:cs="仿宋_GB2312" w:eastAsia="仿宋_GB2312"/>
                      <w:sz w:val="22"/>
                    </w:rPr>
                    <w:t>，</w:t>
                  </w:r>
                  <w:r>
                    <w:rPr>
                      <w:rFonts w:ascii="仿宋_GB2312" w:hAnsi="仿宋_GB2312" w:cs="仿宋_GB2312" w:eastAsia="仿宋_GB2312"/>
                      <w:sz w:val="22"/>
                    </w:rPr>
                    <w:t>支持医院现网数据中心</w:t>
                  </w:r>
                  <w:r>
                    <w:rPr>
                      <w:rFonts w:ascii="仿宋_GB2312" w:hAnsi="仿宋_GB2312" w:cs="仿宋_GB2312" w:eastAsia="仿宋_GB2312"/>
                      <w:sz w:val="22"/>
                    </w:rPr>
                    <w:t>Vmware平台迁移到新建国产化平台上；</w:t>
                  </w:r>
                </w:p>
              </w:tc>
            </w:tr>
          </w:tbl>
          <w:p>
            <w:pPr>
              <w:pStyle w:val="null3"/>
              <w:spacing w:before="255" w:after="255"/>
              <w:jc w:val="both"/>
              <w:outlineLvl w:val="1"/>
            </w:pPr>
            <w:r>
              <w:rPr>
                <w:rFonts w:ascii="仿宋_GB2312" w:hAnsi="仿宋_GB2312" w:cs="仿宋_GB2312" w:eastAsia="仿宋_GB2312"/>
                <w:sz w:val="24"/>
                <w:b/>
              </w:rPr>
              <w:t>2.超融合交换机（2台）</w:t>
            </w:r>
          </w:p>
          <w:tbl>
            <w:tblPr>
              <w:tblBorders>
                <w:top w:val="none" w:color="000000" w:sz="4"/>
                <w:left w:val="none" w:color="000000" w:sz="4"/>
                <w:bottom w:val="none" w:color="000000" w:sz="4"/>
                <w:right w:val="none" w:color="000000" w:sz="4"/>
                <w:insideH w:val="none"/>
                <w:insideV w:val="none"/>
              </w:tblBorders>
            </w:tblPr>
            <w:tblGrid>
              <w:gridCol w:w="454"/>
              <w:gridCol w:w="2001"/>
            </w:tblGrid>
            <w:tr>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参数描述</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交换机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2"/>
                      <w:color w:val="000000"/>
                    </w:rPr>
                    <w:t>1.交换容量≥2.56Tbps,包转发率：≥1000Mpps；</w:t>
                  </w:r>
                </w:p>
                <w:p>
                  <w:pPr>
                    <w:pStyle w:val="null3"/>
                    <w:jc w:val="both"/>
                  </w:pPr>
                  <w:r>
                    <w:rPr>
                      <w:rFonts w:ascii="仿宋_GB2312" w:hAnsi="仿宋_GB2312" w:cs="仿宋_GB2312" w:eastAsia="仿宋_GB2312"/>
                      <w:sz w:val="22"/>
                      <w:color w:val="000000"/>
                    </w:rPr>
                    <w:t>2.万兆光接口≥48个10GSFP、≥2个40GEQSFP+光口；提供原厂配套万兆/40G光模块、光纤跳线等辅材；</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color w:val="000000"/>
                    </w:rPr>
                    <w:t>3.支持IPv4/IPv6静态路由；支持OSPFv2/v3、BGP4+；支持路由过滤、策略路由、路由聚合；</w:t>
                  </w:r>
                </w:p>
                <w:p>
                  <w:pPr>
                    <w:pStyle w:val="null3"/>
                    <w:jc w:val="both"/>
                  </w:pPr>
                  <w:r>
                    <w:rPr>
                      <w:rFonts w:ascii="仿宋_GB2312" w:hAnsi="仿宋_GB2312" w:cs="仿宋_GB2312" w:eastAsia="仿宋_GB2312"/>
                      <w:sz w:val="22"/>
                      <w:color w:val="000000"/>
                    </w:rPr>
                    <w:t>4.双冗余电源，支持热插拔；</w:t>
                  </w:r>
                </w:p>
                <w:p>
                  <w:pPr>
                    <w:pStyle w:val="null3"/>
                    <w:jc w:val="both"/>
                  </w:pPr>
                  <w:r>
                    <w:rPr>
                      <w:rFonts w:ascii="仿宋_GB2312" w:hAnsi="仿宋_GB2312" w:cs="仿宋_GB2312" w:eastAsia="仿宋_GB2312"/>
                      <w:sz w:val="22"/>
                      <w:color w:val="000000"/>
                    </w:rPr>
                    <w:t>5.质保期限：≥3年原厂质保；服务期内硬件免费维修更换。</w:t>
                  </w:r>
                </w:p>
              </w:tc>
            </w:tr>
          </w:tbl>
          <w:p>
            <w:pPr>
              <w:pStyle w:val="null3"/>
              <w:spacing w:before="255" w:after="255"/>
              <w:jc w:val="both"/>
              <w:outlineLvl w:val="1"/>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医联体信息系统升级改造</w:t>
            </w:r>
          </w:p>
          <w:tbl>
            <w:tblPr>
              <w:tblBorders>
                <w:top w:val="none" w:color="000000" w:sz="4"/>
                <w:left w:val="none" w:color="000000" w:sz="4"/>
                <w:bottom w:val="none" w:color="000000" w:sz="4"/>
                <w:right w:val="none" w:color="000000" w:sz="4"/>
                <w:insideH w:val="none"/>
                <w:insideV w:val="none"/>
              </w:tblBorders>
            </w:tblPr>
            <w:tblGrid>
              <w:gridCol w:w="454"/>
              <w:gridCol w:w="2001"/>
            </w:tblGrid>
            <w:tr>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参数描述</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医联体信息系统升级改造</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平台应基于Web技术开发，采用浏览器层、Web服务器层、数据库层三层架构。平台应支持银河麒麟、centOS、统信、openEuler等国产化操作系统。平台应具备可扩展性。支持二次开发，能够适应业务流程的变化；系统应保证接口封装良好，能够为第三方开发商提供系统集成接口，日常使用无差异感。</w:t>
                  </w:r>
                </w:p>
                <w:p>
                  <w:pPr>
                    <w:pStyle w:val="null3"/>
                    <w:jc w:val="both"/>
                  </w:pPr>
                  <w:r>
                    <w:rPr>
                      <w:rFonts w:ascii="仿宋_GB2312" w:hAnsi="仿宋_GB2312" w:cs="仿宋_GB2312" w:eastAsia="仿宋_GB2312"/>
                      <w:sz w:val="22"/>
                      <w:color w:val="000000"/>
                    </w:rPr>
                    <w:t>2.升级优化区域影像中心，实现区域内影像资源的集中预约和集中诊断，支持基层预约模式的应用。</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color w:val="000000"/>
                    </w:rPr>
                    <w:t>3.区域影像对接现有院内云影像系统，实现医联体云影像业务。</w:t>
                  </w:r>
                </w:p>
                <w:p>
                  <w:pPr>
                    <w:pStyle w:val="null3"/>
                    <w:jc w:val="both"/>
                  </w:pPr>
                  <w:r>
                    <w:rPr>
                      <w:rFonts w:ascii="仿宋_GB2312" w:hAnsi="仿宋_GB2312" w:cs="仿宋_GB2312" w:eastAsia="仿宋_GB2312"/>
                      <w:sz w:val="22"/>
                      <w:color w:val="000000"/>
                    </w:rPr>
                    <w:t>4.优化影像升级优化区域心电中心，确保心电图检查的数字化采集、记录通过医联体系统实时共享。</w:t>
                  </w:r>
                </w:p>
                <w:p>
                  <w:pPr>
                    <w:pStyle w:val="null3"/>
                    <w:jc w:val="both"/>
                  </w:pPr>
                  <w:r>
                    <w:rPr>
                      <w:rFonts w:ascii="仿宋_GB2312" w:hAnsi="仿宋_GB2312" w:cs="仿宋_GB2312" w:eastAsia="仿宋_GB2312"/>
                      <w:sz w:val="22"/>
                      <w:color w:val="000000"/>
                    </w:rPr>
                    <w:t>5.≥维保三年，服务期内免费进行系统升级和日常维护，同时在服务期内根据政策和医院实际需要免费对接其他信息系统，实现信息及数据共享。</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合同签订并到货安装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系统上线运行并验收合格后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截止质保期满</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汉中市政府采购供应商资格承诺函.docx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)，供应商应按照汉中市财政局《关于全面推行政府采购供应商基本资格条件承诺制的通知》（汉财办采管〔2024〕20号）文件要求，提供加盖公章的《汉中市政府采购供应商资格承诺函》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业绩一览表.docx 技术实施方案及承诺.docx 中小企业声明函 商务应答表 汉中市政府采购供应商资格承诺函.docx 投标人应提交的相关资格证明材料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投标文件符合把法律法规要求的</w:t>
            </w:r>
          </w:p>
        </w:tc>
        <w:tc>
          <w:tcPr>
            <w:tcW w:type="dxa" w:w="1661"/>
          </w:tcPr>
          <w:p>
            <w:pPr>
              <w:pStyle w:val="null3"/>
            </w:pPr>
            <w:r>
              <w:rPr>
                <w:rFonts w:ascii="仿宋_GB2312" w:hAnsi="仿宋_GB2312" w:cs="仿宋_GB2312" w:eastAsia="仿宋_GB2312"/>
              </w:rPr>
              <w:t>开标一览表 业绩一览表.docx 技术实施方案及承诺.docx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所投产品技术参数清楚、明确并能逐条响应招标文件第四章“招标内容及要求”中所有技术要求，得31.5分。其中: 技术参数表中▲项，每项负偏离扣2分（须提供目录索引），其他未标项参数，每项负偏离扣0.5分，扣完为止。 备注：▲项参数须有佐证材料，否则视为负偏离（佐证材料例如：第三方检测机构出具的检测报告、制造商检验报告、产品彩页、官网功能截图等任意一种）。佐证材料须逐项列出。</w:t>
            </w:r>
          </w:p>
        </w:tc>
        <w:tc>
          <w:tcPr>
            <w:tcW w:type="dxa" w:w="831"/>
          </w:tcPr>
          <w:p>
            <w:pPr>
              <w:pStyle w:val="null3"/>
              <w:jc w:val="right"/>
            </w:pPr>
            <w:r>
              <w:rPr>
                <w:rFonts w:ascii="仿宋_GB2312" w:hAnsi="仿宋_GB2312" w:cs="仿宋_GB2312" w:eastAsia="仿宋_GB2312"/>
              </w:rPr>
              <w:t>31.5000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技术实施方案及承诺.docx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投标人需针对本项目提供完整的项目实施方案。内容包含：①实施方案（包含供货、安装、调试方案)②升级改造及数据迁移方案③日常维护保障方案。 二、评审标准 1、完整性：方案必须全面，对评审内容中的各项要求有详细描述； 2、可实施性：切合本项目实际情况，提出步骤清晰、合理的方案； 3、针对性：方案能够紧扣项目实际情况，内容科学合理。 三、赋分标准（满分9分） ①实施计划（包含供货、安装、调试方案)：每满足一个评审标准得1 分，不满足得0分，满分3分； ②升级改造及数据迁移方案：每满足一个评审标准得1分，不满足得0分，满分3分； ③验维保方案：每满足一个评审标准得1分，不满足得0分，满分3分。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技术实施方案及承诺.docx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(1)培训计划详细具体，培训内容齐全，方案完善，切实可行，合理高效，且针对性充足的，得4.5分;(2)培训计划明确，培训内容、方案明确，具有一定可行性及针对性的，得2.5分;(3)培训计划及内容含糊空洞、方案含糊，缺乏可行性和针对性的，得1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技术实施方案及承诺.docx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根据项目实际需求提供售后服务方案。内容包含：①售后服务范围及保障措施②应急处理方案③故障处理响应时间及响应方式。 二、评审标准 1、完整性：方案必须全面，对评审内容中的各项要求有详细描述； 2、可实施性：切合本项目实际情况，提出步骤清晰、合理的方案； 3、针对性：方案能够紧扣项目实际情况，内容科学合理。 三、赋分标准（满分9分） ①售后服务范围及保障措施：每满足一个评审标准得1分，不满足得0分，满分3分； ②应急处理方案：每满足一个评审标准得1分，不满足得0分，满分3分； ③故障处理响应时间及响应方式：每满足一个评审标准得1分，不满足得0分，满分3分。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技术实施方案及承诺.docx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根据项目实际需要，提供质量保障方案。方案内容包含①设备维修维护②软件升级服务措施③项目巡检服务。 二、评审标准 1、完整性：方案必须全面，对评审内容中的各项要求有详细描述； 2、可实施性：切合本项目实际情况，提出步骤清晰、合理的方案； 3、针对性：方案能够紧扣项目实际情况，内容科学合理。 三、赋分标准（满分9分） ①设备维修维护：每满足一个评审标准得1分，不满足得0分，满分3分； ②软件升级服务措施：每满足一个评审标准得1分，不满足得0分，满分3分； ③项目巡检：每满足一个评审标准得1分，不满足得0分，满分3分。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技术实施方案及承诺.docx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提供所投产品的合法来源渠道证明材料（包括但不限于厂家授权、销售协议、代理协议等）及售后承诺。提供全部产品的资料得2分，提供部分产品的资料得1分，不提供不得分。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技术实施方案及承诺.docx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投标人提供自2023年1月1日（以签订合同时间为准）至今类似项目业绩，每提供一份合格业绩证明得2.5分，满分5分。 备注：须提供完整清晰业绩合同及对应项目验收单复印件，并加盖投标人公章，以上两种证明材料同时提供方可得分，否则不得分。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技术实施方案及承诺.docx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2、有效最低报价为基准价得30分。 3、报价得分=（有效最低报价/有效投标报价）×30。 4、投标报价不完整的，不进入评标基准价的计算，本项得0分。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详见附件：技术实施方案及承诺.docx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