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CE1BBC">
      <w:pPr>
        <w:pStyle w:val="2"/>
        <w:numPr>
          <w:ilvl w:val="0"/>
          <w:numId w:val="0"/>
        </w:numPr>
        <w:spacing w:before="240" w:after="240" w:line="276" w:lineRule="auto"/>
        <w:ind w:leftChars="0"/>
        <w:jc w:val="center"/>
        <w:rPr>
          <w:rFonts w:hint="eastAsia" w:ascii="宋体" w:hAnsi="宋体" w:cs="宋体"/>
          <w:color w:val="000000"/>
          <w:sz w:val="36"/>
          <w:szCs w:val="44"/>
        </w:rPr>
      </w:pPr>
      <w:bookmarkStart w:id="17" w:name="_GoBack"/>
      <w:bookmarkEnd w:id="17"/>
      <w:r>
        <w:rPr>
          <w:rFonts w:hint="eastAsia" w:ascii="宋体" w:hAnsi="宋体" w:cs="宋体"/>
          <w:color w:val="000000"/>
          <w:sz w:val="36"/>
          <w:szCs w:val="44"/>
        </w:rPr>
        <w:t>合同主要条款</w:t>
      </w:r>
      <w:r>
        <w:rPr>
          <w:rFonts w:hint="eastAsia" w:ascii="宋体" w:hAnsi="宋体" w:cs="宋体"/>
          <w:color w:val="000000"/>
          <w:sz w:val="36"/>
          <w:szCs w:val="44"/>
          <w:lang w:eastAsia="zh-CN"/>
        </w:rPr>
        <w:t>（仅供参考）</w:t>
      </w:r>
    </w:p>
    <w:p w14:paraId="1FF0A75C">
      <w:pPr>
        <w:adjustRightInd w:val="0"/>
        <w:snapToGrid w:val="0"/>
        <w:jc w:val="left"/>
        <w:rPr>
          <w:rFonts w:hint="eastAsia" w:ascii="宋体" w:hAnsi="宋体"/>
          <w:color w:val="000000"/>
          <w:sz w:val="24"/>
        </w:rPr>
      </w:pPr>
    </w:p>
    <w:p w14:paraId="5C12DE17">
      <w:pPr>
        <w:adjustRightInd w:val="0"/>
        <w:snapToGrid w:val="0"/>
        <w:jc w:val="left"/>
        <w:rPr>
          <w:rFonts w:hint="eastAsia" w:ascii="宋体" w:hAnsi="宋体"/>
          <w:color w:val="000000"/>
          <w:sz w:val="24"/>
        </w:rPr>
      </w:pPr>
    </w:p>
    <w:p w14:paraId="695EE1C0">
      <w:pPr>
        <w:adjustRightInd w:val="0"/>
        <w:snapToGrid w:val="0"/>
        <w:jc w:val="left"/>
        <w:rPr>
          <w:rFonts w:ascii="宋体" w:hAnsi="宋体"/>
          <w:color w:val="000000"/>
          <w:sz w:val="24"/>
        </w:rPr>
      </w:pPr>
      <w:r>
        <w:rPr>
          <w:rFonts w:hint="eastAsia" w:ascii="宋体" w:hAnsi="宋体"/>
          <w:color w:val="000000"/>
          <w:sz w:val="24"/>
        </w:rPr>
        <w:t>项目编号：</w:t>
      </w:r>
    </w:p>
    <w:p w14:paraId="75D8FA11">
      <w:pPr>
        <w:adjustRightInd w:val="0"/>
        <w:snapToGrid w:val="0"/>
        <w:jc w:val="center"/>
        <w:rPr>
          <w:rFonts w:hint="eastAsia" w:ascii="宋体" w:hAnsi="宋体"/>
          <w:b/>
          <w:color w:val="000000"/>
          <w:sz w:val="24"/>
        </w:rPr>
      </w:pPr>
    </w:p>
    <w:p w14:paraId="26E7FB39">
      <w:pPr>
        <w:adjustRightInd w:val="0"/>
        <w:snapToGrid w:val="0"/>
        <w:jc w:val="center"/>
        <w:rPr>
          <w:rFonts w:hint="eastAsia" w:ascii="宋体" w:hAnsi="宋体"/>
          <w:b/>
          <w:color w:val="000000"/>
          <w:sz w:val="24"/>
        </w:rPr>
      </w:pPr>
    </w:p>
    <w:p w14:paraId="5E688AC5">
      <w:pPr>
        <w:adjustRightInd w:val="0"/>
        <w:snapToGrid w:val="0"/>
        <w:jc w:val="center"/>
        <w:rPr>
          <w:rFonts w:hint="eastAsia" w:ascii="宋体" w:hAnsi="宋体"/>
          <w:b/>
          <w:color w:val="000000"/>
          <w:sz w:val="24"/>
        </w:rPr>
      </w:pPr>
    </w:p>
    <w:p w14:paraId="3EB729DC">
      <w:pPr>
        <w:adjustRightInd w:val="0"/>
        <w:snapToGrid w:val="0"/>
        <w:jc w:val="center"/>
        <w:rPr>
          <w:rFonts w:hint="eastAsia" w:ascii="宋体" w:hAnsi="宋体"/>
          <w:b/>
          <w:color w:val="000000"/>
          <w:sz w:val="24"/>
        </w:rPr>
      </w:pPr>
    </w:p>
    <w:p w14:paraId="2BC21C00">
      <w:pPr>
        <w:adjustRightInd w:val="0"/>
        <w:snapToGrid w:val="0"/>
        <w:jc w:val="center"/>
        <w:rPr>
          <w:rFonts w:hint="eastAsia" w:ascii="宋体" w:hAnsi="宋体"/>
          <w:b/>
          <w:color w:val="000000"/>
          <w:sz w:val="24"/>
        </w:rPr>
      </w:pPr>
    </w:p>
    <w:p w14:paraId="0A22E763">
      <w:pPr>
        <w:adjustRightInd w:val="0"/>
        <w:snapToGrid w:val="0"/>
        <w:jc w:val="center"/>
        <w:rPr>
          <w:rFonts w:hint="eastAsia" w:ascii="宋体" w:hAnsi="宋体"/>
          <w:b/>
          <w:color w:val="000000"/>
          <w:sz w:val="24"/>
        </w:rPr>
      </w:pPr>
    </w:p>
    <w:p w14:paraId="7A591C35">
      <w:pPr>
        <w:adjustRightInd w:val="0"/>
        <w:snapToGrid w:val="0"/>
        <w:jc w:val="center"/>
        <w:rPr>
          <w:rFonts w:hint="eastAsia" w:ascii="宋体" w:hAnsi="宋体"/>
          <w:b/>
          <w:color w:val="000000"/>
          <w:sz w:val="24"/>
        </w:rPr>
      </w:pPr>
    </w:p>
    <w:p w14:paraId="303462F6">
      <w:pPr>
        <w:adjustRightInd w:val="0"/>
        <w:snapToGrid w:val="0"/>
        <w:jc w:val="center"/>
        <w:rPr>
          <w:rFonts w:hint="eastAsia" w:ascii="宋体" w:hAnsi="宋体"/>
          <w:b/>
          <w:color w:val="000000"/>
          <w:sz w:val="24"/>
        </w:rPr>
      </w:pPr>
    </w:p>
    <w:p w14:paraId="523E51B6">
      <w:pPr>
        <w:adjustRightInd w:val="0"/>
        <w:snapToGrid w:val="0"/>
        <w:jc w:val="center"/>
        <w:rPr>
          <w:rFonts w:hint="eastAsia" w:ascii="宋体" w:hAnsi="宋体"/>
          <w:b/>
          <w:color w:val="000000"/>
          <w:sz w:val="24"/>
        </w:rPr>
      </w:pPr>
    </w:p>
    <w:p w14:paraId="3AEC763E">
      <w:pPr>
        <w:adjustRightInd w:val="0"/>
        <w:snapToGrid w:val="0"/>
        <w:spacing w:beforeLines="0" w:afterLines="0" w:line="360" w:lineRule="auto"/>
        <w:jc w:val="center"/>
        <w:rPr>
          <w:rFonts w:hint="eastAsia" w:ascii="宋体" w:hAnsi="宋体" w:eastAsia="宋体" w:cs="宋体"/>
          <w:b/>
          <w:color w:val="000000"/>
          <w:sz w:val="72"/>
          <w:szCs w:val="72"/>
        </w:rPr>
      </w:pPr>
      <w:r>
        <w:rPr>
          <w:rFonts w:hint="eastAsia" w:ascii="宋体" w:hAnsi="宋体" w:eastAsia="宋体" w:cs="宋体"/>
          <w:b/>
          <w:color w:val="000000"/>
          <w:sz w:val="72"/>
          <w:szCs w:val="72"/>
        </w:rPr>
        <w:t>采购项目合同</w:t>
      </w:r>
    </w:p>
    <w:p w14:paraId="6EE0F999">
      <w:pPr>
        <w:adjustRightInd w:val="0"/>
        <w:snapToGrid w:val="0"/>
        <w:spacing w:beforeLines="0" w:after="120" w:afterLines="50"/>
        <w:jc w:val="center"/>
        <w:rPr>
          <w:rFonts w:hint="eastAsia" w:ascii="宋体" w:hAnsi="宋体" w:eastAsia="宋体" w:cs="宋体"/>
          <w:b/>
          <w:color w:val="000000"/>
          <w:sz w:val="24"/>
          <w:szCs w:val="24"/>
        </w:rPr>
      </w:pPr>
    </w:p>
    <w:p w14:paraId="1F41EF3E">
      <w:pPr>
        <w:adjustRightInd w:val="0"/>
        <w:snapToGrid w:val="0"/>
        <w:spacing w:beforeLines="0" w:after="120" w:afterLines="50"/>
        <w:jc w:val="center"/>
        <w:rPr>
          <w:rFonts w:hint="eastAsia" w:ascii="宋体" w:hAnsi="宋体" w:eastAsia="宋体" w:cs="宋体"/>
          <w:b/>
          <w:color w:val="000000"/>
          <w:sz w:val="24"/>
          <w:szCs w:val="24"/>
        </w:rPr>
      </w:pPr>
    </w:p>
    <w:p w14:paraId="378DCE05">
      <w:pPr>
        <w:adjustRightInd w:val="0"/>
        <w:snapToGrid w:val="0"/>
        <w:spacing w:beforeLines="0" w:after="120" w:afterLines="50"/>
        <w:jc w:val="center"/>
        <w:rPr>
          <w:rFonts w:hint="eastAsia" w:ascii="宋体" w:hAnsi="宋体" w:eastAsia="宋体" w:cs="宋体"/>
          <w:b/>
          <w:color w:val="000000"/>
          <w:sz w:val="24"/>
          <w:szCs w:val="24"/>
        </w:rPr>
      </w:pPr>
    </w:p>
    <w:p w14:paraId="176CE57A">
      <w:pPr>
        <w:adjustRightInd w:val="0"/>
        <w:snapToGrid w:val="0"/>
        <w:spacing w:beforeLines="0" w:after="120" w:afterLines="50"/>
        <w:jc w:val="center"/>
        <w:rPr>
          <w:rFonts w:hint="eastAsia" w:ascii="宋体" w:hAnsi="宋体" w:eastAsia="宋体" w:cs="宋体"/>
          <w:b/>
          <w:color w:val="000000"/>
          <w:sz w:val="24"/>
          <w:szCs w:val="24"/>
        </w:rPr>
      </w:pPr>
    </w:p>
    <w:p w14:paraId="46A0F2C0">
      <w:pPr>
        <w:adjustRightInd w:val="0"/>
        <w:snapToGrid w:val="0"/>
        <w:spacing w:beforeLines="0" w:after="120" w:afterLines="50"/>
        <w:jc w:val="center"/>
        <w:rPr>
          <w:rFonts w:hint="eastAsia" w:ascii="宋体" w:hAnsi="宋体" w:eastAsia="宋体" w:cs="宋体"/>
          <w:b/>
          <w:color w:val="000000"/>
          <w:sz w:val="24"/>
          <w:szCs w:val="24"/>
        </w:rPr>
      </w:pPr>
    </w:p>
    <w:p w14:paraId="07F9DAB5">
      <w:pPr>
        <w:adjustRightInd w:val="0"/>
        <w:snapToGrid w:val="0"/>
        <w:spacing w:beforeLines="0" w:after="120" w:afterLines="50"/>
        <w:jc w:val="center"/>
        <w:rPr>
          <w:rFonts w:hint="eastAsia" w:ascii="宋体" w:hAnsi="宋体" w:eastAsia="宋体" w:cs="宋体"/>
          <w:b/>
          <w:color w:val="000000"/>
          <w:sz w:val="24"/>
          <w:szCs w:val="24"/>
        </w:rPr>
      </w:pPr>
    </w:p>
    <w:p w14:paraId="29FC70CA">
      <w:pPr>
        <w:adjustRightInd w:val="0"/>
        <w:snapToGrid w:val="0"/>
        <w:spacing w:beforeLines="0" w:after="120" w:afterLines="50"/>
        <w:jc w:val="center"/>
        <w:rPr>
          <w:rFonts w:hint="eastAsia" w:ascii="宋体" w:hAnsi="宋体" w:eastAsia="宋体" w:cs="宋体"/>
          <w:b/>
          <w:color w:val="000000"/>
          <w:sz w:val="24"/>
          <w:szCs w:val="24"/>
        </w:rPr>
      </w:pPr>
    </w:p>
    <w:p w14:paraId="793D06F5">
      <w:pPr>
        <w:adjustRightInd w:val="0"/>
        <w:snapToGrid w:val="0"/>
        <w:spacing w:beforeLines="0" w:after="120" w:afterLines="50"/>
        <w:jc w:val="center"/>
        <w:rPr>
          <w:rFonts w:hint="eastAsia" w:ascii="宋体" w:hAnsi="宋体" w:eastAsia="宋体" w:cs="宋体"/>
          <w:b/>
          <w:color w:val="000000"/>
          <w:sz w:val="24"/>
          <w:szCs w:val="24"/>
        </w:rPr>
      </w:pPr>
    </w:p>
    <w:p w14:paraId="0C49126E">
      <w:pPr>
        <w:adjustRightInd w:val="0"/>
        <w:snapToGrid w:val="0"/>
        <w:spacing w:beforeLines="0" w:after="120" w:afterLines="50"/>
        <w:jc w:val="center"/>
        <w:rPr>
          <w:rFonts w:hint="eastAsia" w:ascii="宋体" w:hAnsi="宋体" w:eastAsia="宋体" w:cs="宋体"/>
          <w:b/>
          <w:color w:val="000000"/>
          <w:sz w:val="24"/>
          <w:szCs w:val="24"/>
        </w:rPr>
      </w:pPr>
    </w:p>
    <w:p w14:paraId="33B90991">
      <w:pPr>
        <w:adjustRightInd w:val="0"/>
        <w:snapToGrid w:val="0"/>
        <w:spacing w:beforeLines="0" w:after="120" w:afterLines="50"/>
        <w:jc w:val="center"/>
        <w:rPr>
          <w:rFonts w:hint="eastAsia" w:ascii="宋体" w:hAnsi="宋体" w:eastAsia="宋体" w:cs="宋体"/>
          <w:b/>
          <w:color w:val="000000"/>
          <w:sz w:val="24"/>
          <w:szCs w:val="24"/>
        </w:rPr>
      </w:pPr>
    </w:p>
    <w:p w14:paraId="69715E4F">
      <w:pPr>
        <w:adjustRightInd w:val="0"/>
        <w:snapToGrid w:val="0"/>
        <w:spacing w:beforeLines="0" w:after="120" w:afterLines="50"/>
        <w:jc w:val="center"/>
        <w:rPr>
          <w:rFonts w:hint="eastAsia" w:ascii="宋体" w:hAnsi="宋体" w:eastAsia="宋体" w:cs="宋体"/>
          <w:b/>
          <w:color w:val="000000"/>
          <w:sz w:val="24"/>
          <w:szCs w:val="24"/>
        </w:rPr>
      </w:pPr>
    </w:p>
    <w:p w14:paraId="64FDB365">
      <w:pPr>
        <w:adjustRightInd w:val="0"/>
        <w:snapToGrid w:val="0"/>
        <w:spacing w:beforeLines="0" w:after="120" w:afterLines="50"/>
        <w:jc w:val="center"/>
        <w:rPr>
          <w:rFonts w:hint="eastAsia" w:ascii="宋体" w:hAnsi="宋体" w:eastAsia="宋体" w:cs="宋体"/>
          <w:b/>
          <w:color w:val="000000"/>
          <w:sz w:val="24"/>
          <w:szCs w:val="24"/>
        </w:rPr>
      </w:pPr>
    </w:p>
    <w:p w14:paraId="7F703DC2">
      <w:pPr>
        <w:adjustRightInd w:val="0"/>
        <w:snapToGrid w:val="0"/>
        <w:spacing w:beforeLines="0" w:after="120" w:afterLines="50"/>
        <w:jc w:val="center"/>
        <w:rPr>
          <w:rFonts w:hint="eastAsia" w:ascii="宋体" w:hAnsi="宋体" w:eastAsia="宋体" w:cs="宋体"/>
          <w:b/>
          <w:color w:val="000000"/>
          <w:sz w:val="24"/>
          <w:szCs w:val="24"/>
        </w:rPr>
      </w:pPr>
    </w:p>
    <w:p w14:paraId="737718F5">
      <w:pPr>
        <w:pStyle w:val="5"/>
        <w:spacing w:beforeLines="0" w:afterLines="0"/>
        <w:rPr>
          <w:rFonts w:hint="eastAsia" w:ascii="宋体" w:hAnsi="宋体" w:eastAsia="宋体" w:cs="宋体"/>
          <w:sz w:val="21"/>
          <w:szCs w:val="24"/>
        </w:rPr>
      </w:pPr>
    </w:p>
    <w:p w14:paraId="368FC565">
      <w:pPr>
        <w:adjustRightInd w:val="0"/>
        <w:snapToGrid w:val="0"/>
        <w:spacing w:beforeLines="0" w:after="120" w:afterLines="50"/>
        <w:jc w:val="center"/>
        <w:rPr>
          <w:rFonts w:hint="eastAsia" w:ascii="宋体" w:hAnsi="宋体" w:eastAsia="宋体" w:cs="宋体"/>
          <w:b/>
          <w:color w:val="000000"/>
          <w:sz w:val="24"/>
          <w:szCs w:val="24"/>
        </w:rPr>
      </w:pPr>
    </w:p>
    <w:p w14:paraId="332963BD">
      <w:pPr>
        <w:adjustRightInd w:val="0"/>
        <w:snapToGrid w:val="0"/>
        <w:spacing w:beforeLines="0" w:after="120" w:afterLines="50"/>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年  月  日</w:t>
      </w:r>
    </w:p>
    <w:p w14:paraId="44AAB796">
      <w:pPr>
        <w:adjustRightInd w:val="0"/>
        <w:snapToGrid w:val="0"/>
        <w:spacing w:beforeLines="0" w:after="120" w:afterLines="50"/>
        <w:jc w:val="center"/>
        <w:rPr>
          <w:rFonts w:hint="eastAsia" w:ascii="宋体" w:hAnsi="宋体" w:eastAsia="宋体" w:cs="宋体"/>
          <w:b/>
          <w:color w:val="000000"/>
          <w:sz w:val="24"/>
          <w:szCs w:val="24"/>
        </w:rPr>
      </w:pPr>
    </w:p>
    <w:p w14:paraId="56429320">
      <w:pPr>
        <w:pStyle w:val="6"/>
        <w:spacing w:beforeLines="0" w:afterLines="0"/>
        <w:rPr>
          <w:rFonts w:hint="eastAsia" w:ascii="宋体" w:hAnsi="宋体" w:eastAsia="宋体" w:cs="宋体"/>
          <w:b/>
          <w:color w:val="000000"/>
          <w:sz w:val="24"/>
          <w:szCs w:val="20"/>
        </w:rPr>
      </w:pPr>
    </w:p>
    <w:p w14:paraId="50AC6DF2">
      <w:pPr>
        <w:pStyle w:val="6"/>
        <w:spacing w:beforeLines="0" w:afterLines="0"/>
        <w:rPr>
          <w:rFonts w:hint="eastAsia" w:ascii="宋体" w:hAnsi="宋体" w:eastAsia="宋体" w:cs="宋体"/>
          <w:b/>
          <w:color w:val="000000"/>
          <w:sz w:val="24"/>
          <w:szCs w:val="20"/>
        </w:rPr>
      </w:pPr>
    </w:p>
    <w:p w14:paraId="5F385753">
      <w:pPr>
        <w:adjustRightInd w:val="0"/>
        <w:snapToGrid w:val="0"/>
        <w:spacing w:beforeLines="0" w:after="120" w:afterLines="50"/>
        <w:jc w:val="center"/>
        <w:rPr>
          <w:rFonts w:hint="eastAsia" w:ascii="宋体" w:hAnsi="宋体" w:eastAsia="宋体" w:cs="宋体"/>
          <w:b/>
          <w:color w:val="000000"/>
          <w:sz w:val="24"/>
          <w:szCs w:val="24"/>
        </w:rPr>
      </w:pPr>
    </w:p>
    <w:p w14:paraId="1519D892">
      <w:pPr>
        <w:adjustRightInd w:val="0"/>
        <w:snapToGrid w:val="0"/>
        <w:spacing w:beforeLines="0" w:afterLines="0" w:line="58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采购人（全称）：</w:t>
      </w:r>
      <w:r>
        <w:rPr>
          <w:rFonts w:hint="eastAsia" w:ascii="宋体" w:hAnsi="宋体" w:eastAsia="宋体" w:cs="宋体"/>
          <w:b/>
          <w:color w:val="000000"/>
          <w:sz w:val="24"/>
          <w:szCs w:val="24"/>
          <w:u w:val="single"/>
        </w:rPr>
        <w:t xml:space="preserve">                                    </w:t>
      </w:r>
    </w:p>
    <w:p w14:paraId="23858C2D">
      <w:pPr>
        <w:adjustRightInd w:val="0"/>
        <w:snapToGrid w:val="0"/>
        <w:spacing w:beforeLines="0" w:afterLines="0" w:line="580" w:lineRule="exact"/>
        <w:rPr>
          <w:rFonts w:hint="eastAsia" w:ascii="宋体" w:hAnsi="宋体" w:eastAsia="宋体" w:cs="宋体"/>
          <w:color w:val="000000"/>
          <w:sz w:val="24"/>
          <w:szCs w:val="24"/>
          <w:u w:val="single"/>
        </w:rPr>
      </w:pPr>
      <w:r>
        <w:rPr>
          <w:rFonts w:hint="eastAsia" w:ascii="宋体" w:hAnsi="宋体" w:eastAsia="宋体" w:cs="宋体"/>
          <w:b/>
          <w:color w:val="000000"/>
          <w:sz w:val="24"/>
          <w:szCs w:val="24"/>
        </w:rPr>
        <w:t>供应商（全称）：</w:t>
      </w:r>
      <w:r>
        <w:rPr>
          <w:rFonts w:hint="eastAsia" w:ascii="宋体" w:hAnsi="宋体" w:eastAsia="宋体" w:cs="宋体"/>
          <w:b/>
          <w:color w:val="000000"/>
          <w:sz w:val="24"/>
          <w:szCs w:val="24"/>
          <w:u w:val="single"/>
        </w:rPr>
        <w:t xml:space="preserve"> </w:t>
      </w:r>
      <w:r>
        <w:rPr>
          <w:rFonts w:hint="eastAsia" w:ascii="宋体" w:hAnsi="宋体" w:eastAsia="宋体" w:cs="宋体"/>
          <w:color w:val="000000"/>
          <w:sz w:val="24"/>
          <w:szCs w:val="24"/>
          <w:u w:val="single"/>
        </w:rPr>
        <w:t xml:space="preserve">                                   </w:t>
      </w:r>
    </w:p>
    <w:p w14:paraId="28664A33">
      <w:pPr>
        <w:adjustRightInd w:val="0"/>
        <w:snapToGrid w:val="0"/>
        <w:spacing w:beforeLines="0" w:afterLines="0" w:line="580" w:lineRule="exact"/>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根据《中华人民共和国民法典》及其他有关法律、法规，遵循平等、自愿、公平和诚信的原则，双方就下述项目范围与相关服务事项协商一致，订立本合同。</w:t>
      </w:r>
    </w:p>
    <w:p w14:paraId="32C7D54D">
      <w:pPr>
        <w:keepNext/>
        <w:spacing w:beforeLines="0" w:afterLines="0" w:line="720" w:lineRule="exact"/>
        <w:ind w:firstLine="482" w:firstLineChars="200"/>
        <w:outlineLvl w:val="1"/>
        <w:rPr>
          <w:rFonts w:hint="eastAsia" w:ascii="宋体" w:hAnsi="宋体" w:eastAsia="宋体" w:cs="宋体"/>
          <w:b/>
          <w:color w:val="000000"/>
          <w:sz w:val="24"/>
          <w:szCs w:val="24"/>
        </w:rPr>
      </w:pPr>
      <w:bookmarkStart w:id="0" w:name="_Toc521307606"/>
      <w:r>
        <w:rPr>
          <w:rFonts w:hint="eastAsia" w:ascii="宋体" w:hAnsi="宋体" w:eastAsia="宋体" w:cs="宋体"/>
          <w:b/>
          <w:color w:val="000000"/>
          <w:sz w:val="24"/>
          <w:szCs w:val="24"/>
          <w:lang w:val="zh-CN"/>
        </w:rPr>
        <w:t>一、项目概况</w:t>
      </w:r>
      <w:bookmarkEnd w:id="0"/>
    </w:p>
    <w:p w14:paraId="26F74FDB">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 项目名称：</w:t>
      </w:r>
      <w:r>
        <w:rPr>
          <w:rFonts w:hint="eastAsia" w:ascii="宋体" w:hAnsi="宋体" w:eastAsia="宋体" w:cs="宋体"/>
          <w:color w:val="000000"/>
          <w:sz w:val="24"/>
          <w:szCs w:val="24"/>
          <w:u w:val="single"/>
        </w:rPr>
        <w:t xml:space="preserve">                      </w:t>
      </w:r>
    </w:p>
    <w:p w14:paraId="4783106A">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2. 项目地点：</w:t>
      </w:r>
      <w:r>
        <w:rPr>
          <w:rFonts w:hint="eastAsia" w:ascii="宋体" w:hAnsi="宋体" w:eastAsia="宋体" w:cs="宋体"/>
          <w:color w:val="000000"/>
          <w:sz w:val="24"/>
          <w:szCs w:val="24"/>
          <w:u w:val="single"/>
        </w:rPr>
        <w:t xml:space="preserve">                      </w:t>
      </w:r>
    </w:p>
    <w:p w14:paraId="1C34DB0D">
      <w:pPr>
        <w:adjustRightInd w:val="0"/>
        <w:snapToGrid w:val="0"/>
        <w:spacing w:beforeLines="0" w:afterLines="0" w:line="560" w:lineRule="exact"/>
        <w:ind w:firstLine="475" w:firstLineChars="198"/>
        <w:rPr>
          <w:rFonts w:hint="eastAsia" w:ascii="宋体" w:hAnsi="宋体" w:eastAsia="宋体" w:cs="宋体"/>
          <w:color w:val="000000"/>
          <w:sz w:val="24"/>
          <w:szCs w:val="24"/>
          <w:u w:val="single"/>
        </w:rPr>
      </w:pPr>
      <w:r>
        <w:rPr>
          <w:rFonts w:hint="eastAsia" w:ascii="宋体" w:hAnsi="宋体" w:eastAsia="宋体" w:cs="宋体"/>
          <w:color w:val="000000"/>
          <w:sz w:val="24"/>
          <w:szCs w:val="24"/>
        </w:rPr>
        <w:t>3. 项目内容：</w:t>
      </w:r>
      <w:r>
        <w:rPr>
          <w:rFonts w:hint="eastAsia" w:ascii="宋体" w:hAnsi="宋体" w:eastAsia="宋体" w:cs="宋体"/>
          <w:color w:val="000000"/>
          <w:sz w:val="24"/>
          <w:szCs w:val="24"/>
          <w:u w:val="single"/>
        </w:rPr>
        <w:t xml:space="preserve">                      </w:t>
      </w:r>
    </w:p>
    <w:p w14:paraId="1A0BB797">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4．项目交货期：</w:t>
      </w:r>
      <w:r>
        <w:rPr>
          <w:rFonts w:hint="eastAsia" w:ascii="宋体" w:hAnsi="宋体" w:eastAsia="宋体" w:cs="宋体"/>
          <w:color w:val="000000"/>
          <w:sz w:val="24"/>
          <w:szCs w:val="24"/>
          <w:u w:val="single"/>
        </w:rPr>
        <w:t xml:space="preserve">                            </w:t>
      </w:r>
    </w:p>
    <w:p w14:paraId="788F21C7">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 w:name="_Toc521307607"/>
      <w:r>
        <w:rPr>
          <w:rFonts w:hint="eastAsia" w:ascii="宋体" w:hAnsi="宋体" w:eastAsia="宋体" w:cs="宋体"/>
          <w:b/>
          <w:color w:val="000000"/>
          <w:sz w:val="24"/>
          <w:szCs w:val="24"/>
          <w:lang w:val="zh-CN"/>
        </w:rPr>
        <w:t>二、合同清单及金额</w:t>
      </w:r>
      <w:bookmarkEnd w:id="1"/>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266"/>
        <w:gridCol w:w="705"/>
        <w:gridCol w:w="873"/>
        <w:gridCol w:w="1400"/>
        <w:gridCol w:w="1677"/>
        <w:gridCol w:w="597"/>
      </w:tblGrid>
      <w:tr w14:paraId="36DE2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AC6F24">
            <w:pPr>
              <w:widowControl/>
              <w:spacing w:beforeLines="0" w:afterLines="0"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w:t>
            </w:r>
          </w:p>
          <w:p w14:paraId="21800115">
            <w:pPr>
              <w:widowControl/>
              <w:spacing w:beforeLines="0" w:afterLines="0"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名称</w:t>
            </w: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629919">
            <w:pPr>
              <w:widowControl/>
              <w:spacing w:beforeLines="0" w:afterLines="0"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品牌规格</w:t>
            </w: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0DD0BF">
            <w:pPr>
              <w:spacing w:beforeLines="0" w:afterLines="0" w:line="500" w:lineRule="exact"/>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w:t>
            </w: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512E8B">
            <w:pPr>
              <w:spacing w:beforeLines="0" w:afterLines="0" w:line="500" w:lineRule="exact"/>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9AB6A8">
            <w:pPr>
              <w:spacing w:beforeLines="0" w:afterLines="0" w:line="500" w:lineRule="exact"/>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单价 （元）</w:t>
            </w: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60F6A9">
            <w:pPr>
              <w:spacing w:beforeLines="0" w:afterLines="0" w:line="500" w:lineRule="exact"/>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总价   （元）</w:t>
            </w: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6F40D2">
            <w:pPr>
              <w:spacing w:beforeLines="0" w:afterLines="0" w:line="500" w:lineRule="exact"/>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14:paraId="25DC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7F7229">
            <w:pPr>
              <w:widowControl/>
              <w:spacing w:beforeLines="0" w:afterLines="0" w:line="500" w:lineRule="exact"/>
              <w:jc w:val="center"/>
              <w:rPr>
                <w:rFonts w:hint="eastAsia" w:ascii="宋体" w:hAnsi="宋体" w:eastAsia="宋体" w:cs="宋体"/>
                <w:color w:val="000000"/>
                <w:sz w:val="24"/>
                <w:szCs w:val="24"/>
              </w:rPr>
            </w:pP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7223AB">
            <w:pPr>
              <w:widowControl/>
              <w:spacing w:beforeLines="0" w:afterLines="0" w:line="500" w:lineRule="exact"/>
              <w:jc w:val="center"/>
              <w:rPr>
                <w:rFonts w:hint="eastAsia" w:ascii="宋体" w:hAnsi="宋体" w:eastAsia="宋体" w:cs="宋体"/>
                <w:color w:val="000000"/>
                <w:sz w:val="24"/>
                <w:szCs w:val="24"/>
              </w:rPr>
            </w:pP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C15BE9">
            <w:pPr>
              <w:spacing w:beforeLines="0" w:afterLines="0" w:line="500" w:lineRule="exact"/>
              <w:ind w:right="-99"/>
              <w:jc w:val="center"/>
              <w:rPr>
                <w:rFonts w:hint="eastAsia" w:ascii="宋体" w:hAnsi="宋体" w:eastAsia="宋体" w:cs="宋体"/>
                <w:color w:val="000000"/>
                <w:sz w:val="24"/>
                <w:szCs w:val="24"/>
              </w:rPr>
            </w:pP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2533EE">
            <w:pPr>
              <w:spacing w:beforeLines="0" w:afterLines="0" w:line="500" w:lineRule="exact"/>
              <w:ind w:right="-99"/>
              <w:jc w:val="center"/>
              <w:rPr>
                <w:rFonts w:hint="eastAsia" w:ascii="宋体" w:hAnsi="宋体" w:eastAsia="宋体" w:cs="宋体"/>
                <w:color w:val="000000"/>
                <w:sz w:val="24"/>
                <w:szCs w:val="24"/>
              </w:rPr>
            </w:pP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552B69">
            <w:pPr>
              <w:spacing w:beforeLines="0" w:afterLines="0" w:line="500" w:lineRule="exact"/>
              <w:ind w:right="-99"/>
              <w:jc w:val="center"/>
              <w:rPr>
                <w:rFonts w:hint="eastAsia" w:ascii="宋体" w:hAnsi="宋体" w:eastAsia="宋体" w:cs="宋体"/>
                <w:color w:val="000000"/>
                <w:sz w:val="24"/>
                <w:szCs w:val="24"/>
              </w:rPr>
            </w:pP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69FF0F">
            <w:pPr>
              <w:spacing w:beforeLines="0" w:afterLines="0" w:line="500" w:lineRule="exact"/>
              <w:ind w:right="-99"/>
              <w:jc w:val="center"/>
              <w:rPr>
                <w:rFonts w:hint="eastAsia" w:ascii="宋体" w:hAnsi="宋体" w:eastAsia="宋体" w:cs="宋体"/>
                <w:color w:val="000000"/>
                <w:sz w:val="24"/>
                <w:szCs w:val="24"/>
              </w:rPr>
            </w:pP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421D4B">
            <w:pPr>
              <w:spacing w:beforeLines="0" w:afterLines="0" w:line="500" w:lineRule="exact"/>
              <w:ind w:right="-99"/>
              <w:jc w:val="left"/>
              <w:rPr>
                <w:rFonts w:hint="eastAsia" w:ascii="宋体" w:hAnsi="宋体" w:eastAsia="宋体" w:cs="宋体"/>
                <w:color w:val="000000"/>
                <w:sz w:val="24"/>
                <w:szCs w:val="24"/>
              </w:rPr>
            </w:pPr>
          </w:p>
        </w:tc>
      </w:tr>
      <w:tr w14:paraId="1F9E2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60CCC">
            <w:pPr>
              <w:widowControl/>
              <w:spacing w:beforeLines="0" w:afterLines="0" w:line="500" w:lineRule="exact"/>
              <w:jc w:val="center"/>
              <w:rPr>
                <w:rFonts w:hint="eastAsia" w:ascii="宋体" w:hAnsi="宋体" w:eastAsia="宋体" w:cs="宋体"/>
                <w:color w:val="000000"/>
                <w:sz w:val="24"/>
                <w:szCs w:val="24"/>
              </w:rPr>
            </w:pPr>
          </w:p>
        </w:tc>
        <w:tc>
          <w:tcPr>
            <w:tcW w:w="2266"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F9DAFC">
            <w:pPr>
              <w:widowControl/>
              <w:spacing w:beforeLines="0" w:afterLines="0" w:line="500" w:lineRule="exact"/>
              <w:jc w:val="center"/>
              <w:rPr>
                <w:rFonts w:hint="eastAsia" w:ascii="宋体" w:hAnsi="宋体" w:eastAsia="宋体" w:cs="宋体"/>
                <w:color w:val="000000"/>
                <w:sz w:val="24"/>
                <w:szCs w:val="24"/>
              </w:rPr>
            </w:pPr>
          </w:p>
        </w:tc>
        <w:tc>
          <w:tcPr>
            <w:tcW w:w="7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7CBBB4">
            <w:pPr>
              <w:spacing w:beforeLines="0" w:afterLines="0" w:line="500" w:lineRule="exact"/>
              <w:ind w:right="-99"/>
              <w:jc w:val="center"/>
              <w:rPr>
                <w:rFonts w:hint="eastAsia" w:ascii="宋体" w:hAnsi="宋体" w:eastAsia="宋体" w:cs="宋体"/>
                <w:color w:val="000000"/>
                <w:sz w:val="24"/>
                <w:szCs w:val="24"/>
              </w:rPr>
            </w:pPr>
          </w:p>
        </w:tc>
        <w:tc>
          <w:tcPr>
            <w:tcW w:w="8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3E4256">
            <w:pPr>
              <w:spacing w:beforeLines="0" w:afterLines="0" w:line="500" w:lineRule="exact"/>
              <w:ind w:right="-99"/>
              <w:jc w:val="center"/>
              <w:rPr>
                <w:rFonts w:hint="eastAsia" w:ascii="宋体" w:hAnsi="宋体" w:eastAsia="宋体" w:cs="宋体"/>
                <w:color w:val="000000"/>
                <w:sz w:val="24"/>
                <w:szCs w:val="24"/>
              </w:rPr>
            </w:pPr>
          </w:p>
        </w:tc>
        <w:tc>
          <w:tcPr>
            <w:tcW w:w="14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0CE1D3">
            <w:pPr>
              <w:spacing w:beforeLines="0" w:afterLines="0" w:line="500" w:lineRule="exact"/>
              <w:ind w:right="-99"/>
              <w:jc w:val="center"/>
              <w:rPr>
                <w:rFonts w:hint="eastAsia" w:ascii="宋体" w:hAnsi="宋体" w:eastAsia="宋体" w:cs="宋体"/>
                <w:color w:val="000000"/>
                <w:sz w:val="24"/>
                <w:szCs w:val="24"/>
              </w:rPr>
            </w:pPr>
          </w:p>
        </w:tc>
        <w:tc>
          <w:tcPr>
            <w:tcW w:w="167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4EEA4C">
            <w:pPr>
              <w:spacing w:beforeLines="0" w:afterLines="0" w:line="500" w:lineRule="exact"/>
              <w:ind w:right="-99"/>
              <w:jc w:val="center"/>
              <w:rPr>
                <w:rFonts w:hint="eastAsia" w:ascii="宋体" w:hAnsi="宋体" w:eastAsia="宋体" w:cs="宋体"/>
                <w:color w:val="000000"/>
                <w:sz w:val="24"/>
                <w:szCs w:val="24"/>
              </w:rPr>
            </w:pPr>
          </w:p>
        </w:tc>
        <w:tc>
          <w:tcPr>
            <w:tcW w:w="59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83A0E5">
            <w:pPr>
              <w:spacing w:beforeLines="0" w:afterLines="0" w:line="500" w:lineRule="exact"/>
              <w:ind w:right="-99"/>
              <w:jc w:val="left"/>
              <w:rPr>
                <w:rFonts w:hint="eastAsia" w:ascii="宋体" w:hAnsi="宋体" w:eastAsia="宋体" w:cs="宋体"/>
                <w:color w:val="000000"/>
                <w:sz w:val="24"/>
                <w:szCs w:val="24"/>
              </w:rPr>
            </w:pPr>
          </w:p>
        </w:tc>
      </w:tr>
      <w:tr w14:paraId="17BF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98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DA7F03">
            <w:pPr>
              <w:widowControl/>
              <w:spacing w:beforeLines="0" w:afterLines="0" w:line="5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合计</w:t>
            </w:r>
          </w:p>
        </w:tc>
        <w:tc>
          <w:tcPr>
            <w:tcW w:w="7518"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289A1007">
            <w:pPr>
              <w:widowControl/>
              <w:spacing w:beforeLines="0" w:afterLines="0" w:line="50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lang w:val="zh-CN"/>
              </w:rPr>
              <w:t xml:space="preserve">大写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    元</w:t>
            </w:r>
          </w:p>
        </w:tc>
      </w:tr>
    </w:tbl>
    <w:p w14:paraId="43F8F780">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合同总价即中标价，为一次性报价，不受市场价变化或实际工作量变 化的影响。合同价格包含所提供货物的设计、制造、出厂检测、工厂检验和监造、培训、运输、保险、装卸、施工现场技术服务、二次运输费用，设备现场保管费用、安装、备品备件、检测和维修专用工具、应交纳税费、伴随服务费、售后服务、购置相关税费、等因开展本项目所涉及的一切相关费用在内。</w:t>
      </w:r>
    </w:p>
    <w:p w14:paraId="384AC536">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设施具体参数详见附件。</w:t>
      </w:r>
    </w:p>
    <w:p w14:paraId="69109B46">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2" w:name="_Toc521307608"/>
      <w:r>
        <w:rPr>
          <w:rFonts w:hint="eastAsia" w:ascii="宋体" w:hAnsi="宋体" w:eastAsia="宋体" w:cs="宋体"/>
          <w:b/>
          <w:color w:val="000000"/>
          <w:sz w:val="24"/>
          <w:szCs w:val="24"/>
          <w:lang w:val="zh-CN"/>
        </w:rPr>
        <w:t>三、结算方式</w:t>
      </w:r>
      <w:bookmarkEnd w:id="2"/>
    </w:p>
    <w:p w14:paraId="479A1FC5">
      <w:pPr>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1.结算单位：银行转账，由采购人负责结算。在付款前，供应商必须开具与合同金额相应的发票给采购人，附详细清单。</w:t>
      </w:r>
    </w:p>
    <w:p w14:paraId="19AB0899">
      <w:pPr>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2.付款方式：</w:t>
      </w:r>
    </w:p>
    <w:p w14:paraId="256ECECF">
      <w:pPr>
        <w:keepNext/>
        <w:spacing w:beforeLines="0" w:afterLines="0" w:line="720" w:lineRule="exact"/>
        <w:ind w:firstLine="480" w:firstLineChars="200"/>
        <w:outlineLvl w:val="1"/>
        <w:rPr>
          <w:rFonts w:hint="eastAsia" w:ascii="宋体" w:hAnsi="宋体" w:eastAsia="宋体" w:cs="宋体"/>
          <w:color w:val="000000"/>
          <w:sz w:val="24"/>
          <w:szCs w:val="24"/>
        </w:rPr>
      </w:pPr>
      <w:bookmarkStart w:id="3" w:name="_Toc521307609"/>
      <w:r>
        <w:rPr>
          <w:rFonts w:hint="eastAsia" w:ascii="宋体" w:hAnsi="宋体" w:eastAsia="宋体" w:cs="宋体"/>
          <w:color w:val="000000"/>
          <w:sz w:val="24"/>
          <w:szCs w:val="24"/>
        </w:rPr>
        <w:t>甲乙双方自行约定。</w:t>
      </w:r>
    </w:p>
    <w:p w14:paraId="1D343E8E">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四、</w:t>
      </w:r>
      <w:bookmarkEnd w:id="3"/>
      <w:r>
        <w:rPr>
          <w:rFonts w:hint="eastAsia" w:ascii="宋体" w:hAnsi="宋体" w:eastAsia="宋体" w:cs="宋体"/>
          <w:b/>
          <w:color w:val="000000"/>
          <w:sz w:val="24"/>
          <w:szCs w:val="24"/>
          <w:lang w:val="zh-CN" w:eastAsia="zh-CN"/>
        </w:rPr>
        <w:t>供货安装期限</w:t>
      </w:r>
      <w:r>
        <w:rPr>
          <w:rFonts w:hint="eastAsia" w:ascii="宋体" w:hAnsi="宋体" w:eastAsia="宋体" w:cs="宋体"/>
          <w:b/>
          <w:color w:val="000000"/>
          <w:sz w:val="24"/>
          <w:szCs w:val="24"/>
          <w:lang w:val="zh-CN"/>
        </w:rPr>
        <w:t>及质保期</w:t>
      </w:r>
    </w:p>
    <w:p w14:paraId="1A2A8AA8">
      <w:pPr>
        <w:tabs>
          <w:tab w:val="left" w:pos="840"/>
        </w:tabs>
        <w:spacing w:beforeLines="0" w:afterLines="0"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zh-CN" w:eastAsia="zh-CN"/>
        </w:rPr>
        <w:t>供货安装期限</w:t>
      </w:r>
      <w:r>
        <w:rPr>
          <w:rFonts w:hint="eastAsia" w:ascii="宋体" w:hAnsi="宋体" w:eastAsia="宋体" w:cs="宋体"/>
          <w:color w:val="auto"/>
          <w:sz w:val="24"/>
          <w:szCs w:val="24"/>
          <w:lang w:val="zh-CN"/>
        </w:rPr>
        <w:t>：</w:t>
      </w:r>
      <w:r>
        <w:rPr>
          <w:rFonts w:hint="eastAsia" w:ascii="宋体" w:hAnsi="宋体" w:eastAsia="宋体" w:cs="宋体"/>
          <w:color w:val="auto"/>
          <w:sz w:val="24"/>
          <w:szCs w:val="24"/>
        </w:rPr>
        <w:t xml:space="preserve">        </w:t>
      </w:r>
      <w:r>
        <w:rPr>
          <w:rFonts w:hint="eastAsia" w:hAnsi="宋体" w:cs="宋体"/>
          <w:color w:val="auto"/>
          <w:sz w:val="24"/>
          <w:szCs w:val="24"/>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zh-CN"/>
        </w:rPr>
        <w:t>质保期</w:t>
      </w:r>
      <w:r>
        <w:rPr>
          <w:rFonts w:hint="eastAsia" w:ascii="宋体" w:hAnsi="宋体" w:eastAsia="宋体" w:cs="宋体"/>
          <w:color w:val="auto"/>
          <w:sz w:val="24"/>
          <w:szCs w:val="24"/>
        </w:rPr>
        <w:t>：</w:t>
      </w:r>
    </w:p>
    <w:p w14:paraId="233D856D">
      <w:pPr>
        <w:keepNext/>
        <w:spacing w:beforeLines="0" w:afterLines="0" w:line="720" w:lineRule="exact"/>
        <w:ind w:firstLine="482" w:firstLineChars="200"/>
        <w:outlineLvl w:val="1"/>
        <w:rPr>
          <w:rFonts w:hint="eastAsia" w:ascii="宋体" w:hAnsi="宋体" w:eastAsia="宋体" w:cs="宋体"/>
          <w:b/>
          <w:color w:val="000000"/>
          <w:sz w:val="24"/>
          <w:szCs w:val="24"/>
        </w:rPr>
      </w:pPr>
      <w:bookmarkStart w:id="4" w:name="_Toc521307610"/>
      <w:r>
        <w:rPr>
          <w:rFonts w:hint="eastAsia" w:ascii="宋体" w:hAnsi="宋体" w:eastAsia="宋体" w:cs="宋体"/>
          <w:b/>
          <w:color w:val="000000"/>
          <w:sz w:val="24"/>
          <w:szCs w:val="24"/>
          <w:lang w:val="zh-CN"/>
        </w:rPr>
        <w:t>五、项目实施地点</w:t>
      </w:r>
      <w:bookmarkEnd w:id="4"/>
      <w:r>
        <w:rPr>
          <w:rFonts w:hint="eastAsia" w:ascii="宋体" w:hAnsi="宋体" w:eastAsia="宋体" w:cs="宋体"/>
          <w:b/>
          <w:color w:val="000000"/>
          <w:sz w:val="24"/>
          <w:szCs w:val="24"/>
          <w:lang w:val="zh-CN"/>
        </w:rPr>
        <w:t xml:space="preserve">  </w:t>
      </w:r>
    </w:p>
    <w:p w14:paraId="4E304702">
      <w:pPr>
        <w:spacing w:beforeLines="0" w:afterLines="0" w:line="520" w:lineRule="exact"/>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采购人指定地点。</w:t>
      </w:r>
    </w:p>
    <w:p w14:paraId="3A6138C6">
      <w:pPr>
        <w:keepNext/>
        <w:spacing w:beforeLines="0" w:afterLines="0" w:line="720" w:lineRule="exact"/>
        <w:ind w:firstLine="482" w:firstLineChars="200"/>
        <w:outlineLvl w:val="1"/>
        <w:rPr>
          <w:rFonts w:hint="eastAsia" w:ascii="宋体" w:hAnsi="宋体" w:eastAsia="宋体" w:cs="宋体"/>
          <w:color w:val="000000"/>
          <w:sz w:val="24"/>
          <w:szCs w:val="24"/>
        </w:rPr>
      </w:pPr>
      <w:bookmarkStart w:id="5" w:name="_Toc521307611"/>
      <w:r>
        <w:rPr>
          <w:rFonts w:hint="eastAsia" w:ascii="宋体" w:hAnsi="宋体" w:eastAsia="宋体" w:cs="宋体"/>
          <w:b/>
          <w:color w:val="000000"/>
          <w:sz w:val="24"/>
          <w:szCs w:val="24"/>
          <w:lang w:val="zh-CN"/>
        </w:rPr>
        <w:t>六、运输、安装、调试要求</w:t>
      </w:r>
      <w:bookmarkEnd w:id="5"/>
      <w:r>
        <w:rPr>
          <w:rFonts w:hint="eastAsia" w:ascii="宋体" w:hAnsi="宋体" w:eastAsia="宋体" w:cs="宋体"/>
          <w:b/>
          <w:color w:val="000000"/>
          <w:sz w:val="24"/>
          <w:szCs w:val="24"/>
          <w:lang w:val="zh-CN"/>
        </w:rPr>
        <w:t xml:space="preserve"> </w:t>
      </w:r>
    </w:p>
    <w:p w14:paraId="26A8AFB0">
      <w:pPr>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1、供应商根据产品特性，自行选择运输及包装方式，承担一切运输费用，包括从生产厂到采购人指定交货地点所需的装卸、运输（含保险费）安装调试及其他一切费用。</w:t>
      </w:r>
    </w:p>
    <w:p w14:paraId="1690ED0A">
      <w:pPr>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2、由供应商负责运输、安装、调试。货物到现场后，供应商与采购人共同对其外观进行验收。供应商应对所供合同货物进行妥善包装，使之能承受所采用的运输条件，确保货物不受任何损伤或损坏。</w:t>
      </w:r>
    </w:p>
    <w:p w14:paraId="0A92C540">
      <w:pPr>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3、供应商应在合同规定的交货期内完成该项工作。如因供应商责任而造成延期，每超过一天按合同总价款的（1%）支付采购人误期赔偿金，直至交货或提供服务结束为止，所有因延期而产生的费用由供应商承担。</w:t>
      </w:r>
    </w:p>
    <w:p w14:paraId="3AD5E02D">
      <w:pPr>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4、安装和调试期间所发生的费用均由供应商负责。</w:t>
      </w:r>
    </w:p>
    <w:p w14:paraId="35106664">
      <w:pPr>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5、供应商应对安装调试、整改等实施过程的安全负责，如发生人身伤亡、财产损失的由供应商负责解决并承担全部责任。</w:t>
      </w:r>
    </w:p>
    <w:p w14:paraId="2E725D14">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6" w:name="_Toc521307612"/>
      <w:r>
        <w:rPr>
          <w:rFonts w:hint="eastAsia" w:ascii="宋体" w:hAnsi="宋体" w:eastAsia="宋体" w:cs="宋体"/>
          <w:b/>
          <w:color w:val="000000"/>
          <w:sz w:val="24"/>
          <w:szCs w:val="24"/>
          <w:lang w:val="zh-CN"/>
        </w:rPr>
        <w:t>七、技术支持</w:t>
      </w:r>
      <w:bookmarkEnd w:id="6"/>
    </w:p>
    <w:p w14:paraId="36FFAC91">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1、供应商应提供可承担维修职能的公司、全资分公司或办事处，并驻守多名维护技术人员，并提供地点、联系人（常驻工程师）及联系电话（服务热线），随时解答各种疑问。</w:t>
      </w:r>
    </w:p>
    <w:p w14:paraId="6D0FC27A">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0A01CFC4">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3、质保期内每年至少四次免费上门维护，回访。</w:t>
      </w:r>
    </w:p>
    <w:p w14:paraId="0F847638">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4、对于存在质量问题或者短少的产品，供应商应在接到采购人的通知2个日历日内负责修复，调换、重新制作或补齐。</w:t>
      </w:r>
    </w:p>
    <w:p w14:paraId="3411162D">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3076DE86">
      <w:pPr>
        <w:tabs>
          <w:tab w:val="left" w:pos="840"/>
        </w:tabs>
        <w:spacing w:beforeLines="0" w:afterLines="0" w:line="52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6、供应商在项目实施过程中，质量保障人员、资源不足或者执行不力，给项目质量带来的风险超出采购人认定的允许范围时，采购人可终止本项目的合作并进行索赔。</w:t>
      </w:r>
    </w:p>
    <w:p w14:paraId="41A689E3">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7" w:name="_Toc521307613"/>
      <w:r>
        <w:rPr>
          <w:rFonts w:hint="eastAsia" w:ascii="宋体" w:hAnsi="宋体" w:eastAsia="宋体" w:cs="宋体"/>
          <w:b/>
          <w:color w:val="000000"/>
          <w:sz w:val="24"/>
          <w:szCs w:val="24"/>
          <w:lang w:val="zh-CN"/>
        </w:rPr>
        <w:t>八、技术培训</w:t>
      </w:r>
      <w:bookmarkEnd w:id="7"/>
    </w:p>
    <w:p w14:paraId="733827B4">
      <w:pPr>
        <w:snapToGrid w:val="0"/>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1、供应商应告知采购人产品的使用、维护、保养等有关注意事项，并根据招投标文件要求对采购人人员进行培训，培训费用由供应商承担。</w:t>
      </w:r>
    </w:p>
    <w:p w14:paraId="196C6DB2">
      <w:pPr>
        <w:tabs>
          <w:tab w:val="left" w:pos="420"/>
        </w:tabs>
        <w:spacing w:beforeLines="0" w:afterLines="0" w:line="560" w:lineRule="exact"/>
        <w:ind w:firstLine="420"/>
        <w:rPr>
          <w:rFonts w:hint="eastAsia" w:ascii="宋体" w:hAnsi="宋体" w:eastAsia="宋体" w:cs="宋体"/>
          <w:color w:val="000000"/>
          <w:sz w:val="24"/>
          <w:szCs w:val="24"/>
        </w:rPr>
      </w:pPr>
      <w:r>
        <w:rPr>
          <w:rFonts w:hint="eastAsia" w:ascii="宋体" w:hAnsi="宋体" w:eastAsia="宋体" w:cs="宋体"/>
          <w:color w:val="000000"/>
          <w:sz w:val="24"/>
          <w:szCs w:val="24"/>
        </w:rPr>
        <w:t>2、在产品正常使用寿命内发生的任何产品质量问题，供应商应当于接到采购人通知后4小时内赶到现场，并及时予以解决。</w:t>
      </w:r>
    </w:p>
    <w:p w14:paraId="10396B9F">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8" w:name="_Toc521307614"/>
      <w:r>
        <w:rPr>
          <w:rFonts w:hint="eastAsia" w:ascii="宋体" w:hAnsi="宋体" w:eastAsia="宋体" w:cs="宋体"/>
          <w:b/>
          <w:color w:val="000000"/>
          <w:sz w:val="24"/>
          <w:szCs w:val="24"/>
          <w:lang w:val="zh-CN"/>
        </w:rPr>
        <w:t>九、技术资料要求</w:t>
      </w:r>
      <w:bookmarkEnd w:id="8"/>
    </w:p>
    <w:p w14:paraId="610D7C8C">
      <w:pPr>
        <w:spacing w:beforeLines="0" w:afterLines="0" w:line="56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供应商应向采购人提供全套中文技术资料一套，其费用包括在投标价格中：</w:t>
      </w:r>
    </w:p>
    <w:p w14:paraId="42CBD833">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1、完整的产品操作使用手册、说明书和维护、修理技术文件，图纸、保修卡等；</w:t>
      </w:r>
    </w:p>
    <w:p w14:paraId="48C5DEF4">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2、制造厂的检验、测试报告、产品检验合格证书，质量保证书等文件验收时须一并提供；</w:t>
      </w:r>
    </w:p>
    <w:p w14:paraId="0C3AAA9B">
      <w:pPr>
        <w:adjustRightInd w:val="0"/>
        <w:snapToGrid w:val="0"/>
        <w:spacing w:beforeLines="0" w:afterLines="0" w:line="560" w:lineRule="exact"/>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3、产品验收标准；</w:t>
      </w:r>
    </w:p>
    <w:p w14:paraId="5EE04A4E">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4、技术说明书及必须的其它技术资料；</w:t>
      </w:r>
    </w:p>
    <w:p w14:paraId="4426B363">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5、产品安装，调试、及原理图；</w:t>
      </w:r>
    </w:p>
    <w:p w14:paraId="0C35F436">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6、零部件目录；</w:t>
      </w:r>
    </w:p>
    <w:p w14:paraId="46274B82">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7、备品备件、易损件清单；</w:t>
      </w:r>
    </w:p>
    <w:p w14:paraId="06467BA4">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8、整体验收后提供验收报告；</w:t>
      </w:r>
    </w:p>
    <w:p w14:paraId="2A86472B">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9" w:name="_Toc521307615"/>
      <w:r>
        <w:rPr>
          <w:rFonts w:hint="eastAsia" w:ascii="宋体" w:hAnsi="宋体" w:eastAsia="宋体" w:cs="宋体"/>
          <w:b/>
          <w:color w:val="000000"/>
          <w:sz w:val="24"/>
          <w:szCs w:val="24"/>
          <w:lang w:val="zh-CN"/>
        </w:rPr>
        <w:t>十、质量保证</w:t>
      </w:r>
      <w:bookmarkEnd w:id="9"/>
    </w:p>
    <w:p w14:paraId="21CEE26C">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0C17DEF0">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2、供应商应保证所有产品的完好无损包括配套包装，如有缺漏、损坏，由供应商负责调换、补齐或赔偿。</w:t>
      </w:r>
    </w:p>
    <w:p w14:paraId="6EF94E86">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3、采购人使用产品过程中因产品质量、产品缺陷及安装质量等造成人身伤亡、财产损失的，由供应商负责解决并承担全部责任。</w:t>
      </w:r>
    </w:p>
    <w:p w14:paraId="0E34BA0C">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4、对于存在质量问题或者短少的产品，供应商应在接到采购人的通知2个日历日内负责修复，调换、重新制作或补齐。</w:t>
      </w:r>
    </w:p>
    <w:p w14:paraId="3674FD18">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5、在最终验收后的质量保证期内，供应商应对设计、工艺或材料等的缺陷而产生的故障负责（负责解决并承担全部费用）。质保期满后如出现此类问题亦应负责。</w:t>
      </w:r>
    </w:p>
    <w:p w14:paraId="488267A9">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5376CDB8">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对于未按约定提供质保服务的供应商或违约的供应商，采购人将拒绝其参加采购人单位的采购项目。且采购人有权委托第三方进行维修，所产生的费用由供应商承担，采购人有权从质保金中直接扣除，不足部分应由供应商支付。</w:t>
      </w:r>
    </w:p>
    <w:p w14:paraId="142F4737">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0" w:name="_Toc521307616"/>
      <w:r>
        <w:rPr>
          <w:rFonts w:hint="eastAsia" w:ascii="宋体" w:hAnsi="宋体" w:eastAsia="宋体" w:cs="宋体"/>
          <w:b/>
          <w:color w:val="000000"/>
          <w:sz w:val="24"/>
          <w:szCs w:val="24"/>
          <w:lang w:val="zh-CN"/>
        </w:rPr>
        <w:t>十一、验收</w:t>
      </w:r>
      <w:bookmarkEnd w:id="10"/>
    </w:p>
    <w:p w14:paraId="5473CA0F">
      <w:pPr>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64B022CD">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1、所验产品的指标、性能参数最终验收达不到招标文件要求和投标文件承诺的，或在使用中发现采购人不能容忍的缺陷等，将视为产品验收不合格，供应商应在采购人要求的时间内无条件免费更换或退货。</w:t>
      </w:r>
    </w:p>
    <w:p w14:paraId="7D736F63">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2、若发现供应商有弄虚作假的，在投标阶段故意或随意夸大产品技术性能，供应商应无条件退货，本合同解除，供应商赔偿采购人相应的损失。</w:t>
      </w:r>
    </w:p>
    <w:p w14:paraId="0D97340A">
      <w:pPr>
        <w:spacing w:beforeLines="0" w:afterLines="0" w:line="56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3、验收标准：按招标文件、投标文件及澄清函等技术指标进行验收。各项指标均应符合验收标准及要求。</w:t>
      </w:r>
    </w:p>
    <w:p w14:paraId="31F56B6B">
      <w:pPr>
        <w:spacing w:beforeLines="0" w:afterLines="0" w:line="560" w:lineRule="exact"/>
        <w:ind w:firstLine="480" w:firstLineChars="200"/>
        <w:rPr>
          <w:rFonts w:hint="eastAsia" w:ascii="宋体" w:hAnsi="宋体" w:eastAsia="宋体" w:cs="宋体"/>
          <w:b/>
          <w:color w:val="000000"/>
          <w:sz w:val="24"/>
          <w:szCs w:val="24"/>
          <w:highlight w:val="green"/>
        </w:rPr>
      </w:pPr>
      <w:r>
        <w:rPr>
          <w:rFonts w:hint="eastAsia" w:ascii="宋体" w:hAnsi="宋体" w:eastAsia="宋体" w:cs="宋体"/>
          <w:color w:val="000000"/>
          <w:sz w:val="24"/>
          <w:szCs w:val="24"/>
        </w:rPr>
        <w:t>4、验收合格后，填写验收单，双方签字生效。</w:t>
      </w:r>
    </w:p>
    <w:p w14:paraId="36B06048">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1" w:name="_Toc521307617"/>
      <w:r>
        <w:rPr>
          <w:rFonts w:hint="eastAsia" w:ascii="宋体" w:hAnsi="宋体" w:eastAsia="宋体" w:cs="宋体"/>
          <w:b/>
          <w:color w:val="000000"/>
          <w:sz w:val="24"/>
          <w:szCs w:val="24"/>
          <w:lang w:val="zh-CN"/>
        </w:rPr>
        <w:t>十二、保密</w:t>
      </w:r>
      <w:bookmarkEnd w:id="11"/>
    </w:p>
    <w:p w14:paraId="761F07EE">
      <w:pPr>
        <w:tabs>
          <w:tab w:val="left" w:pos="1080"/>
        </w:tabs>
        <w:spacing w:beforeLines="0" w:afterLines="0" w:line="560" w:lineRule="exact"/>
        <w:ind w:firstLine="360" w:firstLineChars="15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对工作中了解到的采购人的技术、机密等进行严格保密，不得向他人泄漏。本合同的解除或终止不免除供应商应承担的保密义务。</w:t>
      </w:r>
    </w:p>
    <w:p w14:paraId="692E1574">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2" w:name="_Toc521307618"/>
      <w:r>
        <w:rPr>
          <w:rFonts w:hint="eastAsia" w:ascii="宋体" w:hAnsi="宋体" w:eastAsia="宋体" w:cs="宋体"/>
          <w:b/>
          <w:color w:val="000000"/>
          <w:sz w:val="24"/>
          <w:szCs w:val="24"/>
          <w:lang w:val="zh-CN"/>
        </w:rPr>
        <w:t>十三、知识产权</w:t>
      </w:r>
      <w:bookmarkEnd w:id="12"/>
    </w:p>
    <w:p w14:paraId="3CC81B73">
      <w:pPr>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20C1689A">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3" w:name="_Toc521307619"/>
      <w:r>
        <w:rPr>
          <w:rFonts w:hint="eastAsia" w:ascii="宋体" w:hAnsi="宋体" w:eastAsia="宋体" w:cs="宋体"/>
          <w:b/>
          <w:color w:val="000000"/>
          <w:sz w:val="24"/>
          <w:szCs w:val="24"/>
          <w:lang w:val="zh-CN"/>
        </w:rPr>
        <w:t>十四、合同争议的解决</w:t>
      </w:r>
      <w:bookmarkEnd w:id="13"/>
    </w:p>
    <w:p w14:paraId="5C5F43B6">
      <w:pPr>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合同执行中发生争议的，当事人双方应协商解决。协商达不成一致时，可向当地行政仲裁机关申请仲裁或者向人民法院提请诉讼。</w:t>
      </w:r>
    </w:p>
    <w:p w14:paraId="35C02978">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4" w:name="_Toc521307620"/>
      <w:r>
        <w:rPr>
          <w:rFonts w:hint="eastAsia" w:ascii="宋体" w:hAnsi="宋体" w:eastAsia="宋体" w:cs="宋体"/>
          <w:b/>
          <w:color w:val="000000"/>
          <w:sz w:val="24"/>
          <w:szCs w:val="24"/>
          <w:lang w:val="zh-CN"/>
        </w:rPr>
        <w:t>十五、不可抗力情况下的免责约定</w:t>
      </w:r>
      <w:bookmarkEnd w:id="14"/>
    </w:p>
    <w:p w14:paraId="3319A34E">
      <w:pPr>
        <w:spacing w:beforeLines="0" w:afterLines="0" w:line="56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双方约定不可抗力情况指：双方不可预见、不可避免、不可克服的客观情况，但不包括双方的违约或疏忽。这些事件包括但不限于：战争、严重火灾、洪水、台风、地震等。</w:t>
      </w:r>
    </w:p>
    <w:p w14:paraId="66D58FC8">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5" w:name="_Toc521307621"/>
      <w:r>
        <w:rPr>
          <w:rFonts w:hint="eastAsia" w:ascii="宋体" w:hAnsi="宋体" w:eastAsia="宋体" w:cs="宋体"/>
          <w:b/>
          <w:color w:val="000000"/>
          <w:sz w:val="24"/>
          <w:szCs w:val="24"/>
          <w:lang w:val="zh-CN"/>
        </w:rPr>
        <w:t>十六、违约责任</w:t>
      </w:r>
      <w:bookmarkEnd w:id="15"/>
    </w:p>
    <w:p w14:paraId="3CD9783E">
      <w:pPr>
        <w:spacing w:beforeLines="0" w:afterLines="0" w:line="560" w:lineRule="exact"/>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1、供应商应按照合同规定的期限完成供货及安装、调试、验收，若不能按期完成，情节严重的采购人有权解除合同，并视情节处以不低于合同价款30%的违约金，同时追究供应商的违约责任。</w:t>
      </w:r>
    </w:p>
    <w:p w14:paraId="4DAC9662">
      <w:pPr>
        <w:spacing w:beforeLines="0" w:afterLines="0" w:line="56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2、双方中任何一方违反本合同保密条款的，应当向对方支付违约金。</w:t>
      </w:r>
    </w:p>
    <w:p w14:paraId="0A587F17">
      <w:pPr>
        <w:spacing w:beforeLines="0" w:afterLines="0" w:line="56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26DF1D5E">
      <w:pPr>
        <w:spacing w:beforeLines="0" w:afterLines="0" w:line="560" w:lineRule="exact"/>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4、合同成立后，在任何一方无实质违约的情况下，未经相对方书面允许，任何一方不得单方撤销、中止、终止履行合同。</w:t>
      </w:r>
    </w:p>
    <w:p w14:paraId="795DDA3A">
      <w:pPr>
        <w:keepNext/>
        <w:spacing w:beforeLines="0" w:afterLines="0" w:line="720" w:lineRule="exact"/>
        <w:ind w:firstLine="482" w:firstLineChars="200"/>
        <w:outlineLvl w:val="1"/>
        <w:rPr>
          <w:rFonts w:hint="eastAsia" w:ascii="宋体" w:hAnsi="宋体" w:eastAsia="宋体" w:cs="宋体"/>
          <w:b/>
          <w:color w:val="000000"/>
          <w:sz w:val="24"/>
          <w:szCs w:val="24"/>
          <w:lang w:val="zh-CN"/>
        </w:rPr>
      </w:pPr>
      <w:bookmarkStart w:id="16" w:name="_Toc521307622"/>
      <w:r>
        <w:rPr>
          <w:rFonts w:hint="eastAsia" w:ascii="宋体" w:hAnsi="宋体" w:eastAsia="宋体" w:cs="宋体"/>
          <w:b/>
          <w:color w:val="000000"/>
          <w:sz w:val="24"/>
          <w:szCs w:val="24"/>
          <w:lang w:val="zh-CN"/>
        </w:rPr>
        <w:t>十七、合同订立</w:t>
      </w:r>
      <w:bookmarkEnd w:id="16"/>
    </w:p>
    <w:p w14:paraId="56B4657D">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1. 订立时间：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5409CE28">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2. 本合同一式</w:t>
      </w:r>
      <w:r>
        <w:rPr>
          <w:rFonts w:hint="eastAsia" w:ascii="宋体" w:hAnsi="宋体" w:eastAsia="宋体" w:cs="宋体"/>
          <w:color w:val="000000"/>
          <w:sz w:val="24"/>
          <w:szCs w:val="24"/>
          <w:u w:val="single"/>
        </w:rPr>
        <w:t xml:space="preserve"> 陆 </w:t>
      </w:r>
      <w:r>
        <w:rPr>
          <w:rFonts w:hint="eastAsia" w:ascii="宋体" w:hAnsi="宋体" w:eastAsia="宋体" w:cs="宋体"/>
          <w:color w:val="000000"/>
          <w:sz w:val="24"/>
          <w:szCs w:val="24"/>
        </w:rPr>
        <w:t>份，具有同等法律效力，双方各执</w:t>
      </w:r>
      <w:r>
        <w:rPr>
          <w:rFonts w:hint="eastAsia" w:ascii="宋体" w:hAnsi="宋体" w:eastAsia="宋体" w:cs="宋体"/>
          <w:color w:val="000000"/>
          <w:sz w:val="24"/>
          <w:szCs w:val="24"/>
          <w:u w:val="single"/>
        </w:rPr>
        <w:t xml:space="preserve"> 叁 </w:t>
      </w:r>
      <w:r>
        <w:rPr>
          <w:rFonts w:hint="eastAsia" w:ascii="宋体" w:hAnsi="宋体" w:eastAsia="宋体" w:cs="宋体"/>
          <w:color w:val="000000"/>
          <w:sz w:val="24"/>
          <w:szCs w:val="24"/>
        </w:rPr>
        <w:t>份。各方签字盖章后生效，合同执行完毕自动失效。（合同的服务承诺则长期有效）。</w:t>
      </w:r>
    </w:p>
    <w:p w14:paraId="68AC7E52">
      <w:pPr>
        <w:adjustRightInd w:val="0"/>
        <w:snapToGrid w:val="0"/>
        <w:spacing w:beforeLines="0" w:afterLines="0" w:line="560" w:lineRule="exact"/>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（以下无正文）</w:t>
      </w:r>
    </w:p>
    <w:p w14:paraId="208AF24C">
      <w:pPr>
        <w:pStyle w:val="3"/>
        <w:rPr>
          <w:rFonts w:hint="eastAsia"/>
        </w:rPr>
      </w:pPr>
    </w:p>
    <w:p w14:paraId="631DBD4F">
      <w:pPr>
        <w:adjustRightInd w:val="0"/>
        <w:snapToGrid w:val="0"/>
        <w:spacing w:beforeLines="0" w:afterLines="0" w:line="560" w:lineRule="exact"/>
        <w:ind w:firstLine="475" w:firstLineChars="198"/>
        <w:rPr>
          <w:rFonts w:hint="eastAsia" w:ascii="宋体" w:hAnsi="宋体" w:eastAsia="宋体" w:cs="宋体"/>
          <w:color w:val="000000"/>
          <w:sz w:val="24"/>
          <w:szCs w:val="24"/>
        </w:rPr>
      </w:pPr>
    </w:p>
    <w:p w14:paraId="72EB6CAE">
      <w:pPr>
        <w:adjustRightInd w:val="0"/>
        <w:snapToGrid w:val="0"/>
        <w:spacing w:beforeLines="0" w:afterLines="0" w:line="560" w:lineRule="exact"/>
        <w:ind w:left="4080" w:hanging="4080" w:hangingChars="17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采购人：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供应商：</w:t>
      </w:r>
      <w:r>
        <w:rPr>
          <w:rFonts w:hint="eastAsia" w:ascii="宋体" w:hAnsi="宋体" w:eastAsia="宋体" w:cs="宋体"/>
          <w:color w:val="000000"/>
          <w:sz w:val="24"/>
          <w:szCs w:val="24"/>
          <w:u w:val="single"/>
        </w:rPr>
        <w:t xml:space="preserve">                  </w:t>
      </w:r>
    </w:p>
    <w:p w14:paraId="07F39D84">
      <w:pPr>
        <w:adjustRightInd w:val="0"/>
        <w:snapToGrid w:val="0"/>
        <w:spacing w:beforeLines="0" w:afterLines="0" w:line="56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p>
    <w:p w14:paraId="7BCBB409">
      <w:pPr>
        <w:adjustRightInd w:val="0"/>
        <w:snapToGrid w:val="0"/>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法定代表人或其授权                法定代表人或其授权</w:t>
      </w:r>
    </w:p>
    <w:p w14:paraId="3EE0C991">
      <w:pPr>
        <w:adjustRightInd w:val="0"/>
        <w:snapToGrid w:val="0"/>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的代理人：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的代理人：</w:t>
      </w:r>
      <w:r>
        <w:rPr>
          <w:rFonts w:hint="eastAsia" w:ascii="宋体" w:hAnsi="宋体" w:eastAsia="宋体" w:cs="宋体"/>
          <w:color w:val="000000"/>
          <w:sz w:val="24"/>
          <w:szCs w:val="24"/>
          <w:u w:val="single"/>
        </w:rPr>
        <w:t xml:space="preserve">                     </w:t>
      </w:r>
    </w:p>
    <w:p w14:paraId="2593DB63">
      <w:pPr>
        <w:adjustRightInd w:val="0"/>
        <w:snapToGrid w:val="0"/>
        <w:spacing w:beforeLines="0" w:afterLines="0" w:line="560" w:lineRule="exact"/>
        <w:ind w:left="4080" w:hanging="4080" w:hangingChars="1700"/>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开户银行：</w:t>
      </w:r>
      <w:r>
        <w:rPr>
          <w:rFonts w:hint="eastAsia" w:ascii="宋体" w:hAnsi="宋体" w:eastAsia="宋体" w:cs="宋体"/>
          <w:color w:val="000000"/>
          <w:sz w:val="24"/>
          <w:szCs w:val="24"/>
          <w:u w:val="single"/>
        </w:rPr>
        <w:t xml:space="preserve">                  </w:t>
      </w:r>
    </w:p>
    <w:p w14:paraId="6AEAAA3F">
      <w:pPr>
        <w:adjustRightInd w:val="0"/>
        <w:snapToGrid w:val="0"/>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账号：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账号：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4E664426">
      <w:pPr>
        <w:adjustRightInd w:val="0"/>
        <w:snapToGrid w:val="0"/>
        <w:spacing w:beforeLines="0" w:afterLines="0" w:line="560" w:lineRule="exact"/>
        <w:rPr>
          <w:rFonts w:hint="eastAsia" w:ascii="宋体" w:hAnsi="宋体" w:eastAsia="宋体" w:cs="宋体"/>
          <w:color w:val="000000"/>
          <w:sz w:val="24"/>
          <w:szCs w:val="24"/>
          <w:u w:val="single"/>
        </w:rPr>
      </w:pP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电话：</w:t>
      </w:r>
      <w:r>
        <w:rPr>
          <w:rFonts w:hint="eastAsia" w:ascii="宋体" w:hAnsi="宋体" w:eastAsia="宋体" w:cs="宋体"/>
          <w:color w:val="000000"/>
          <w:sz w:val="24"/>
          <w:szCs w:val="24"/>
          <w:u w:val="single"/>
        </w:rPr>
        <w:t xml:space="preserve">                   </w:t>
      </w:r>
    </w:p>
    <w:p w14:paraId="140A53C4">
      <w:pPr>
        <w:adjustRightInd w:val="0"/>
        <w:snapToGrid w:val="0"/>
        <w:spacing w:beforeLines="0" w:afterLines="0" w:line="560" w:lineRule="exact"/>
        <w:rPr>
          <w:rFonts w:hint="eastAsia" w:ascii="宋体" w:hAnsi="宋体" w:eastAsia="宋体" w:cs="宋体"/>
          <w:color w:val="000000"/>
          <w:sz w:val="24"/>
          <w:szCs w:val="24"/>
        </w:rPr>
      </w:pPr>
      <w:r>
        <w:rPr>
          <w:rFonts w:hint="eastAsia" w:ascii="宋体" w:hAnsi="宋体" w:eastAsia="宋体" w:cs="宋体"/>
          <w:color w:val="000000"/>
          <w:sz w:val="24"/>
          <w:szCs w:val="24"/>
        </w:rPr>
        <w:t>传真：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传真：</w:t>
      </w:r>
      <w:r>
        <w:rPr>
          <w:rFonts w:hint="eastAsia" w:ascii="宋体" w:hAnsi="宋体" w:eastAsia="宋体" w:cs="宋体"/>
          <w:color w:val="000000"/>
          <w:sz w:val="24"/>
          <w:szCs w:val="24"/>
          <w:u w:val="single"/>
        </w:rPr>
        <w:t xml:space="preserve">                         </w:t>
      </w:r>
    </w:p>
    <w:p w14:paraId="7A2439BA">
      <w:pPr>
        <w:adjustRightInd w:val="0"/>
        <w:snapToGrid w:val="0"/>
        <w:spacing w:beforeLines="0" w:afterLines="0" w:line="560" w:lineRule="exact"/>
        <w:rPr>
          <w:rFonts w:hint="eastAsia" w:ascii="宋体" w:hAnsi="宋体" w:eastAsia="宋体" w:cs="宋体"/>
          <w:b/>
          <w:color w:val="000000"/>
          <w:sz w:val="24"/>
          <w:szCs w:val="24"/>
        </w:rPr>
      </w:pPr>
      <w:r>
        <w:rPr>
          <w:rFonts w:hint="eastAsia" w:ascii="宋体" w:hAnsi="宋体" w:eastAsia="宋体" w:cs="宋体"/>
          <w:color w:val="000000"/>
          <w:sz w:val="24"/>
          <w:szCs w:val="24"/>
        </w:rPr>
        <w:t>电子邮箱：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电子邮箱：</w:t>
      </w:r>
      <w:r>
        <w:rPr>
          <w:rFonts w:hint="eastAsia" w:ascii="宋体" w:hAnsi="宋体" w:eastAsia="宋体" w:cs="宋体"/>
          <w:color w:val="000000"/>
          <w:sz w:val="24"/>
          <w:szCs w:val="24"/>
          <w:u w:val="single"/>
        </w:rPr>
        <w:t xml:space="preserve">              </w:t>
      </w:r>
    </w:p>
    <w:p w14:paraId="55CDB045">
      <w:pPr>
        <w:adjustRightInd w:val="0"/>
        <w:snapToGrid w:val="0"/>
        <w:spacing w:beforeLines="0" w:afterLines="0" w:line="560" w:lineRule="exact"/>
        <w:rPr>
          <w:rFonts w:hint="eastAsia" w:ascii="宋体" w:hAnsi="宋体" w:eastAsia="宋体" w:cs="宋体"/>
          <w:b/>
          <w:color w:val="000000"/>
          <w:sz w:val="24"/>
          <w:szCs w:val="24"/>
        </w:rPr>
      </w:pPr>
    </w:p>
    <w:p w14:paraId="4773571C">
      <w:pPr>
        <w:adjustRightInd w:val="0"/>
        <w:snapToGrid w:val="0"/>
        <w:spacing w:beforeLines="0" w:afterLines="0" w:line="560" w:lineRule="exact"/>
        <w:rPr>
          <w:rFonts w:hint="eastAsia" w:ascii="宋体" w:hAnsi="宋体" w:eastAsia="宋体" w:cs="宋体"/>
          <w:b/>
          <w:color w:val="000000"/>
          <w:sz w:val="24"/>
          <w:szCs w:val="24"/>
        </w:rPr>
      </w:pPr>
      <w:r>
        <w:rPr>
          <w:rFonts w:hint="eastAsia" w:ascii="宋体" w:hAnsi="宋体" w:eastAsia="宋体" w:cs="宋体"/>
          <w:b/>
          <w:color w:val="000000"/>
          <w:sz w:val="24"/>
          <w:szCs w:val="24"/>
        </w:rPr>
        <w:t>附件：</w:t>
      </w:r>
    </w:p>
    <w:p w14:paraId="3AE2ED96">
      <w:pPr>
        <w:adjustRightInd w:val="0"/>
        <w:snapToGrid w:val="0"/>
        <w:spacing w:beforeLines="0" w:afterLines="0" w:line="560" w:lineRule="exact"/>
      </w:pPr>
      <w:r>
        <w:rPr>
          <w:rFonts w:hint="eastAsia" w:ascii="宋体" w:hAnsi="宋体" w:eastAsia="宋体" w:cs="宋体"/>
          <w:b/>
          <w:color w:val="000000"/>
          <w:sz w:val="24"/>
          <w:szCs w:val="24"/>
        </w:rPr>
        <w:t>产品清单</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F2455B"/>
    <w:rsid w:val="0C52632C"/>
    <w:rsid w:val="3BF24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99"/>
    <w:pPr>
      <w:spacing w:after="120"/>
    </w:pPr>
  </w:style>
  <w:style w:type="paragraph" w:styleId="4">
    <w:name w:val="Body Text Indent"/>
    <w:basedOn w:val="1"/>
    <w:qFormat/>
    <w:uiPriority w:val="0"/>
    <w:pPr>
      <w:ind w:firstLine="630"/>
    </w:pPr>
    <w:rPr>
      <w:sz w:val="32"/>
      <w:szCs w:val="20"/>
    </w:rPr>
  </w:style>
  <w:style w:type="paragraph" w:styleId="5">
    <w:name w:val="Body Text First Indent"/>
    <w:basedOn w:val="3"/>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6">
    <w:name w:val="Body Text First Indent 2"/>
    <w:basedOn w:val="4"/>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3516</Words>
  <Characters>3528</Characters>
  <Lines>0</Lines>
  <Paragraphs>0</Paragraphs>
  <TotalTime>0</TotalTime>
  <ScaleCrop>false</ScaleCrop>
  <LinksUpToDate>false</LinksUpToDate>
  <CharactersWithSpaces>4204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2025-10-18T06:20:00Z</dcterms:created>
  <dc:creator>巴黎铁塔，听说爱情</dc:creator>
  <cp:lastModifiedBy>美子</cp:lastModifiedBy>
  <dcterms:modified xsi:type="dcterms:W3CDTF">2026-05-09T06:35:53Z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E80FB384DF85409E9F4F5284F433A48B_13</vt:lpwstr>
  </property>
  <property fmtid="{D5CDD505-2E9C-101B-9397-08002B2CF9AE}" pid="4" name="KSOTemplateDocerSaveRecord">
    <vt:lpwstr>eyJoZGlkIjoiYTY0ZTIzYmQyY2UwNWI3Zjc3MDM1YWRkOGUxMjg3NzEiLCJ1c2VySWQiOiIyNTk5MzIwMTMifQ==</vt:lpwstr>
  </property>
</Properties>
</file>