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版本号：SXZCZB2026-ZCGK-042420260507002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高陵区13个地块实施详细规划及相关设计编制项目（专项债）</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SXZCZB2026-ZCGK-0424</w:t>
      </w:r>
      <w:r>
        <w:br/>
      </w:r>
      <w:r>
        <w:br/>
      </w:r>
      <w:r>
        <w:br/>
      </w:r>
    </w:p>
    <w:p>
      <w:pPr>
        <w:pStyle w:val="null3"/>
        <w:jc w:val="center"/>
        <w:outlineLvl w:val="2"/>
      </w:pPr>
      <w:r>
        <w:rPr>
          <w:rFonts w:ascii="仿宋_GB2312" w:hAnsi="仿宋_GB2312" w:cs="仿宋_GB2312" w:eastAsia="仿宋_GB2312"/>
          <w:sz w:val="28"/>
          <w:b/>
        </w:rPr>
        <w:t>西安市自然资源和规划局高陵分局</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西安市自然资源和规划局高陵分局</w:t>
      </w:r>
      <w:r>
        <w:rPr>
          <w:rFonts w:ascii="仿宋_GB2312" w:hAnsi="仿宋_GB2312" w:cs="仿宋_GB2312" w:eastAsia="仿宋_GB2312"/>
        </w:rPr>
        <w:t>委托，拟对</w:t>
      </w:r>
      <w:r>
        <w:rPr>
          <w:rFonts w:ascii="仿宋_GB2312" w:hAnsi="仿宋_GB2312" w:cs="仿宋_GB2312" w:eastAsia="仿宋_GB2312"/>
        </w:rPr>
        <w:t>高陵区13个地块实施详细规划及相关设计编制项目（专项债）</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SXZCZB2026-ZCGK-0424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高陵区13个地块实施详细规划及相关设计编制项目（专项债）</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高陵区结合全区未来发展情况，专项债项目共计13个地块，约1700余亩土地，工作内容包含地块实施详细规划、 “规土评让”方案以及规划条件核提方案等。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2、法定代表人授权书：提供法定代表人授权书（附法定代表人、被授权人身份证复印件），法定代表人直接参加投标，须提供法定代表人身份证明及身份证复印件；</w:t>
      </w:r>
    </w:p>
    <w:p>
      <w:pPr>
        <w:pStyle w:val="null3"/>
      </w:pPr>
      <w:r>
        <w:rPr>
          <w:rFonts w:ascii="仿宋_GB2312" w:hAnsi="仿宋_GB2312" w:cs="仿宋_GB2312" w:eastAsia="仿宋_GB2312"/>
        </w:rPr>
        <w:t>3、财务审计报告：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4、税收缴纳证明：提供递交投标文件截止日前一年内已缴纳的至少一个月的纳税证明或完税证明（任意税种），依法免税的单位应提供相关证明材料；</w:t>
      </w:r>
    </w:p>
    <w:p>
      <w:pPr>
        <w:pStyle w:val="null3"/>
      </w:pPr>
      <w:r>
        <w:rPr>
          <w:rFonts w:ascii="仿宋_GB2312" w:hAnsi="仿宋_GB2312" w:cs="仿宋_GB2312" w:eastAsia="仿宋_GB2312"/>
        </w:rPr>
        <w:t>5、社会保障资金缴纳证明：提供递交投标文件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相关主体信用记录：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7、书面声明：参加政府采购活动前3年内，在经营活动中没有重大违法记录的书面声明；</w:t>
      </w:r>
    </w:p>
    <w:p>
      <w:pPr>
        <w:pStyle w:val="null3"/>
      </w:pPr>
      <w:r>
        <w:rPr>
          <w:rFonts w:ascii="仿宋_GB2312" w:hAnsi="仿宋_GB2312" w:cs="仿宋_GB2312" w:eastAsia="仿宋_GB2312"/>
        </w:rPr>
        <w:t>8、履约承诺：提供具有履行本合同所必需的设备和专业技术能力的说明及承诺书；</w:t>
      </w:r>
    </w:p>
    <w:p>
      <w:pPr>
        <w:pStyle w:val="null3"/>
      </w:pPr>
      <w:r>
        <w:rPr>
          <w:rFonts w:ascii="仿宋_GB2312" w:hAnsi="仿宋_GB2312" w:cs="仿宋_GB2312" w:eastAsia="仿宋_GB2312"/>
        </w:rPr>
        <w:t>9、资质证书：供应商须具备城乡规划编制乙级（含乙级）或乙级以上资质；</w:t>
      </w:r>
    </w:p>
    <w:p>
      <w:pPr>
        <w:pStyle w:val="null3"/>
      </w:pPr>
      <w:r>
        <w:rPr>
          <w:rFonts w:ascii="仿宋_GB2312" w:hAnsi="仿宋_GB2312" w:cs="仿宋_GB2312" w:eastAsia="仿宋_GB2312"/>
        </w:rPr>
        <w:t>10、控股管理关系：提供直接控股和管理关系清单。若与其他供应商存在单位负责人为同一人或者存在直接控股、管理关系的，则投标无效；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11、非联合体承诺：本项目不接受联合体投标（提供承诺书）。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西安市自然资源和规划局高陵分局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西安市高陵区鹿苑街道环城东路691号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西安市自然资源和规划局高陵分局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029-86910384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倪沛、胡晓均、王欣玫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西安市高陵区采购管理科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王碧柳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029-86919290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采购包1：3,991,000.00元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代理服务费收费标准：以成交金额为基数，依据国家计委颁发的《招标代理服务收费管理暂行 办法》（计价格〔2002〕1980号）和国家发展和改革委员会办 公厅颁发的《关于招标代理服 务收费有关问题的通知》（发改办价格〔2003〕857号）的有关规定执行。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西安市自然资源和规划局高陵分局</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西安市自然资源和规划局高陵分局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西安市自然资源和规划局高陵分局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联系人：倪沛、胡晓均、王欣玫</w:t>
      </w:r>
    </w:p>
    <w:p>
      <w:pPr>
        <w:pStyle w:val="null3"/>
      </w:pPr>
      <w:r>
        <w:rPr>
          <w:rFonts w:ascii="仿宋_GB2312" w:hAnsi="仿宋_GB2312" w:cs="仿宋_GB2312" w:eastAsia="仿宋_GB2312"/>
        </w:rPr>
        <w:t>联系电话：029-88219779</w:t>
      </w:r>
    </w:p>
    <w:p>
      <w:pPr>
        <w:pStyle w:val="null3"/>
      </w:pPr>
      <w:r>
        <w:rPr>
          <w:rFonts w:ascii="仿宋_GB2312" w:hAnsi="仿宋_GB2312" w:cs="仿宋_GB2312" w:eastAsia="仿宋_GB2312"/>
        </w:rPr>
        <w:t>地址：陕西省西安市经济技术开发区未央路171-1号银池道拉斯财富中心21楼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高陵区结合全区未来发展情况，专项债项目共计13个地块，约1700余亩土地，工作内容包含地块实施详细规划、“规土评让”方案以及规划条件核提方案等。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3,991,000.00</w:t>
      </w:r>
    </w:p>
    <w:p>
      <w:pPr>
        <w:pStyle w:val="null3"/>
      </w:pPr>
      <w:r>
        <w:rPr>
          <w:rFonts w:ascii="仿宋_GB2312" w:hAnsi="仿宋_GB2312" w:cs="仿宋_GB2312" w:eastAsia="仿宋_GB2312"/>
        </w:rPr>
        <w:t>采购包最高限价（元）: 3,991,000.00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规划编制费</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3,991,000.00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标的名称：规划编制费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w:t>
            </w:r>
            <w:r>
              <w:rPr>
                <w:rFonts w:ascii="仿宋_GB2312" w:hAnsi="仿宋_GB2312" w:cs="仿宋_GB2312" w:eastAsia="仿宋_GB2312"/>
              </w:rPr>
              <w:t>、服务内容（包括工作区域、工作内容等）</w:t>
            </w:r>
          </w:p>
          <w:p>
            <w:pPr>
              <w:pStyle w:val="null3"/>
              <w:jc w:val="both"/>
            </w:pPr>
            <w:r>
              <w:rPr>
                <w:rFonts w:ascii="仿宋_GB2312" w:hAnsi="仿宋_GB2312" w:cs="仿宋_GB2312" w:eastAsia="仿宋_GB2312"/>
                <w:sz w:val="21"/>
              </w:rPr>
              <w:t>高陵区结合全区未来发展情况，专项债</w:t>
            </w:r>
            <w:r>
              <w:rPr>
                <w:rFonts w:ascii="仿宋_GB2312" w:hAnsi="仿宋_GB2312" w:cs="仿宋_GB2312" w:eastAsia="仿宋_GB2312"/>
                <w:sz w:val="21"/>
              </w:rPr>
              <w:t>项目</w:t>
            </w:r>
            <w:r>
              <w:rPr>
                <w:rFonts w:ascii="仿宋_GB2312" w:hAnsi="仿宋_GB2312" w:cs="仿宋_GB2312" w:eastAsia="仿宋_GB2312"/>
                <w:sz w:val="21"/>
              </w:rPr>
              <w:t>共计</w:t>
            </w:r>
            <w:r>
              <w:rPr>
                <w:rFonts w:ascii="仿宋_GB2312" w:hAnsi="仿宋_GB2312" w:cs="仿宋_GB2312" w:eastAsia="仿宋_GB2312"/>
                <w:sz w:val="21"/>
              </w:rPr>
              <w:t>13个地块，</w:t>
            </w:r>
            <w:r>
              <w:rPr>
                <w:rFonts w:ascii="仿宋_GB2312" w:hAnsi="仿宋_GB2312" w:cs="仿宋_GB2312" w:eastAsia="仿宋_GB2312"/>
                <w:sz w:val="21"/>
              </w:rPr>
              <w:t>约</w:t>
            </w:r>
            <w:r>
              <w:rPr>
                <w:rFonts w:ascii="仿宋_GB2312" w:hAnsi="仿宋_GB2312" w:cs="仿宋_GB2312" w:eastAsia="仿宋_GB2312"/>
                <w:sz w:val="21"/>
              </w:rPr>
              <w:t>1700余</w:t>
            </w:r>
            <w:r>
              <w:rPr>
                <w:rFonts w:ascii="仿宋_GB2312" w:hAnsi="仿宋_GB2312" w:cs="仿宋_GB2312" w:eastAsia="仿宋_GB2312"/>
                <w:sz w:val="21"/>
              </w:rPr>
              <w:t>亩土地，工作内容包含地块实施详细规划、</w:t>
            </w:r>
            <w:r>
              <w:rPr>
                <w:rFonts w:ascii="仿宋_GB2312" w:hAnsi="仿宋_GB2312" w:cs="仿宋_GB2312" w:eastAsia="仿宋_GB2312"/>
                <w:sz w:val="21"/>
              </w:rPr>
              <w:t>“规土评让”方案以及规划条件核提方案等</w:t>
            </w:r>
            <w:r>
              <w:rPr>
                <w:rFonts w:ascii="仿宋_GB2312" w:hAnsi="仿宋_GB2312" w:cs="仿宋_GB2312" w:eastAsia="仿宋_GB2312"/>
                <w:sz w:val="21"/>
              </w:rPr>
              <w:t>。</w:t>
            </w:r>
          </w:p>
          <w:p>
            <w:pPr>
              <w:pStyle w:val="null3"/>
            </w:pPr>
            <w:r>
              <w:rPr>
                <w:rFonts w:ascii="仿宋_GB2312" w:hAnsi="仿宋_GB2312" w:cs="仿宋_GB2312" w:eastAsia="仿宋_GB2312"/>
              </w:rPr>
              <w:t>二、</w:t>
            </w:r>
            <w:r>
              <w:rPr>
                <w:rFonts w:ascii="仿宋_GB2312" w:hAnsi="仿宋_GB2312" w:cs="仿宋_GB2312" w:eastAsia="仿宋_GB2312"/>
              </w:rPr>
              <w:t>技术要求（如有，一般适合于技术服务项目）</w:t>
            </w:r>
          </w:p>
          <w:p>
            <w:pPr>
              <w:pStyle w:val="null3"/>
              <w:jc w:val="both"/>
            </w:pPr>
            <w:r>
              <w:rPr>
                <w:rFonts w:ascii="仿宋_GB2312" w:hAnsi="仿宋_GB2312" w:cs="仿宋_GB2312" w:eastAsia="仿宋_GB2312"/>
                <w:sz w:val="21"/>
              </w:rPr>
              <w:t>编制成果需满足《西安市国土空间城镇开发边界内详细规划编制审批管理实施监督暂行规定》（市政办〔</w:t>
            </w:r>
            <w:r>
              <w:rPr>
                <w:rFonts w:ascii="仿宋_GB2312" w:hAnsi="仿宋_GB2312" w:cs="仿宋_GB2312" w:eastAsia="仿宋_GB2312"/>
                <w:sz w:val="21"/>
              </w:rPr>
              <w:t>2024〕3</w:t>
            </w:r>
            <w:r>
              <w:rPr>
                <w:rFonts w:ascii="仿宋_GB2312" w:hAnsi="仿宋_GB2312" w:cs="仿宋_GB2312" w:eastAsia="仿宋_GB2312"/>
                <w:sz w:val="21"/>
              </w:rPr>
              <w:t>6</w:t>
            </w:r>
            <w:r>
              <w:rPr>
                <w:rFonts w:ascii="仿宋_GB2312" w:hAnsi="仿宋_GB2312" w:cs="仿宋_GB2312" w:eastAsia="仿宋_GB2312"/>
                <w:sz w:val="21"/>
              </w:rPr>
              <w:t xml:space="preserve"> </w:t>
            </w:r>
            <w:r>
              <w:rPr>
                <w:rFonts w:ascii="仿宋_GB2312" w:hAnsi="仿宋_GB2312" w:cs="仿宋_GB2312" w:eastAsia="仿宋_GB2312"/>
                <w:sz w:val="21"/>
              </w:rPr>
              <w:t>号）、《西安市编制国土空间详细规划组织管理实施方案》（市政办发〔</w:t>
            </w:r>
            <w:r>
              <w:rPr>
                <w:rFonts w:ascii="仿宋_GB2312" w:hAnsi="仿宋_GB2312" w:cs="仿宋_GB2312" w:eastAsia="仿宋_GB2312"/>
                <w:sz w:val="21"/>
              </w:rPr>
              <w:t>2025〕68号）、等文件中关于实施详细规划、“规土评让”、规划条件等内容的相关要求，同时需满足市资源规划局对实施详细规划编制相关技术要求。</w:t>
            </w:r>
          </w:p>
          <w:p>
            <w:pPr>
              <w:pStyle w:val="null3"/>
            </w:pPr>
            <w:r>
              <w:rPr>
                <w:rFonts w:ascii="仿宋_GB2312" w:hAnsi="仿宋_GB2312" w:cs="仿宋_GB2312" w:eastAsia="仿宋_GB2312"/>
              </w:rPr>
              <w:t>三、</w:t>
            </w:r>
            <w:r>
              <w:rPr>
                <w:rFonts w:ascii="仿宋_GB2312" w:hAnsi="仿宋_GB2312" w:cs="仿宋_GB2312" w:eastAsia="仿宋_GB2312"/>
              </w:rPr>
              <w:t>服务要求（如对人员配置、专业设备、服务标准等）</w:t>
            </w:r>
          </w:p>
          <w:p>
            <w:pPr>
              <w:pStyle w:val="null3"/>
            </w:pPr>
            <w:r>
              <w:rPr>
                <w:rFonts w:ascii="仿宋_GB2312" w:hAnsi="仿宋_GB2312" w:cs="仿宋_GB2312" w:eastAsia="仿宋_GB2312"/>
              </w:rPr>
              <w:t>人员配备合理。有针对本项目的专项服务小组，项目负责人、工作人员分工明确（应有具体成员名单，包括姓名、工作职责等）</w:t>
            </w:r>
          </w:p>
          <w:p>
            <w:pPr>
              <w:pStyle w:val="null3"/>
            </w:pPr>
            <w:r>
              <w:rPr>
                <w:rFonts w:ascii="仿宋_GB2312" w:hAnsi="仿宋_GB2312" w:cs="仿宋_GB2312" w:eastAsia="仿宋_GB2312"/>
              </w:rPr>
              <w:t>四</w:t>
            </w:r>
            <w:r>
              <w:rPr>
                <w:rFonts w:ascii="仿宋_GB2312" w:hAnsi="仿宋_GB2312" w:cs="仿宋_GB2312" w:eastAsia="仿宋_GB2312"/>
              </w:rPr>
              <w:t>、商务要求（如服务期限、款项结算等）</w:t>
            </w:r>
          </w:p>
          <w:p>
            <w:pPr>
              <w:pStyle w:val="null3"/>
            </w:pPr>
            <w:r>
              <w:rPr>
                <w:rFonts w:ascii="仿宋_GB2312" w:hAnsi="仿宋_GB2312" w:cs="仿宋_GB2312" w:eastAsia="仿宋_GB2312"/>
              </w:rPr>
              <w:t>（一）服务期限</w:t>
            </w:r>
          </w:p>
          <w:p>
            <w:pPr>
              <w:pStyle w:val="null3"/>
            </w:pPr>
            <w:r>
              <w:rPr>
                <w:rFonts w:ascii="仿宋_GB2312" w:hAnsi="仿宋_GB2312" w:cs="仿宋_GB2312" w:eastAsia="仿宋_GB2312"/>
              </w:rPr>
              <w:t xml:space="preserve"> </w:t>
            </w:r>
            <w:r>
              <w:rPr>
                <w:rFonts w:ascii="仿宋_GB2312" w:hAnsi="仿宋_GB2312" w:cs="仿宋_GB2312" w:eastAsia="仿宋_GB2312"/>
              </w:rPr>
              <w:t>自合同签订之日起至服务结束。</w:t>
            </w:r>
          </w:p>
          <w:p>
            <w:pPr>
              <w:pStyle w:val="null3"/>
            </w:pPr>
            <w:r>
              <w:rPr>
                <w:rFonts w:ascii="仿宋_GB2312" w:hAnsi="仿宋_GB2312" w:cs="仿宋_GB2312" w:eastAsia="仿宋_GB2312"/>
              </w:rPr>
              <w:t>（</w:t>
            </w:r>
            <w:r>
              <w:rPr>
                <w:rFonts w:ascii="仿宋_GB2312" w:hAnsi="仿宋_GB2312" w:cs="仿宋_GB2312" w:eastAsia="仿宋_GB2312"/>
              </w:rPr>
              <w:t>二）款项结算</w:t>
            </w:r>
          </w:p>
          <w:p>
            <w:pPr>
              <w:pStyle w:val="null3"/>
              <w:jc w:val="both"/>
            </w:pPr>
            <w:r>
              <w:rPr>
                <w:rFonts w:ascii="仿宋_GB2312" w:hAnsi="仿宋_GB2312" w:cs="仿宋_GB2312" w:eastAsia="仿宋_GB2312"/>
                <w:sz w:val="15"/>
              </w:rPr>
              <w:t>项目结算按照每个项目单价、双方确认实际工作量及完成阶段，据实结算。付款前乙方应向甲方提供合法有效的含</w:t>
            </w:r>
            <w:r>
              <w:rPr>
                <w:rFonts w:ascii="仿宋_GB2312" w:hAnsi="仿宋_GB2312" w:cs="仿宋_GB2312" w:eastAsia="仿宋_GB2312"/>
                <w:sz w:val="15"/>
              </w:rPr>
              <w:t>税增值税普通发票。由乙方统计实际完成项目数量及完成阶段，并形成书面文件提交给甲方进行结算。本项目共 13 个地块，按单个地块独立实施、独立验收、独立结算、一次性支付。单个地块全部工作完成并提交</w:t>
            </w:r>
            <w:r>
              <w:rPr>
                <w:rFonts w:ascii="仿宋_GB2312" w:hAnsi="仿宋_GB2312" w:cs="仿宋_GB2312" w:eastAsia="仿宋_GB2312"/>
                <w:sz w:val="15"/>
              </w:rPr>
              <w:t>成果，经主管部门审查及甲方验收合格后，一次性支付该地块对应合同价款的100%;本项目所有地块验收完成后，累计支付比例为合同总金额的100% ，达到付款条件起 30 日内，支付合同总金额的 100.00%。</w:t>
            </w:r>
          </w:p>
          <w:p>
            <w:pPr>
              <w:pStyle w:val="null3"/>
            </w:pPr>
            <w:r>
              <w:rPr>
                <w:rFonts w:ascii="仿宋_GB2312" w:hAnsi="仿宋_GB2312" w:cs="仿宋_GB2312" w:eastAsia="仿宋_GB2312"/>
              </w:rPr>
              <w:t>五</w:t>
            </w:r>
            <w:r>
              <w:rPr>
                <w:rFonts w:ascii="仿宋_GB2312" w:hAnsi="仿宋_GB2312" w:cs="仿宋_GB2312" w:eastAsia="仿宋_GB2312"/>
              </w:rPr>
              <w:t>、其他（如有要求，请写明）</w:t>
            </w:r>
          </w:p>
          <w:p>
            <w:pPr>
              <w:pStyle w:val="null3"/>
            </w:pPr>
            <w:r>
              <w:rPr>
                <w:rFonts w:ascii="仿宋_GB2312" w:hAnsi="仿宋_GB2312" w:cs="仿宋_GB2312" w:eastAsia="仿宋_GB2312"/>
              </w:rPr>
              <w:t>（</w:t>
            </w:r>
            <w:r>
              <w:rPr>
                <w:rFonts w:ascii="仿宋_GB2312" w:hAnsi="仿宋_GB2312" w:cs="仿宋_GB2312" w:eastAsia="仿宋_GB2312"/>
              </w:rPr>
              <w:t>一</w:t>
            </w:r>
            <w:r>
              <w:rPr>
                <w:rFonts w:ascii="仿宋_GB2312" w:hAnsi="仿宋_GB2312" w:cs="仿宋_GB2312" w:eastAsia="仿宋_GB2312"/>
              </w:rPr>
              <w:t>）成果交付要求</w:t>
            </w:r>
          </w:p>
          <w:p>
            <w:pPr>
              <w:pStyle w:val="null3"/>
            </w:pPr>
            <w:r>
              <w:rPr>
                <w:rFonts w:ascii="仿宋_GB2312" w:hAnsi="仿宋_GB2312" w:cs="仿宋_GB2312" w:eastAsia="仿宋_GB2312"/>
              </w:rPr>
              <w:t>按照宗地需要，出具相关成果，成果包含设计图册和电子文件</w:t>
            </w:r>
            <w:r>
              <w:rPr>
                <w:rFonts w:ascii="仿宋_GB2312" w:hAnsi="仿宋_GB2312" w:cs="仿宋_GB2312" w:eastAsia="仿宋_GB2312"/>
              </w:rPr>
              <w:t>，具体份数可根据采购人及相关主管部门要求调整，不额外收取费用。</w:t>
            </w:r>
          </w:p>
          <w:p>
            <w:pPr>
              <w:pStyle w:val="null3"/>
            </w:pPr>
            <w:r>
              <w:rPr>
                <w:rFonts w:ascii="仿宋_GB2312" w:hAnsi="仿宋_GB2312" w:cs="仿宋_GB2312" w:eastAsia="仿宋_GB2312"/>
              </w:rPr>
              <w:t>（</w:t>
            </w:r>
            <w:r>
              <w:rPr>
                <w:rFonts w:ascii="仿宋_GB2312" w:hAnsi="仿宋_GB2312" w:cs="仿宋_GB2312" w:eastAsia="仿宋_GB2312"/>
              </w:rPr>
              <w:t>二</w:t>
            </w:r>
            <w:r>
              <w:rPr>
                <w:rFonts w:ascii="仿宋_GB2312" w:hAnsi="仿宋_GB2312" w:cs="仿宋_GB2312" w:eastAsia="仿宋_GB2312"/>
              </w:rPr>
              <w:t>）质量验收标准或规范</w:t>
            </w:r>
          </w:p>
          <w:p>
            <w:pPr>
              <w:pStyle w:val="null3"/>
            </w:pPr>
            <w:r>
              <w:rPr>
                <w:rFonts w:ascii="仿宋_GB2312" w:hAnsi="仿宋_GB2312" w:cs="仿宋_GB2312" w:eastAsia="仿宋_GB2312"/>
              </w:rPr>
              <w:t>编制成果需符合市政府、市自然资源和规划局相关文件和技术标准要求。同时成果需通过相关技术审查和行政审查。</w:t>
            </w:r>
          </w:p>
          <w:p>
            <w:pPr>
              <w:pStyle w:val="null3"/>
            </w:pPr>
            <w:r>
              <w:rPr>
                <w:rFonts w:ascii="仿宋_GB2312" w:hAnsi="仿宋_GB2312" w:cs="仿宋_GB2312" w:eastAsia="仿宋_GB2312"/>
              </w:rPr>
              <w:t>（</w:t>
            </w:r>
            <w:r>
              <w:rPr>
                <w:rFonts w:ascii="仿宋_GB2312" w:hAnsi="仿宋_GB2312" w:cs="仿宋_GB2312" w:eastAsia="仿宋_GB2312"/>
              </w:rPr>
              <w:t>三）</w:t>
            </w:r>
            <w:r>
              <w:rPr>
                <w:rFonts w:ascii="仿宋_GB2312" w:hAnsi="仿宋_GB2312" w:cs="仿宋_GB2312" w:eastAsia="仿宋_GB2312"/>
              </w:rPr>
              <w:t>违约责任</w:t>
            </w:r>
          </w:p>
          <w:p>
            <w:pPr>
              <w:pStyle w:val="null3"/>
            </w:pPr>
            <w:r>
              <w:rPr>
                <w:rFonts w:ascii="仿宋_GB2312" w:hAnsi="仿宋_GB2312" w:cs="仿宋_GB2312" w:eastAsia="仿宋_GB2312"/>
                <w:sz w:val="21"/>
              </w:rPr>
              <w:t>一般与合同款项的支付相关，注意不要超出《民法典》中对于违约的责任上限。</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自合同签订之日起至服务结束。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结算按照每个项目单价、双方确认实际工作量及完成阶段，据实结算。付款前乙方应向甲方提供合法有效的含税增值税普通发票。由乙方统计实际完成项目数量及完成阶段，并形成书面文件提交给甲方进行结算。本项目共 13 个地块，按单个地块独立实施、独立验收、独立结算、一次性支付。单个地块全部工作完成并提交成果，经主管部门审查及甲方验收合格后，一次性支付该地块对应合同价款的100%;本项目所有地块验收完成后，累计支付比例为合同总金额的100%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服务内容及服务邀请应答表 中小企业声明函 商务应答表 投标人应提交的相关资格证明材料 资格格式.docx 分项报价表.docx 投标函 残疾人福利性单位声明函 服务方案 标的清单 投标文件封面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服务内容及服务邀请应答表 中小企业声明函 商务应答表 投标人应提交的相关资格证明材料 资格格式.docx 分项报价表.docx 残疾人福利性单位声明函 服务方案 标的清单 投标文件封面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服务内容及服务邀请应答表 中小企业声明函 商务应答表 投标人应提交的相关资格证明材料 资格格式.docx 分项报价表.docx 投标函 残疾人福利性单位声明函 服务方案 标的清单 投标文件封面 陕西省政府采购供应商拒绝政府采购领域商业贿赂承诺书.docx 监狱企业的证明文件</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开标一览表 服务内容及服务邀请应答表 中小企业声明函 商务应答表 投标人应提交的相关资格证明材料 资格格式.docx 分项报价表.docx 投标函 残疾人福利性单位声明函 服务方案 标的清单 投标文件封面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开标一览表 服务内容及服务邀请应答表 中小企业声明函 商务应答表 投标人应提交的相关资格证明材料 资格格式.docx 分项报价表.docx 投标函 残疾人福利性单位声明函 服务方案 标的清单 投标文件封面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开标一览表 服务内容及服务邀请应答表 中小企业声明函 商务应答表 投标人应提交的相关资格证明材料 资格格式.docx 分项报价表.docx 投标函 残疾人福利性单位声明函 服务方案 标的清单 投标文件封面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提供递交投标文件截止日前一年内已缴纳的至少一个月的纳税证明或完税证明（任意税种），依法免税的单位应提供相关证明材料；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开标一览表 服务内容及服务邀请应答表 中小企业声明函 商务应答表 投标人应提交的相关资格证明材料 资格格式.docx 分项报价表.docx 投标函 残疾人福利性单位声明函 服务方案 标的清单 投标文件封面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开标一览表 服务内容及服务邀请应答表 中小企业声明函 商务应答表 投标人应提交的相关资格证明材料 资格格式.docx 分项报价表.docx 投标函 残疾人福利性单位声明函 服务方案 标的清单 投标文件封面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相关主体信用记录</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开标一览表 服务内容及服务邀请应答表 中小企业声明函 商务应答表 投标人应提交的相关资格证明材料 资格格式.docx 分项报价表.docx 投标函 残疾人福利性单位声明函 服务方案 标的清单 投标文件封面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开标一览表 服务内容及服务邀请应答表 中小企业声明函 商务应答表 投标人应提交的相关资格证明材料 资格格式.docx 分项报价表.docx 投标函 残疾人福利性单位声明函 服务方案 标的清单 投标文件封面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履约承诺</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开标一览表 服务内容及服务邀请应答表 中小企业声明函 商务应答表 投标人应提交的相关资格证明材料 资格格式.docx 分项报价表.docx 投标函 残疾人福利性单位声明函 服务方案 标的清单 投标文件封面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供应商须具备城乡规划编制乙级（含乙级）或乙级以上资质；</w:t>
            </w:r>
          </w:p>
        </w:tc>
        <w:tc>
          <w:tcPr>
            <w:tcW w:type="dxa" w:w="1661"/>
          </w:tcPr>
          <w:p>
            <w:pPr>
              <w:pStyle w:val="null3"/>
            </w:pPr>
            <w:r>
              <w:rPr>
                <w:rFonts w:ascii="仿宋_GB2312" w:hAnsi="仿宋_GB2312" w:cs="仿宋_GB2312" w:eastAsia="仿宋_GB2312"/>
              </w:rPr>
              <w:t>开标一览表 服务内容及服务邀请应答表 中小企业声明函 商务应答表 投标人应提交的相关资格证明材料 资格格式.docx 分项报价表.docx 投标函 残疾人福利性单位声明函 服务方案 标的清单 投标文件封面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开标一览表 服务内容及服务邀请应答表 中小企业声明函 商务应答表 投标人应提交的相关资格证明材料 资格格式.docx 分项报价表.docx 投标函 残疾人福利性单位声明函 服务方案 标的清单 投标文件封面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本项目不接受联合体投标（提供承诺书）。</w:t>
            </w:r>
          </w:p>
        </w:tc>
        <w:tc>
          <w:tcPr>
            <w:tcW w:type="dxa" w:w="1661"/>
          </w:tcPr>
          <w:p>
            <w:pPr>
              <w:pStyle w:val="null3"/>
            </w:pPr>
            <w:r>
              <w:rPr>
                <w:rFonts w:ascii="仿宋_GB2312" w:hAnsi="仿宋_GB2312" w:cs="仿宋_GB2312" w:eastAsia="仿宋_GB2312"/>
              </w:rPr>
              <w:t>开标一览表 服务内容及服务邀请应答表 中小企业声明函 商务应答表 投标人应提交的相关资格证明材料 资格格式.docx 分项报价表.docx 投标函 残疾人福利性单位声明函 服务方案 标的清单 投标文件封面 陕西省政府采购供应商拒绝政府采购领域商业贿赂承诺书.docx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投标文件的完整性</w:t>
            </w:r>
          </w:p>
        </w:tc>
        <w:tc>
          <w:tcPr>
            <w:tcW w:type="dxa" w:w="3322"/>
          </w:tcPr>
          <w:p>
            <w:pPr>
              <w:pStyle w:val="null3"/>
            </w:pPr>
            <w:r>
              <w:rPr>
                <w:rFonts w:ascii="仿宋_GB2312" w:hAnsi="仿宋_GB2312" w:cs="仿宋_GB2312" w:eastAsia="仿宋_GB2312"/>
              </w:rPr>
              <w:t>投标文件构成是否有重大缺项，是否按招标文件要求的格式编写投标文件</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投标文件的有效性</w:t>
            </w:r>
          </w:p>
        </w:tc>
        <w:tc>
          <w:tcPr>
            <w:tcW w:type="dxa" w:w="3322"/>
          </w:tcPr>
          <w:p>
            <w:pPr>
              <w:pStyle w:val="null3"/>
            </w:pPr>
            <w:r>
              <w:rPr>
                <w:rFonts w:ascii="仿宋_GB2312" w:hAnsi="仿宋_GB2312" w:cs="仿宋_GB2312" w:eastAsia="仿宋_GB2312"/>
              </w:rPr>
              <w:t>投标文件的签署、加盖印章是否合格、有效；提供的各种证明文件、数据、资料是否真实、有效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投标文件的响应性</w:t>
            </w:r>
          </w:p>
        </w:tc>
        <w:tc>
          <w:tcPr>
            <w:tcW w:type="dxa" w:w="3322"/>
          </w:tcPr>
          <w:p>
            <w:pPr>
              <w:pStyle w:val="null3"/>
            </w:pPr>
            <w:r>
              <w:rPr>
                <w:rFonts w:ascii="仿宋_GB2312" w:hAnsi="仿宋_GB2312" w:cs="仿宋_GB2312" w:eastAsia="仿宋_GB2312"/>
              </w:rPr>
              <w:t>投标有效期是否符合招标文件要求； 是否满足本次招标的要求； 投标方案是否有重大缺漏项； 商务响应条款是否有重大偏离；</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需求响应</w:t>
            </w:r>
          </w:p>
        </w:tc>
        <w:tc>
          <w:tcPr>
            <w:tcW w:type="dxa" w:w="2492"/>
          </w:tcPr>
          <w:p>
            <w:pPr>
              <w:pStyle w:val="null3"/>
            </w:pPr>
            <w:r>
              <w:rPr>
                <w:rFonts w:ascii="仿宋_GB2312" w:hAnsi="仿宋_GB2312" w:cs="仿宋_GB2312" w:eastAsia="仿宋_GB2312"/>
              </w:rPr>
              <w:t>一、评审内容针对本项目提出适用于本项目的需求响应方案，包括： ①项目理解②需求分析③项目重难点分析 二、评审标准 1、完整性：方案必须全面，对评审内容中的各项要求有详细描述； 2、可实施性：切合本项目实际情况，提出步骤清晰、合理的方案； 3、针对性：方案能够紧扣项目实际情况，内容科学合理。 三、赋分标准（满分9分） ①项目理解：每完全满足一个评审标准得 1分，满分3分； ②需求分析：每完全满足一个评审标准得1分，满分3分； ③项目重难点分析：每完全满足一个评审标准得1分，满分3分。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资格格式.docx</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陕西省政府采购供应商拒绝政府采购领域商业贿赂承诺书.docx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针对本项目提出适用于本项目的服务方案，包括： ①总体工作方案②项目实施计划③组织实施方案 二、评审标准 1、完整性：方案必须全面，对评审内容中的各项要求有详细描述； 2、可实施性：切合本项目实际情况，提出步骤清晰、合理的方案； 3、针对性：方案能够紧扣项目实际情况，内容科学合理。 三、赋分标准（满分18分） ①总体工作方案：每完全满足一个评审标准得2分，满分6分； ②项目实施计划：每完全满足一个评审标准得2分，满分6分； ③组织实施方案：每完全满足一个评审标准得2分，满分6分。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资格格式.docx</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陕西省政府采购供应商拒绝政府采购领域商业贿赂承诺书.docx</w:t>
            </w:r>
          </w:p>
        </w:tc>
      </w:tr>
      <w:tr>
        <w:tc>
          <w:tcPr>
            <w:tcW w:type="dxa" w:w="831"/>
            <w:vMerge/>
          </w:tcPr>
          <w:p/>
        </w:tc>
        <w:tc>
          <w:tcPr>
            <w:tcW w:type="dxa" w:w="1661"/>
          </w:tcPr>
          <w:p>
            <w:pPr>
              <w:pStyle w:val="null3"/>
            </w:pPr>
            <w:r>
              <w:rPr>
                <w:rFonts w:ascii="仿宋_GB2312" w:hAnsi="仿宋_GB2312" w:cs="仿宋_GB2312" w:eastAsia="仿宋_GB2312"/>
              </w:rPr>
              <w:t>相关管理措施</w:t>
            </w:r>
          </w:p>
        </w:tc>
        <w:tc>
          <w:tcPr>
            <w:tcW w:type="dxa" w:w="2492"/>
          </w:tcPr>
          <w:p>
            <w:pPr>
              <w:pStyle w:val="null3"/>
            </w:pPr>
            <w:r>
              <w:rPr>
                <w:rFonts w:ascii="仿宋_GB2312" w:hAnsi="仿宋_GB2312" w:cs="仿宋_GB2312" w:eastAsia="仿宋_GB2312"/>
              </w:rPr>
              <w:t>一、评审内容 针对采购需求提出适用于本项目的措施方案，方案包括： ①质量保证措施②进度控制措施 二、评审标准 1、完整性：方案必须全面，对评审内容中的各项要求有详细描述； 2、可实施性：切合本项目实际情况，提出步骤清晰、合理的方案； 3、针对性：方案能够紧扣项目实际情况，内容科学合理。 三、赋分标准（满分12分） ①质量保证措施：每完全满足一个评审标准得2分，满分6分； ②进度控制措施：每完全满足一个评审标准得2分，满分6分。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资格格式.docx</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陕西省政府采购供应商拒绝政府采购领域商业贿赂承诺书.docx</w:t>
            </w:r>
          </w:p>
        </w:tc>
      </w:tr>
      <w:tr>
        <w:tc>
          <w:tcPr>
            <w:tcW w:type="dxa" w:w="831"/>
            <w:vMerge/>
          </w:tcPr>
          <w:p/>
        </w:tc>
        <w:tc>
          <w:tcPr>
            <w:tcW w:type="dxa" w:w="1661"/>
          </w:tcPr>
          <w:p>
            <w:pPr>
              <w:pStyle w:val="null3"/>
            </w:pPr>
            <w:r>
              <w:rPr>
                <w:rFonts w:ascii="仿宋_GB2312" w:hAnsi="仿宋_GB2312" w:cs="仿宋_GB2312" w:eastAsia="仿宋_GB2312"/>
              </w:rPr>
              <w:t>服务承诺及应急管理</w:t>
            </w:r>
          </w:p>
        </w:tc>
        <w:tc>
          <w:tcPr>
            <w:tcW w:type="dxa" w:w="2492"/>
          </w:tcPr>
          <w:p>
            <w:pPr>
              <w:pStyle w:val="null3"/>
            </w:pPr>
            <w:r>
              <w:rPr>
                <w:rFonts w:ascii="仿宋_GB2312" w:hAnsi="仿宋_GB2312" w:cs="仿宋_GB2312" w:eastAsia="仿宋_GB2312"/>
              </w:rPr>
              <w:t>一、评审内容 针对本项目提出适用于本项目的服务方案，方案包括： ①服务承诺②应急预案③应急保障措施 二、评审标准 1、完整性：方案必须全面，对评审内容中的各项要求有详细描述； 2、可实施性：切合本项目实际情况，提出步骤清晰、合理的方案； 3、针对性：方案能够紧扣项目实际情况，内容科学合理。 三、赋分标准（满分9分） ①服务承诺：每完全满足一个评审标准得1分，满分3分； ②应急预案：每完全满足一个评审标准得1分，满分3分； ③应急保障措施：每完全满足一个评审标准得1分，满分3分。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资格格式.docx</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陕西省政府采购供应商拒绝政府采购领域商业贿赂承诺书.docx</w:t>
            </w:r>
          </w:p>
        </w:tc>
      </w:tr>
      <w:tr>
        <w:tc>
          <w:tcPr>
            <w:tcW w:type="dxa" w:w="831"/>
            <w:vMerge/>
          </w:tcPr>
          <w:p/>
        </w:tc>
        <w:tc>
          <w:tcPr>
            <w:tcW w:type="dxa" w:w="1661"/>
          </w:tcPr>
          <w:p>
            <w:pPr>
              <w:pStyle w:val="null3"/>
            </w:pPr>
            <w:r>
              <w:rPr>
                <w:rFonts w:ascii="仿宋_GB2312" w:hAnsi="仿宋_GB2312" w:cs="仿宋_GB2312" w:eastAsia="仿宋_GB2312"/>
              </w:rPr>
              <w:t>安全保障</w:t>
            </w:r>
          </w:p>
        </w:tc>
        <w:tc>
          <w:tcPr>
            <w:tcW w:type="dxa" w:w="2492"/>
          </w:tcPr>
          <w:p>
            <w:pPr>
              <w:pStyle w:val="null3"/>
            </w:pPr>
            <w:r>
              <w:rPr>
                <w:rFonts w:ascii="仿宋_GB2312" w:hAnsi="仿宋_GB2312" w:cs="仿宋_GB2312" w:eastAsia="仿宋_GB2312"/>
              </w:rPr>
              <w:t>一、评审内容 针对本项目提出适用于本项目的服务方案，方案包括： ①安全保证措施；②风险防范措施； 二、评审标准 1、完整性：方案必须全面，对评审内容中的各项要求有详细描述； 2、可实施性：切合本项目实际情况，提出步骤清晰、合理的方案； 3、针对性：方案能够紧扣项目实际情况，内容科学合理。 三、赋分标准（满分6分） ①安全保证措施：每完全满足一个评审标准得1分，满分3分； ②风险防范措施：每完全满足一个评审标准得1分，满分3分；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资格格式.docx</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陕西省政府采购供应商拒绝政府采购领域商业贿赂承诺书.docx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针对本项目实际需求，提供实质性的合理化建议。每提供1项，得1分，满分4分。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资格格式.docx</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陕西省政府采购供应商拒绝政府采购领域商业贿赂承诺书.docx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一、评审内容：供应商结合本项目实际，提供项目负责人服务能力方案，至少包含： ①项目负责人统筹管理思路； ②项目负责人服务保障承诺。须提供项目负责人相关证明材料，包括但不限于职称证书、专业证书、从业经历等。 二、分项评审标准： 完整性：方案内容完整、要素齐全；证明材料齐全有效。 可实施性：方案合理可行、便于落地实施。 针对性：符合本项目实际需求与建设目标，专业能力匹配度高。三、赋分标准（满分6分）： ①项目负责人统筹管理思路：每满足一个分项评审标准得 1 分，满分3分； ②项目负责人服务保障承诺：每满足一个分项评审标准得1分，满分 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资格格式.docx</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陕西省政府采购供应商拒绝政府采购领域商业贿赂承诺书.docx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一、评审内容：供应商结合本项目实际，提供项目团队配置与服务方案，至少包含： ①团队专业配置与技术能力； ②团队人员分工与岗位职责； ③团队服务响应与保障措施； ④团队稳定性与履约保障。 须提供团队成员相关证明材料，包括但不限于职称证书、专业证书、学历证书、从业经历等。 二、分项评审标准： 完整性：方案内容完整、要素齐全；证明材料齐全有效。 可实施性：方案合理可行、便于落地实施。 针对性：符合本项目实际需求与建设目标，专业配置匹配度高。三、赋分标准（满分9分）： ①团队专业配置与技术能力：每满足一个分项评审标准得 0.5 分，满分 1.5分； ②团队人员分工与岗位职责：每满足一个分项评审标准得0.5分，满分 1.5分； ③团队服务响应与保障措施：每满足一个分项评审标准得1分，满分 3分； ④团队稳定性与履约保障：每满足一个分项评审标准得 1 分，满分 3 分；未提供该项内容不得分。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资格格式.docx</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陕西省政府采购供应商拒绝政府采购领域商业贿赂承诺书.docx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针对本项目提出适用于本项目的售后服务方案，包括： ①售后服务内容②保障措施 二、评审标准 1、完整性：方案必须全面，对评审内容中的各项要求有详细描述； 2、可实施性：切合本项目实际情况，提出步骤清晰、合理的方案； 3、针对性：方案能够紧扣项目实际情况，内容科学合理。 三、赋分标准（满分9分） ①售后服务内容：每完全满足一个评审标准得1.5分，满分4.5分； ②保障措施：每完全满足一个评审标准得1.5分，满分4.5分。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资格格式.docx</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陕西省政府采购供应商拒绝政府采购领域商业贿赂承诺书.docx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须提供自2022年1月1日至今类似项目业绩，以供应商提供的合同或中标（成交）通知书复印件（或扫描件）为准（日期以合同签订时间或中标（成交）通知书时间为准），每提供一份得1分，满分8分；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资格格式.docx</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陕西省政府采购供应商拒绝政府采购领域商业贿赂承诺书.docx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1.经初审合格的响应文件，其报价为有效投标价。 2.有效最低报价为基准价得10分。 3.按（有效最低报价/有效投标报价）×10的公式计算其得分。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资格格式.docx</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陕西省政府采购供应商拒绝政府采购领域商业贿赂承诺书.docx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资格格式.docx</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陕西省政府采购供应商拒绝政府采购领域商业贿赂承诺书.docx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详见附件：资格格式.docx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详见附件：规划设计合同.docx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