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版本号：ZY2026-ZB-JT109620260605001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西安市人民检察院检察工作网文印设备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ZY2026-ZB-JT1096</w:t>
      </w:r>
      <w:r>
        <w:br/>
      </w:r>
      <w:r>
        <w:br/>
      </w:r>
      <w:r>
        <w:br/>
      </w:r>
    </w:p>
    <w:p>
      <w:pPr>
        <w:pStyle w:val="null3"/>
        <w:jc w:val="center"/>
        <w:outlineLvl w:val="2"/>
      </w:pPr>
      <w:r>
        <w:rPr>
          <w:rFonts w:ascii="仿宋_GB2312" w:hAnsi="仿宋_GB2312" w:cs="仿宋_GB2312" w:eastAsia="仿宋_GB2312"/>
          <w:sz w:val="28"/>
          <w:b/>
        </w:rPr>
        <w:t>西安市人民检察院（本级）</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西安市人民检察院（本级）</w:t>
      </w:r>
      <w:r>
        <w:rPr>
          <w:rFonts w:ascii="仿宋_GB2312" w:hAnsi="仿宋_GB2312" w:cs="仿宋_GB2312" w:eastAsia="仿宋_GB2312"/>
        </w:rPr>
        <w:t>委托，拟对</w:t>
      </w:r>
      <w:r>
        <w:rPr>
          <w:rFonts w:ascii="仿宋_GB2312" w:hAnsi="仿宋_GB2312" w:cs="仿宋_GB2312" w:eastAsia="仿宋_GB2312"/>
        </w:rPr>
        <w:t>西安市人民检察院检察工作网文印设备</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ZY2026-ZB-JT1096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西安市人民检察院检察工作网文印设备</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西安市人民检察院检察工作网文印设备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采购包1（西安市人民检察院检察工作网文印设备）：属于专门面向中小企业采购。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2、财务状况报告：提供2024年度或2025年度经审计的完整财务报告或谈判日期前三个月内其基本存款账户开户银行出具的资信证明。(如提供资信证明,须同时提供基本存款账户开户许可证或基本账户信息表)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3、税收缴纳证明：提供开标前一年内（不含开标当月）已缴纳的至少一个月的纳税证明,依法免税的单位应提供相关证明材料</w:t>
      </w:r>
    </w:p>
    <w:p>
      <w:pPr>
        <w:pStyle w:val="null3"/>
      </w:pPr>
      <w:r>
        <w:rPr>
          <w:rFonts w:ascii="仿宋_GB2312" w:hAnsi="仿宋_GB2312" w:cs="仿宋_GB2312" w:eastAsia="仿宋_GB2312"/>
        </w:rPr>
        <w:t>4、社会保障资金缴纳证明：提供开标前一年内（不含开标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6、无重大违法记录：提供参加本次采购活动前三年内在经营活动中没有重大违法记录的书面声明</w:t>
      </w:r>
    </w:p>
    <w:p>
      <w:pPr>
        <w:pStyle w:val="null3"/>
      </w:pPr>
      <w:r>
        <w:rPr>
          <w:rFonts w:ascii="仿宋_GB2312" w:hAnsi="仿宋_GB2312" w:cs="仿宋_GB2312" w:eastAsia="仿宋_GB2312"/>
        </w:rPr>
        <w:t>7、信用査询：供应商未被列入信用中国网站(www. creditchina, gov. cn)"失信被执行人、重大税收违法失信主体’；不处于中国政府采购网(www. ccgp. gov. cn)“政府采购严重违法失信行为信息记录”中的禁止参加政府釆购活动期间</w:t>
      </w:r>
    </w:p>
    <w:p>
      <w:pPr>
        <w:pStyle w:val="null3"/>
      </w:pPr>
      <w:r>
        <w:rPr>
          <w:rFonts w:ascii="仿宋_GB2312" w:hAnsi="仿宋_GB2312" w:cs="仿宋_GB2312" w:eastAsia="仿宋_GB2312"/>
        </w:rPr>
        <w:t>8、法定代表人授权委托书：法定代表人授权委托书、被授权人身份证（法定代表人参加谈判时,只需提供法定代表人身份证），被授权人参加谈判时，须提供谈判响应前三个月内任意一个月的社保缴纳证明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西安市人民检察院（本级）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西安市北二环东段569号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魏东源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86130999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宋勇进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029-86210100转611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西安市人民检察院（本级）</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西安市人民检察院（本级）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西安市人民检察院（本级）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陕西正翼项目管理咨询有限公司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1、由采购人和成交供应商共同对货物进行验收。 2、供应商向采购人提供货物（产品）的所有资料,以便采购人日后管理。 3、验收依据： 3.1采购文件、响应文件、澄清表（函）； 3.2本合同及附件文本； 3.3国家相应的标准、规范。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联系人：宋勇进</w:t>
      </w:r>
    </w:p>
    <w:p>
      <w:pPr>
        <w:pStyle w:val="null3"/>
      </w:pPr>
      <w:r>
        <w:rPr>
          <w:rFonts w:ascii="仿宋_GB2312" w:hAnsi="仿宋_GB2312" w:cs="仿宋_GB2312" w:eastAsia="仿宋_GB2312"/>
        </w:rPr>
        <w:t>联系电话： 029-86210100转611</w:t>
      </w:r>
    </w:p>
    <w:p>
      <w:pPr>
        <w:pStyle w:val="null3"/>
      </w:pPr>
      <w:r>
        <w:rPr>
          <w:rFonts w:ascii="仿宋_GB2312" w:hAnsi="仿宋_GB2312" w:cs="仿宋_GB2312" w:eastAsia="仿宋_GB2312"/>
        </w:rPr>
        <w:t>地址：陕西省西安经济技术开发区凤城五路123号秦创原·软科中心B座11层1101室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西安市人民检察院检察工作网文印设备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236,800.00</w:t>
      </w:r>
    </w:p>
    <w:p>
      <w:pPr>
        <w:pStyle w:val="null3"/>
      </w:pPr>
      <w:r>
        <w:rPr>
          <w:rFonts w:ascii="仿宋_GB2312" w:hAnsi="仿宋_GB2312" w:cs="仿宋_GB2312" w:eastAsia="仿宋_GB2312"/>
        </w:rPr>
        <w:t>采购包最高限价（元）: 236,800.00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236,800.00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我院日常公文文件和案件材料的印制需求较大。目前缺少文印设备，无法提供高效可靠的印制输出及装订处理。为补齐我院文印设备短板，不断提升公文文件和办案文书的印制质量、满足办公办案需要，进一步规范院内集中文印管理秩序、降低运行成本，计划采购文印设备。</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工作区域:西安市人民检察院文印室。</w:t>
            </w:r>
          </w:p>
          <w:p>
            <w:pPr>
              <w:pStyle w:val="null3"/>
            </w:pPr>
            <w:r>
              <w:rPr>
                <w:rFonts w:ascii="仿宋_GB2312" w:hAnsi="仿宋_GB2312" w:cs="仿宋_GB2312" w:eastAsia="仿宋_GB2312"/>
              </w:rPr>
              <w:t>工作内容如下:</w:t>
            </w:r>
          </w:p>
          <w:p>
            <w:pPr>
              <w:pStyle w:val="null3"/>
            </w:pPr>
            <w:r>
              <w:rPr>
                <w:rFonts w:ascii="仿宋_GB2312" w:hAnsi="仿宋_GB2312" w:cs="仿宋_GB2312" w:eastAsia="仿宋_GB2312"/>
              </w:rPr>
              <w:t>1、印制内容:根据办公办案实际需求，进行文件材料的印制;保证A3、A4幅面均可进行双面的打印、扫描复印;彩色、黑白的着色清晰、无拖影、不漏粉漏墨;走纸顺畅、不歪斜。</w:t>
            </w:r>
          </w:p>
          <w:p>
            <w:pPr>
              <w:pStyle w:val="null3"/>
            </w:pPr>
            <w:r>
              <w:rPr>
                <w:rFonts w:ascii="仿宋_GB2312" w:hAnsi="仿宋_GB2312" w:cs="仿宋_GB2312" w:eastAsia="仿宋_GB2312"/>
              </w:rPr>
              <w:t>2、装订内容:根据实际装订需要，进行平订、骑马订、小册子折页的装订处理。</w:t>
            </w:r>
          </w:p>
          <w:p>
            <w:pPr>
              <w:pStyle w:val="null3"/>
            </w:pPr>
            <w:r>
              <w:rPr>
                <w:rFonts w:ascii="仿宋_GB2312" w:hAnsi="仿宋_GB2312" w:cs="仿宋_GB2312" w:eastAsia="仿宋_GB2312"/>
              </w:rPr>
              <w:t>3、设备维保:完成整机和部组件的季维保、半年维保、年维保;保证设备外壳、内部的清洁干净、无杂物;保证操作面板、印制组件、扫描组件、装订组件、纸盒组件性能良好;保证运行无异常振动、无异响。维保计划完成率:100%。</w:t>
            </w:r>
          </w:p>
          <w:p>
            <w:pPr>
              <w:pStyle w:val="null3"/>
            </w:pPr>
            <w:r>
              <w:rPr>
                <w:rFonts w:ascii="仿宋_GB2312" w:hAnsi="仿宋_GB2312" w:cs="仿宋_GB2312" w:eastAsia="仿宋_GB2312"/>
              </w:rPr>
              <w:t>三、性能规格要求</w:t>
            </w:r>
          </w:p>
          <w:p>
            <w:pPr>
              <w:pStyle w:val="null3"/>
            </w:pPr>
            <w:r>
              <w:rPr>
                <w:rFonts w:ascii="仿宋_GB2312" w:hAnsi="仿宋_GB2312" w:cs="仿宋_GB2312" w:eastAsia="仿宋_GB2312"/>
              </w:rPr>
              <w:t>1、印制颜色:支持彩色输出;</w:t>
            </w:r>
          </w:p>
          <w:p>
            <w:pPr>
              <w:pStyle w:val="null3"/>
            </w:pPr>
            <w:r>
              <w:rPr>
                <w:rFonts w:ascii="仿宋_GB2312" w:hAnsi="仿宋_GB2312" w:cs="仿宋_GB2312" w:eastAsia="仿宋_GB2312"/>
              </w:rPr>
              <w:t>2、设备制式:激光或喷墨;</w:t>
            </w:r>
          </w:p>
          <w:p>
            <w:pPr>
              <w:pStyle w:val="null3"/>
            </w:pPr>
            <w:r>
              <w:rPr>
                <w:rFonts w:ascii="仿宋_GB2312" w:hAnsi="仿宋_GB2312" w:cs="仿宋_GB2312" w:eastAsia="仿宋_GB2312"/>
              </w:rPr>
              <w:t>3、打复印要求:支持常用A3、A4幅面的自动双面输出，速度不低于70页/分钟，打印分辨率不低于1800*600dpi;</w:t>
            </w:r>
          </w:p>
          <w:p>
            <w:pPr>
              <w:pStyle w:val="null3"/>
            </w:pPr>
            <w:r>
              <w:rPr>
                <w:rFonts w:ascii="仿宋_GB2312" w:hAnsi="仿宋_GB2312" w:cs="仿宋_GB2312" w:eastAsia="仿宋_GB2312"/>
              </w:rPr>
              <w:t>4、扫描要求:含双面扫描自动送稿器，具备双面扫描功能，速度不低于100页/分钟，扫描分辨率不低于600*600dpi;</w:t>
            </w:r>
          </w:p>
          <w:p>
            <w:pPr>
              <w:pStyle w:val="null3"/>
            </w:pPr>
            <w:r>
              <w:rPr>
                <w:rFonts w:ascii="仿宋_GB2312" w:hAnsi="仿宋_GB2312" w:cs="仿宋_GB2312" w:eastAsia="仿宋_GB2312"/>
              </w:rPr>
              <w:t>5、装订要求:装订组件具备平订、骑马订、小册子折页等常用功能;</w:t>
            </w:r>
          </w:p>
          <w:p>
            <w:pPr>
              <w:pStyle w:val="null3"/>
            </w:pPr>
            <w:r>
              <w:rPr>
                <w:rFonts w:ascii="仿宋_GB2312" w:hAnsi="仿宋_GB2312" w:cs="仿宋_GB2312" w:eastAsia="仿宋_GB2312"/>
              </w:rPr>
              <w:t>6、纸盒:含大容量纸盒或多层纸盒，容量不少于2000张;</w:t>
            </w:r>
          </w:p>
          <w:p>
            <w:pPr>
              <w:pStyle w:val="null3"/>
            </w:pPr>
            <w:r>
              <w:rPr>
                <w:rFonts w:ascii="仿宋_GB2312" w:hAnsi="仿宋_GB2312" w:cs="仿宋_GB2312" w:eastAsia="仿宋_GB2312"/>
              </w:rPr>
              <w:t>7、其他:符合信创要求，适配国产化的操作系统、平台、流式软件、版式软件和浏览器等;打印、扫描、装订等设置均可在计算机中进行配置和操作;不得安装WiFi、蓝牙等无线模块。</w:t>
            </w:r>
          </w:p>
          <w:p>
            <w:pPr>
              <w:pStyle w:val="null3"/>
            </w:pPr>
            <w:r>
              <w:rPr>
                <w:rFonts w:ascii="仿宋_GB2312" w:hAnsi="仿宋_GB2312" w:cs="仿宋_GB2312" w:eastAsia="仿宋_GB2312"/>
              </w:rPr>
              <w:t>四、供货要求</w:t>
            </w:r>
          </w:p>
          <w:p>
            <w:pPr>
              <w:pStyle w:val="null3"/>
            </w:pPr>
            <w:r>
              <w:rPr>
                <w:rFonts w:ascii="仿宋_GB2312" w:hAnsi="仿宋_GB2312" w:cs="仿宋_GB2312" w:eastAsia="仿宋_GB2312"/>
              </w:rPr>
              <w:t>1、供货商应根据采购人要求在合同签订后30日内供货，并送货上门到指定地点。采用坚固可靠的包装箱进行包装运送，防潮、抗震、防压。产品必须符合国家相关法律及行业标准要求，做工、材质、性能规格要与采购人要求相一致。供货商提供的产品须有产品合格证。存在争议时采购人享有最高解释权。</w:t>
            </w:r>
          </w:p>
          <w:p>
            <w:pPr>
              <w:pStyle w:val="null3"/>
            </w:pPr>
            <w:r>
              <w:rPr>
                <w:rFonts w:ascii="仿宋_GB2312" w:hAnsi="仿宋_GB2312" w:cs="仿宋_GB2312" w:eastAsia="仿宋_GB2312"/>
              </w:rPr>
              <w:t>2、在质保期内出现质量问题或发生非人为原因的故障、损坏的，由供货商负责进行维修更换或退换，确保所提供的产品合格率达到100%。需要更换部组件或零件的，应使用原厂配件。因原厂停产或市场上确无原厂配件的，经采购人同意后，可使用符合原厂技术要求的第三方配件。供货商必须制订安全、有效的特殊情况应急预案，以确保产品的供给。</w:t>
            </w:r>
          </w:p>
          <w:p>
            <w:pPr>
              <w:pStyle w:val="null3"/>
            </w:pPr>
            <w:r>
              <w:rPr>
                <w:rFonts w:ascii="仿宋_GB2312" w:hAnsi="仿宋_GB2312" w:cs="仿宋_GB2312" w:eastAsia="仿宋_GB2312"/>
              </w:rPr>
              <w:t>3、供货商须具有足够服务人员数量及维修能力，进行本地化相关服务。</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1、安装调试和操作培训：送货后，由供货商安排具有现场经验的人员负责调试测试，并对采购人的相关使用人员开展必要培训。</w:t>
            </w:r>
          </w:p>
          <w:p>
            <w:pPr>
              <w:pStyle w:val="null3"/>
            </w:pPr>
            <w:r>
              <w:rPr>
                <w:rFonts w:ascii="仿宋_GB2312" w:hAnsi="仿宋_GB2312" w:cs="仿宋_GB2312" w:eastAsia="仿宋_GB2312"/>
              </w:rPr>
              <w:t>2、故障维修响应：在质保期内，对采购人提出的故障维修的申告，供货商技术人员到达现场处置的时间为：紧急情况6小时，一般情况24小时。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自合同签订后30日内供货（送货上门）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1、由采购人和成交供应商共同对货物进行验收。 2、供应商向采购人提供货物（产品）的所有资料,以便采购人日后管理。 3、验收依据： 3.1采购文件、响应文件、澄清表（函）； 3.2本合同及附件文本； 3.3国家相应的标准、规范。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保修范围：所供全部产品； 保修期：验收合格之日起3年。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依据《中华人民共和国民法典》、《中华人民共和国政府采购法》的相关条款和本合同约定，中标人未全面履行合同义务或者发生违约，采购人会同协商组织机构有权终止合同，依法向中标人进行经济索赔，并报请政府采购监督管理机关进行相应的行政处罚。采购人违约的，应当赔偿给中标人造成的经济损失。 争议的解决：向有管辖权的人民法院提起诉讼。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3.5.1根据采购文件要求及合同约定执行；依法免税或不需要缴纳社会保障资金的供应商，应提供相应证明文件，证明其依法免税或不需要缴纳社会保障资金；自然人（仅限中国公民）参与投标时，只须提供身份证复印件；3.5.2（响应文件格式-标的清单）本项目服务范围：西安市人民检察院检察工作网文印设备；3.5.3服务要求：符合谈判文件有关技术、商务要求；3.5.4服务标准：符合国家和省、市有关行业标准及采购人的有关规定。 3.5.5 关于本国产品价格扣除说明 根据国办发〔2025〕34号《国务院办公厅关于在政府采购中实施本国产品标准及相关政策的通知》对本国产品执行支持政策。 (1)对于仅有本国产品参与竞争的政府采购项目，本国产品不享受价格扣除评审优惠。 (2)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 （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投标人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4）投标人对其提供的产品出具《关于符合本国产品标准的声明函》（样式见“谈判响应文件”中附件6）或财政部会同有关部门规定的有关证明文件。出具符合要求的《关于符合本国产品标准的声明函》或有关证明文件的，该产品视为本国产品。当采购项目或者采购包的采购标的中含有多种产品，投标人在《声明函》中未进行声明的产品视为非本国产品。供应商提供虚假《关于符合本国产品标准的声明函》、虚假证明文件谋取中标、成交的，依照《中华人民共和国政府采购法》等法律法规规定追究相应责任。 （5）若投标人为本采购项目或者采购包提供的符合本国产品标准的产品成本之和占投标人提供的全部产品成本之和的比例达到80%以上的，投标人在投标文件中提供承诺函（样式见“谈判响应文件”中附件7）。供应商提供虚假《承诺函》、虚假证明文件谋取中标、成交的，依照《中华人民共和国政府采购法》等法律法规规定追究相应责任。 3.5.6 其他需要落实的政府采购政策（如有最新颁布的政府采购政策，按最新的文件执行）。 注：专门面向中小企业采购的项目不进行中小企业政策性扣减。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提供2024年度或2025年度经审计的完整财务报告或谈判日期前三个月内其基本存款账户开户银行出具的资信证明。(如提供资信证明,须同时提供基本存款账户开户许可证或基本账户信息表)。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提供2024年度或2025年度经审计的完整财务报告或谈判日期前三个月内其基本存款账户开户银行出具的资信证明。(如提供资信证明,须同时提供基本存款账户开户许可证或基本账户信息表)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提供开标前一年内（不含开标当月）已缴纳的至少一个月的纳税证明,依法免税的单位应提供相关证明材料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提供开标前一年内（不含开标当月）已缴存的至少一个月的社会保障资金缴存单据或社保机构开具的社会保险参保缴费情况证明,依法不需要缴纳社会保障资金的单位应提供相关证明材料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信用査询</w:t>
            </w:r>
          </w:p>
        </w:tc>
        <w:tc>
          <w:tcPr>
            <w:tcW w:type="dxa" w:w="3322"/>
          </w:tcPr>
          <w:p>
            <w:pPr>
              <w:pStyle w:val="null3"/>
            </w:pPr>
            <w:r>
              <w:rPr>
                <w:rFonts w:ascii="仿宋_GB2312" w:hAnsi="仿宋_GB2312" w:cs="仿宋_GB2312" w:eastAsia="仿宋_GB2312"/>
              </w:rPr>
              <w:t>供应商未被列入信用中国网站(www. creditchina, gov. cn)"失信被执行人、重大税收违法失信主体’；不处于中国政府采购网(www. ccgp. gov. cn)“政府采购严重违法失信行为信息记录”中的禁止参加政府釆购活动期间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法定代表人授权委托书、被授权人身份证（法定代表人参加谈判时,只需提供法定代表人身份证），被授权人参加谈判时，须提供谈判响应前三个月内任意一个月的社保缴纳证明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谈判响应文件作为无效处理。</w:t>
            </w:r>
          </w:p>
        </w:tc>
        <w:tc>
          <w:tcPr>
            <w:tcW w:type="dxa" w:w="1661"/>
          </w:tcPr>
          <w:p>
            <w:pPr>
              <w:pStyle w:val="null3"/>
            </w:pPr>
            <w:r>
              <w:rPr>
                <w:rFonts w:ascii="仿宋_GB2312" w:hAnsi="仿宋_GB2312" w:cs="仿宋_GB2312" w:eastAsia="仿宋_GB2312"/>
              </w:rPr>
              <w:t>标的清单 报价表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谈判响应文件完整性</w:t>
            </w:r>
          </w:p>
        </w:tc>
        <w:tc>
          <w:tcPr>
            <w:tcW w:type="dxa" w:w="3322"/>
          </w:tcPr>
          <w:p>
            <w:pPr>
              <w:pStyle w:val="null3"/>
            </w:pPr>
            <w:r>
              <w:rPr>
                <w:rFonts w:ascii="仿宋_GB2312" w:hAnsi="仿宋_GB2312" w:cs="仿宋_GB2312" w:eastAsia="仿宋_GB2312"/>
              </w:rPr>
              <w:t>响应文件构成无重大缺项，按照竞争性谈判文件要求的格式编写响应文件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谈判响应文件有效性</w:t>
            </w:r>
          </w:p>
        </w:tc>
        <w:tc>
          <w:tcPr>
            <w:tcW w:type="dxa" w:w="3322"/>
          </w:tcPr>
          <w:p>
            <w:pPr>
              <w:pStyle w:val="null3"/>
            </w:pPr>
            <w:r>
              <w:rPr>
                <w:rFonts w:ascii="仿宋_GB2312" w:hAnsi="仿宋_GB2312" w:cs="仿宋_GB2312" w:eastAsia="仿宋_GB2312"/>
              </w:rPr>
              <w:t>谈判响应文件的签署、盖章符合谈判文件要求，供应商递交的谈判响应文件与本项目名称一致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谈判有效期、授权有效期</w:t>
            </w:r>
          </w:p>
        </w:tc>
        <w:tc>
          <w:tcPr>
            <w:tcW w:type="dxa" w:w="3322"/>
          </w:tcPr>
          <w:p>
            <w:pPr>
              <w:pStyle w:val="null3"/>
            </w:pPr>
            <w:r>
              <w:rPr>
                <w:rFonts w:ascii="仿宋_GB2312" w:hAnsi="仿宋_GB2312" w:cs="仿宋_GB2312" w:eastAsia="仿宋_GB2312"/>
              </w:rPr>
              <w:t>满足谈判文件中的规定</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w:t>
            </w:r>
          </w:p>
        </w:tc>
        <w:tc>
          <w:tcPr>
            <w:tcW w:type="dxa" w:w="1661"/>
          </w:tcPr>
          <w:p>
            <w:pPr>
              <w:pStyle w:val="null3"/>
            </w:pPr>
            <w:r>
              <w:rPr>
                <w:rFonts w:ascii="仿宋_GB2312" w:hAnsi="仿宋_GB2312" w:cs="仿宋_GB2312" w:eastAsia="仿宋_GB2312"/>
              </w:rPr>
              <w:t>响应文件封面 标的清单 报价表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 其他附件.docx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