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版本号：YCXM-2026009.1B120260601001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学生饮用水直饮服务(二次)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YCXM-2026009.1B1</w:t>
      </w:r>
      <w:r>
        <w:br/>
      </w:r>
      <w:r>
        <w:br/>
      </w:r>
      <w:r>
        <w:br/>
      </w:r>
    </w:p>
    <w:p>
      <w:pPr>
        <w:pStyle w:val="null3"/>
        <w:jc w:val="center"/>
        <w:outlineLvl w:val="2"/>
      </w:pPr>
      <w:r>
        <w:rPr>
          <w:rFonts w:ascii="仿宋_GB2312" w:hAnsi="仿宋_GB2312" w:cs="仿宋_GB2312" w:eastAsia="仿宋_GB2312"/>
          <w:sz w:val="28"/>
          <w:b/>
        </w:rPr>
        <w:t>西安市五环中学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西安市五环中学</w:t>
      </w:r>
      <w:r>
        <w:rPr>
          <w:rFonts w:ascii="仿宋_GB2312" w:hAnsi="仿宋_GB2312" w:cs="仿宋_GB2312" w:eastAsia="仿宋_GB2312"/>
        </w:rPr>
        <w:t>委托，拟对</w:t>
      </w:r>
      <w:r>
        <w:rPr>
          <w:rFonts w:ascii="仿宋_GB2312" w:hAnsi="仿宋_GB2312" w:cs="仿宋_GB2312" w:eastAsia="仿宋_GB2312"/>
        </w:rPr>
        <w:t>学生饮用水直饮服务(二次)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学生饮用水直饮服务(二次)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原有用水方式不能满足学生饮水需求，学生的日常饮用水存在着很大的压力，为了保证学校有序的发展，保障广大师生有良好的学习与工作环境。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采购包1（西安市五环中学学生饮用水直饮服务）：属于专门面向中小企业采购。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w:t>
      </w:r>
    </w:p>
    <w:p>
      <w:pPr>
        <w:pStyle w:val="null3"/>
      </w:pPr>
      <w:r>
        <w:rPr>
          <w:rFonts w:ascii="仿宋_GB2312" w:hAnsi="仿宋_GB2312" w:cs="仿宋_GB2312" w:eastAsia="仿宋_GB2312"/>
        </w:rPr>
        <w:t>2、法定代表授权委托书：法定代表人授权书（附法定代表人、被授权人身份证复印件），法定代表人直接参加投标，须提供法定代表人身份证明；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审计报告：供应商需提供2024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4、纳税证明：提供供应商自2025年10月以来已缴纳任意一个月完税凭证或税务机关开具的完税证明（任意税种）；依法享受免税政策的供应商，提供由税务机关出具的无欠税证明；</w:t>
      </w:r>
    </w:p>
    <w:p>
      <w:pPr>
        <w:pStyle w:val="null3"/>
      </w:pPr>
      <w:r>
        <w:rPr>
          <w:rFonts w:ascii="仿宋_GB2312" w:hAnsi="仿宋_GB2312" w:cs="仿宋_GB2312" w:eastAsia="仿宋_GB2312"/>
        </w:rPr>
        <w:t>5、社会保障资金缴纳证明：提供供应商自2025年10月以来已缴存的任意一个月的社会保障资金缴存单据或社保机构开具的社会保险参保缴费情况证明；依法不需要缴纳社会保障资金的供应商应提供相关文件证明；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6、书面声明：参加本次招标前3年内，在政府采购经营活动中没有重大违法记录的书面声明；</w:t>
      </w:r>
    </w:p>
    <w:p>
      <w:pPr>
        <w:pStyle w:val="null3"/>
      </w:pPr>
      <w:r>
        <w:rPr>
          <w:rFonts w:ascii="仿宋_GB2312" w:hAnsi="仿宋_GB2312" w:cs="仿宋_GB2312" w:eastAsia="仿宋_GB2312"/>
        </w:rPr>
        <w:t>7、信用截图：通过“信用中国”网站（www.creditchina.gov.cn）和中国政府采购网（www.ccgp.gov.cn）查询申请人信用记录，被列入失信被执行人、重大税收违法案件当事人名单、政府采购严重违法失信行为记录名单的单位将被拒绝参与本项目；</w:t>
      </w:r>
    </w:p>
    <w:p>
      <w:pPr>
        <w:pStyle w:val="null3"/>
      </w:pPr>
      <w:r>
        <w:rPr>
          <w:rFonts w:ascii="仿宋_GB2312" w:hAnsi="仿宋_GB2312" w:cs="仿宋_GB2312" w:eastAsia="仿宋_GB2312"/>
        </w:rPr>
        <w:t>8、履约能力：具有履行合同所必需的设备和专业技术能力；</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西安市五环中学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西安市灞桥区纺织城纺六路126号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029-83592886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卞兴前、李阳艳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18119311406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本项目代理服务费按照定额7000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西安市五环中学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西安市五环中学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西安市五环中学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初验：货物到达交货地点后，由使用单位根据合同对货物（设备）的名称、品牌、规格、型号、产地、数量进行检查。 终验：所有货物(设备)安装、调试完毕，正常使用 10 个日历日后，由招标人进行终验（最终验收），合格后签发《终验合格单》。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联系人：卞兴前、李阳艳</w:t>
      </w:r>
    </w:p>
    <w:p>
      <w:pPr>
        <w:pStyle w:val="null3"/>
      </w:pPr>
      <w:r>
        <w:rPr>
          <w:rFonts w:ascii="仿宋_GB2312" w:hAnsi="仿宋_GB2312" w:cs="仿宋_GB2312" w:eastAsia="仿宋_GB2312"/>
        </w:rPr>
        <w:t>联系电话：18119311406</w:t>
      </w:r>
    </w:p>
    <w:p>
      <w:pPr>
        <w:pStyle w:val="null3"/>
      </w:pPr>
      <w:r>
        <w:rPr>
          <w:rFonts w:ascii="仿宋_GB2312" w:hAnsi="仿宋_GB2312" w:cs="仿宋_GB2312" w:eastAsia="仿宋_GB2312"/>
        </w:rPr>
        <w:t>地址：西安市雁塔区雁展路莱安中心T7栋1006室</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原有用水方式不能满足学生饮水需求，学生的日常饮用水存在着很大的压力，为了保证学校有序的发展，保障广大师生有良好的学习与工作环境。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387,000.00</w:t>
      </w:r>
    </w:p>
    <w:p>
      <w:pPr>
        <w:pStyle w:val="null3"/>
      </w:pPr>
      <w:r>
        <w:rPr>
          <w:rFonts w:ascii="仿宋_GB2312" w:hAnsi="仿宋_GB2312" w:cs="仿宋_GB2312" w:eastAsia="仿宋_GB2312"/>
        </w:rPr>
        <w:t>采购包最高限价（元）: 387,000.00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饮用水直饮服务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标的名称：饮用水直饮服务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原有用水方式不能满足学生饮水需求，学生的日常饮用水存在着很大的压力，为了保证学校有序的发展，保障广大师生有良好的学习与工作环境。</w:t>
            </w:r>
          </w:p>
          <w:p>
            <w:pPr>
              <w:pStyle w:val="null3"/>
            </w:pPr>
            <w:r>
              <w:rPr>
                <w:rFonts w:ascii="仿宋_GB2312" w:hAnsi="仿宋_GB2312" w:cs="仿宋_GB2312" w:eastAsia="仿宋_GB2312"/>
              </w:rPr>
              <w:t>二、服务内容</w:t>
            </w:r>
          </w:p>
          <w:p>
            <w:pPr>
              <w:pStyle w:val="null3"/>
              <w:ind w:firstLine="400"/>
            </w:pPr>
            <w:r>
              <w:rPr>
                <w:rFonts w:ascii="仿宋_GB2312" w:hAnsi="仿宋_GB2312" w:cs="仿宋_GB2312" w:eastAsia="仿宋_GB2312"/>
              </w:rPr>
              <w:t>学生饮用水服务。</w:t>
            </w:r>
          </w:p>
          <w:p>
            <w:pPr>
              <w:pStyle w:val="null3"/>
            </w:pPr>
            <w:r>
              <w:rPr>
                <w:rFonts w:ascii="仿宋_GB2312" w:hAnsi="仿宋_GB2312" w:cs="仿宋_GB2312" w:eastAsia="仿宋_GB2312"/>
              </w:rPr>
              <w:t>三、技术要求</w:t>
            </w:r>
          </w:p>
          <w:tbl>
            <w:tblPr>
              <w:tblInd w:type="dxa" w:w="120"/>
              <w:tblBorders>
                <w:top w:val="none" w:color="000000" w:sz="4"/>
                <w:left w:val="none" w:color="000000" w:sz="4"/>
                <w:bottom w:val="none" w:color="000000" w:sz="4"/>
                <w:right w:val="none" w:color="000000" w:sz="4"/>
                <w:insideH w:val="none"/>
                <w:insideV w:val="none"/>
              </w:tblBorders>
            </w:tblPr>
            <w:tblGrid>
              <w:gridCol w:w="356"/>
              <w:gridCol w:w="356"/>
              <w:gridCol w:w="1840"/>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名称</w:t>
                  </w:r>
                </w:p>
              </w:tc>
              <w:tc>
                <w:tcPr>
                  <w:tcW w:type="dxa" w:w="1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参数</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四龙头直饮机</w:t>
                  </w:r>
                </w:p>
                <w:p>
                  <w:pPr>
                    <w:pStyle w:val="null3"/>
                    <w:jc w:val="both"/>
                  </w:pPr>
                  <w:r>
                    <w:rPr>
                      <w:rFonts w:ascii="仿宋_GB2312" w:hAnsi="仿宋_GB2312" w:cs="仿宋_GB2312" w:eastAsia="仿宋_GB2312"/>
                      <w:sz w:val="19"/>
                    </w:rPr>
                    <w:t>（12台）</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1、整机为立式柜机，外观参考尺寸：长宽高：</w:t>
                  </w:r>
                  <w:r>
                    <w:rPr>
                      <w:rFonts w:ascii="仿宋_GB2312" w:hAnsi="仿宋_GB2312" w:cs="仿宋_GB2312" w:eastAsia="仿宋_GB2312"/>
                      <w:sz w:val="19"/>
                    </w:rPr>
                    <w:t>1500×450×1430mm，正负偏差±20mm内</w:t>
                  </w:r>
                  <w:r>
                    <w:br/>
                  </w:r>
                  <w:r>
                    <w:rPr>
                      <w:rFonts w:ascii="仿宋_GB2312" w:hAnsi="仿宋_GB2312" w:cs="仿宋_GB2312" w:eastAsia="仿宋_GB2312"/>
                      <w:sz w:val="19"/>
                    </w:rPr>
                    <w:t>▲2、水龙头数量为≥4个，4温开水配置，按键控制出水，龙头间距≥400mm，水嘴到接水盒的高度≥350mm</w:t>
                  </w:r>
                  <w:r>
                    <w:br/>
                  </w:r>
                  <w:r>
                    <w:rPr>
                      <w:rFonts w:ascii="仿宋_GB2312" w:hAnsi="仿宋_GB2312" w:cs="仿宋_GB2312" w:eastAsia="仿宋_GB2312"/>
                      <w:sz w:val="19"/>
                    </w:rPr>
                    <w:t>3、整机外壳不锈钢材质，接水区面板及接水盘采用不锈钢材料</w:t>
                  </w:r>
                  <w:r>
                    <w:br/>
                  </w:r>
                  <w:r>
                    <w:rPr>
                      <w:rFonts w:ascii="仿宋_GB2312" w:hAnsi="仿宋_GB2312" w:cs="仿宋_GB2312" w:eastAsia="仿宋_GB2312"/>
                      <w:sz w:val="19"/>
                    </w:rPr>
                    <w:t>4、取水台为敞开式180°设计，便于前、左、右多点位取水，采用圆角防撞设计。</w:t>
                  </w:r>
                  <w:r>
                    <w:br/>
                  </w:r>
                  <w:r>
                    <w:rPr>
                      <w:rFonts w:ascii="仿宋_GB2312" w:hAnsi="仿宋_GB2312" w:cs="仿宋_GB2312" w:eastAsia="仿宋_GB2312"/>
                      <w:sz w:val="19"/>
                    </w:rPr>
                    <w:t>▲5、过滤系统：采用反渗透过滤技术工艺，过滤系统不低于5级</w:t>
                  </w:r>
                  <w:r>
                    <w:rPr>
                      <w:rFonts w:ascii="仿宋_GB2312" w:hAnsi="仿宋_GB2312" w:cs="仿宋_GB2312" w:eastAsia="仿宋_GB2312"/>
                      <w:sz w:val="19"/>
                    </w:rPr>
                    <w:t>；</w:t>
                  </w:r>
                  <w:r>
                    <w:rPr>
                      <w:rFonts w:ascii="仿宋_GB2312" w:hAnsi="仿宋_GB2312" w:cs="仿宋_GB2312" w:eastAsia="仿宋_GB2312"/>
                      <w:sz w:val="19"/>
                    </w:rPr>
                    <w:t>出水水质符合：《生活饮用水水质处理器卫生安全与功能评价规范</w:t>
                  </w:r>
                  <w:r>
                    <w:rPr>
                      <w:rFonts w:ascii="仿宋_GB2312" w:hAnsi="仿宋_GB2312" w:cs="仿宋_GB2312" w:eastAsia="仿宋_GB2312"/>
                      <w:sz w:val="19"/>
                    </w:rPr>
                    <w:t>—反渗透处理装置》（2001）的要求</w:t>
                  </w:r>
                </w:p>
                <w:p>
                  <w:pPr>
                    <w:pStyle w:val="null3"/>
                    <w:jc w:val="both"/>
                  </w:pPr>
                  <w:r>
                    <w:rPr>
                      <w:rFonts w:ascii="仿宋_GB2312" w:hAnsi="仿宋_GB2312" w:cs="仿宋_GB2312" w:eastAsia="仿宋_GB2312"/>
                      <w:sz w:val="19"/>
                    </w:rPr>
                    <w:t>▲6、杀菌装置：出水杀菌技术采用紫外线（UV）杀菌等物理杀菌技术</w:t>
                  </w:r>
                  <w:r>
                    <w:br/>
                  </w:r>
                  <w:r>
                    <w:rPr>
                      <w:rFonts w:ascii="仿宋_GB2312" w:hAnsi="仿宋_GB2312" w:cs="仿宋_GB2312" w:eastAsia="仿宋_GB2312"/>
                      <w:sz w:val="19"/>
                    </w:rPr>
                    <w:t>▲7、净水流量≥2L/min，额定总净水量≥10000L</w:t>
                  </w:r>
                  <w:r>
                    <w:br/>
                  </w:r>
                  <w:r>
                    <w:rPr>
                      <w:rFonts w:ascii="仿宋_GB2312" w:hAnsi="仿宋_GB2312" w:cs="仿宋_GB2312" w:eastAsia="仿宋_GB2312"/>
                      <w:sz w:val="19"/>
                    </w:rPr>
                    <w:t>★8、额定电压/频率220V/50Hz，额定总功率≤3200W</w:t>
                  </w:r>
                  <w:r>
                    <w:rPr>
                      <w:rFonts w:ascii="仿宋_GB2312" w:hAnsi="仿宋_GB2312" w:cs="仿宋_GB2312" w:eastAsia="仿宋_GB2312"/>
                      <w:sz w:val="19"/>
                    </w:rPr>
                    <w:t>；</w:t>
                  </w:r>
                  <w:r>
                    <w:rPr>
                      <w:rFonts w:ascii="仿宋_GB2312" w:hAnsi="仿宋_GB2312" w:cs="仿宋_GB2312" w:eastAsia="仿宋_GB2312"/>
                      <w:sz w:val="19"/>
                    </w:rPr>
                    <w:t>投标产品具有</w:t>
                  </w:r>
                  <w:r>
                    <w:rPr>
                      <w:rFonts w:ascii="仿宋_GB2312" w:hAnsi="仿宋_GB2312" w:cs="仿宋_GB2312" w:eastAsia="仿宋_GB2312"/>
                      <w:sz w:val="19"/>
                    </w:rPr>
                    <w:t>CQC产品认证或CCC认证</w:t>
                  </w:r>
                  <w:r>
                    <w:rPr>
                      <w:rFonts w:ascii="仿宋_GB2312" w:hAnsi="仿宋_GB2312" w:cs="仿宋_GB2312" w:eastAsia="仿宋_GB2312"/>
                      <w:sz w:val="19"/>
                      <w:b/>
                    </w:rPr>
                    <w:t>（提供有效的认证证书）</w:t>
                  </w:r>
                  <w:r>
                    <w:br/>
                  </w: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、热罐及加热管组件均为食品级</w:t>
                  </w:r>
                  <w:r>
                    <w:rPr>
                      <w:rFonts w:ascii="仿宋_GB2312" w:hAnsi="仿宋_GB2312" w:cs="仿宋_GB2312" w:eastAsia="仿宋_GB2312"/>
                      <w:sz w:val="19"/>
                    </w:rPr>
                    <w:t>304不锈钢材质</w:t>
                  </w:r>
                  <w:r>
                    <w:rPr>
                      <w:rFonts w:ascii="仿宋_GB2312" w:hAnsi="仿宋_GB2312" w:cs="仿宋_GB2312" w:eastAsia="仿宋_GB2312"/>
                      <w:sz w:val="19"/>
                    </w:rPr>
                    <w:t>，</w:t>
                  </w:r>
                  <w:r>
                    <w:rPr>
                      <w:rFonts w:ascii="仿宋_GB2312" w:hAnsi="仿宋_GB2312" w:cs="仿宋_GB2312" w:eastAsia="仿宋_GB2312"/>
                      <w:sz w:val="19"/>
                    </w:rPr>
                    <w:t>热罐具备有效期内《涉及饮用水卫生安全产品卫生许可批件》</w:t>
                  </w:r>
                  <w:r>
                    <w:rPr>
                      <w:rFonts w:ascii="仿宋_GB2312" w:hAnsi="仿宋_GB2312" w:cs="仿宋_GB2312" w:eastAsia="仿宋_GB2312"/>
                      <w:sz w:val="19"/>
                      <w:b/>
                    </w:rPr>
                    <w:t>（须提供涉及饮用水卫生安全产品卫生许可批件）</w:t>
                  </w:r>
                  <w:r>
                    <w:br/>
                  </w:r>
                  <w:r>
                    <w:rPr>
                      <w:rFonts w:ascii="仿宋_GB2312" w:hAnsi="仿宋_GB2312" w:cs="仿宋_GB2312" w:eastAsia="仿宋_GB2312"/>
                      <w:sz w:val="19"/>
                    </w:rPr>
                    <w:t>10、常温水储水总容积≥35L；热罐储水容量≥28L</w:t>
                  </w:r>
                  <w:r>
                    <w:br/>
                  </w:r>
                  <w:r>
                    <w:rPr>
                      <w:rFonts w:ascii="仿宋_GB2312" w:hAnsi="仿宋_GB2312" w:cs="仿宋_GB2312" w:eastAsia="仿宋_GB2312"/>
                      <w:sz w:val="19"/>
                    </w:rPr>
                    <w:t>11、采用热交换供水系统</w:t>
                  </w:r>
                  <w:r>
                    <w:br/>
                  </w:r>
                  <w:r>
                    <w:rPr>
                      <w:rFonts w:ascii="仿宋_GB2312" w:hAnsi="仿宋_GB2312" w:cs="仿宋_GB2312" w:eastAsia="仿宋_GB2312"/>
                      <w:sz w:val="19"/>
                    </w:rPr>
                    <w:t>▲12、主要输配水零部件包括不限于热罐（胆）、发热管、出水嘴、波纹管、热交换等需符合《生活饮用水输配水设备及防护材料卫生安全评价规范》（2001）要求</w:t>
                  </w:r>
                  <w:r>
                    <w:rPr>
                      <w:rFonts w:ascii="仿宋_GB2312" w:hAnsi="仿宋_GB2312" w:cs="仿宋_GB2312" w:eastAsia="仿宋_GB2312"/>
                      <w:sz w:val="19"/>
                    </w:rPr>
                    <w:t>。</w:t>
                  </w:r>
                  <w:r>
                    <w:br/>
                  </w:r>
                  <w:r>
                    <w:rPr>
                      <w:rFonts w:ascii="仿宋_GB2312" w:hAnsi="仿宋_GB2312" w:cs="仿宋_GB2312" w:eastAsia="仿宋_GB2312"/>
                      <w:sz w:val="19"/>
                    </w:rPr>
                    <w:t>13、投标产品整机出水水质符合《健康直饮水水质标准》</w:t>
                  </w:r>
                  <w:r>
                    <w:br/>
                  </w:r>
                  <w:r>
                    <w:rPr>
                      <w:rFonts w:ascii="仿宋_GB2312" w:hAnsi="仿宋_GB2312" w:cs="仿宋_GB2312" w:eastAsia="仿宋_GB2312"/>
                      <w:sz w:val="19"/>
                    </w:rPr>
                    <w:t>▲14、防触电保护类型为I类，防护等级为IP44</w:t>
                  </w:r>
                  <w:r>
                    <w:br/>
                  </w:r>
                  <w:r>
                    <w:rPr>
                      <w:rFonts w:ascii="仿宋_GB2312" w:hAnsi="仿宋_GB2312" w:cs="仿宋_GB2312" w:eastAsia="仿宋_GB2312"/>
                      <w:sz w:val="19"/>
                    </w:rPr>
                    <w:t>15、双极限温温控技术防干烧设计</w:t>
                  </w:r>
                  <w:r>
                    <w:br/>
                  </w:r>
                  <w:r>
                    <w:rPr>
                      <w:rFonts w:ascii="仿宋_GB2312" w:hAnsi="仿宋_GB2312" w:cs="仿宋_GB2312" w:eastAsia="仿宋_GB2312"/>
                      <w:sz w:val="19"/>
                    </w:rPr>
                    <w:t>16、具备漏水保护装置，检测漏水即切断进水</w:t>
                  </w:r>
                  <w:r>
                    <w:br/>
                  </w:r>
                  <w:r>
                    <w:rPr>
                      <w:rFonts w:ascii="仿宋_GB2312" w:hAnsi="仿宋_GB2312" w:cs="仿宋_GB2312" w:eastAsia="仿宋_GB2312"/>
                      <w:sz w:val="19"/>
                    </w:rPr>
                    <w:t>▲17、产品单位水量能耗值及保温性能符合《商用电开水器节能认证技术规范》</w:t>
                  </w:r>
                  <w:r>
                    <w:br/>
                  </w:r>
                  <w:r>
                    <w:rPr>
                      <w:rFonts w:ascii="仿宋_GB2312" w:hAnsi="仿宋_GB2312" w:cs="仿宋_GB2312" w:eastAsia="仿宋_GB2312"/>
                      <w:sz w:val="19"/>
                    </w:rPr>
                    <w:t>18、机器的温开水温度可自行设定，实现至少在45℃～75℃宽度的温度调节</w:t>
                  </w:r>
                  <w:r>
                    <w:br/>
                  </w:r>
                  <w:r>
                    <w:rPr>
                      <w:rFonts w:ascii="仿宋_GB2312" w:hAnsi="仿宋_GB2312" w:cs="仿宋_GB2312" w:eastAsia="仿宋_GB2312"/>
                      <w:sz w:val="19"/>
                    </w:rPr>
                    <w:t>19、具备定时开关功能，可设置每日运行时间以及每周运行时间</w:t>
                  </w:r>
                  <w:r>
                    <w:br/>
                  </w:r>
                  <w:r>
                    <w:rPr>
                      <w:rFonts w:ascii="仿宋_GB2312" w:hAnsi="仿宋_GB2312" w:cs="仿宋_GB2312" w:eastAsia="仿宋_GB2312"/>
                      <w:sz w:val="19"/>
                    </w:rPr>
                    <w:t>20、设备具备节能模式，长时间不用水时，设备自动进入停止加热状态</w:t>
                  </w:r>
                  <w:r>
                    <w:br/>
                  </w:r>
                  <w:r>
                    <w:rPr>
                      <w:rFonts w:ascii="仿宋_GB2312" w:hAnsi="仿宋_GB2312" w:cs="仿宋_GB2312" w:eastAsia="仿宋_GB2312"/>
                      <w:sz w:val="19"/>
                    </w:rPr>
                    <w:t>21、LED可视化显示屏，显示或提示内容包括不限于滤芯状态、加热温度、杀菌提示等功能</w:t>
                  </w:r>
                  <w:r>
                    <w:br/>
                  </w:r>
                  <w:r>
                    <w:rPr>
                      <w:rFonts w:ascii="仿宋_GB2312" w:hAnsi="仿宋_GB2312" w:cs="仿宋_GB2312" w:eastAsia="仿宋_GB2312"/>
                      <w:sz w:val="19"/>
                    </w:rPr>
                    <w:t>22、设备具有故障代码提醒功能，包括不限于漏水保护、温度传感器异常、加热异常、加热超温等</w:t>
                  </w:r>
                  <w:r>
                    <w:br/>
                  </w:r>
                  <w:r>
                    <w:rPr>
                      <w:rFonts w:ascii="仿宋_GB2312" w:hAnsi="仿宋_GB2312" w:cs="仿宋_GB2312" w:eastAsia="仿宋_GB2312"/>
                      <w:sz w:val="19"/>
                    </w:rPr>
                    <w:t>23、设备具备自动高温消毒功能，能够在定时开机前2小时且设备人体检测模块检测周围无人的状态下自动开启高温消毒</w:t>
                  </w:r>
                  <w:r>
                    <w:br/>
                  </w:r>
                  <w:r>
                    <w:rPr>
                      <w:rFonts w:ascii="仿宋_GB2312" w:hAnsi="仿宋_GB2312" w:cs="仿宋_GB2312" w:eastAsia="仿宋_GB2312"/>
                      <w:sz w:val="19"/>
                    </w:rPr>
                    <w:t>24、设备具备智能防冻功能，当检测到水温≤6°C时，自动启动加热功能，当水温≥15°C时关闭。机器具备长时间出水自动切断功能，避免浪费</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25</w:t>
                  </w:r>
                  <w:r>
                    <w:rPr>
                      <w:rFonts w:ascii="仿宋_GB2312" w:hAnsi="仿宋_GB2312" w:cs="仿宋_GB2312" w:eastAsia="仿宋_GB2312"/>
                      <w:sz w:val="19"/>
                    </w:rPr>
                    <w:t>、</w:t>
                  </w:r>
                  <w:r>
                    <w:rPr>
                      <w:rFonts w:ascii="仿宋_GB2312" w:hAnsi="仿宋_GB2312" w:cs="仿宋_GB2312" w:eastAsia="仿宋_GB2312"/>
                      <w:sz w:val="19"/>
                      <w:b/>
                    </w:rPr>
                    <w:t>投标产品整机需具有省级以上（含省级）卫生部门颁发的《涉及饮用水卫生安全产品卫生许可批件》</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两龙头直饮机</w:t>
                  </w:r>
                </w:p>
                <w:p>
                  <w:pPr>
                    <w:pStyle w:val="null3"/>
                    <w:jc w:val="both"/>
                  </w:pPr>
                  <w:r>
                    <w:rPr>
                      <w:rFonts w:ascii="仿宋_GB2312" w:hAnsi="仿宋_GB2312" w:cs="仿宋_GB2312" w:eastAsia="仿宋_GB2312"/>
                      <w:sz w:val="19"/>
                    </w:rPr>
                    <w:t>（13台）</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1、整机为立式柜机，外观参考尺寸：宽</w:t>
                  </w:r>
                  <w:r>
                    <w:rPr>
                      <w:rFonts w:ascii="仿宋_GB2312" w:hAnsi="仿宋_GB2312" w:cs="仿宋_GB2312" w:eastAsia="仿宋_GB2312"/>
                      <w:sz w:val="19"/>
                    </w:rPr>
                    <w:t>*厚*高要求为550*460*1520mm，正负偏差可在±10mm内</w:t>
                  </w:r>
                  <w:r>
                    <w:br/>
                  </w:r>
                  <w:r>
                    <w:rPr>
                      <w:rFonts w:ascii="仿宋_GB2312" w:hAnsi="仿宋_GB2312" w:cs="仿宋_GB2312" w:eastAsia="仿宋_GB2312"/>
                      <w:sz w:val="19"/>
                    </w:rPr>
                    <w:t>▲2、水龙头数量为2个，1开1常温配置，按键控制出水，龙头间距≥280mm，水嘴到接水盒的高度≥380mm</w:t>
                  </w:r>
                  <w:r>
                    <w:br/>
                  </w:r>
                  <w:r>
                    <w:rPr>
                      <w:rFonts w:ascii="仿宋_GB2312" w:hAnsi="仿宋_GB2312" w:cs="仿宋_GB2312" w:eastAsia="仿宋_GB2312"/>
                      <w:sz w:val="19"/>
                    </w:rPr>
                    <w:t>3、外观要求应平整光滑，正面采用圆滑的边角设计，减少使用方磕碰受伤的可能性，且机身主体采用不锈钢拉丝工艺，整机外壳、下门、侧板、底板采用不锈钢材质</w:t>
                  </w:r>
                  <w:r>
                    <w:br/>
                  </w:r>
                  <w:r>
                    <w:rPr>
                      <w:rFonts w:ascii="仿宋_GB2312" w:hAnsi="仿宋_GB2312" w:cs="仿宋_GB2312" w:eastAsia="仿宋_GB2312"/>
                      <w:sz w:val="19"/>
                    </w:rPr>
                    <w:t>▲4、过滤系统：采用反渗透过滤技术工艺，过滤系统配置不低于四级过滤</w:t>
                  </w:r>
                  <w:r>
                    <w:rPr>
                      <w:rFonts w:ascii="仿宋_GB2312" w:hAnsi="仿宋_GB2312" w:cs="仿宋_GB2312" w:eastAsia="仿宋_GB2312"/>
                      <w:sz w:val="19"/>
                    </w:rPr>
                    <w:t>；</w:t>
                  </w:r>
                  <w:r>
                    <w:rPr>
                      <w:rFonts w:ascii="仿宋_GB2312" w:hAnsi="仿宋_GB2312" w:cs="仿宋_GB2312" w:eastAsia="仿宋_GB2312"/>
                      <w:sz w:val="19"/>
                    </w:rPr>
                    <w:t>出水水质符合：《生活饮用水水质处理器卫生安全与功能评价规范</w:t>
                  </w:r>
                  <w:r>
                    <w:rPr>
                      <w:rFonts w:ascii="仿宋_GB2312" w:hAnsi="仿宋_GB2312" w:cs="仿宋_GB2312" w:eastAsia="仿宋_GB2312"/>
                      <w:sz w:val="19"/>
                    </w:rPr>
                    <w:t>—反渗透处理装置》（2001）的要求</w:t>
                  </w:r>
                  <w:r>
                    <w:br/>
                  </w:r>
                  <w:r>
                    <w:rPr>
                      <w:rFonts w:ascii="仿宋_GB2312" w:hAnsi="仿宋_GB2312" w:cs="仿宋_GB2312" w:eastAsia="仿宋_GB2312"/>
                      <w:sz w:val="19"/>
                    </w:rPr>
                    <w:t>▲5、杀菌装置：采用紫外线（UV）杀菌装置</w:t>
                  </w:r>
                  <w:r>
                    <w:br/>
                  </w:r>
                  <w:r>
                    <w:rPr>
                      <w:rFonts w:ascii="仿宋_GB2312" w:hAnsi="仿宋_GB2312" w:cs="仿宋_GB2312" w:eastAsia="仿宋_GB2312"/>
                      <w:sz w:val="19"/>
                    </w:rPr>
                    <w:t>▲6、净水流量≥0.75/min，额定总净水量≥</w:t>
                  </w:r>
                  <w:r>
                    <w:rPr>
                      <w:rFonts w:ascii="仿宋_GB2312" w:hAnsi="仿宋_GB2312" w:cs="仿宋_GB2312" w:eastAsia="仿宋_GB2312"/>
                      <w:sz w:val="19"/>
                    </w:rPr>
                    <w:t>5000</w:t>
                  </w:r>
                  <w:r>
                    <w:rPr>
                      <w:rFonts w:ascii="仿宋_GB2312" w:hAnsi="仿宋_GB2312" w:cs="仿宋_GB2312" w:eastAsia="仿宋_GB2312"/>
                      <w:sz w:val="19"/>
                    </w:rPr>
                    <w:t>L</w:t>
                  </w:r>
                  <w:r>
                    <w:br/>
                  </w:r>
                  <w:r>
                    <w:rPr>
                      <w:rFonts w:ascii="仿宋_GB2312" w:hAnsi="仿宋_GB2312" w:cs="仿宋_GB2312" w:eastAsia="仿宋_GB2312"/>
                      <w:sz w:val="19"/>
                    </w:rPr>
                    <w:t>★</w:t>
                  </w:r>
                  <w:r>
                    <w:rPr>
                      <w:rFonts w:ascii="仿宋_GB2312" w:hAnsi="仿宋_GB2312" w:cs="仿宋_GB2312" w:eastAsia="仿宋_GB2312"/>
                      <w:sz w:val="19"/>
                    </w:rPr>
                    <w:t>7、额定电压/频率220V/50Hz，额定总功率≤3100W</w:t>
                  </w:r>
                  <w:r>
                    <w:rPr>
                      <w:rFonts w:ascii="仿宋_GB2312" w:hAnsi="仿宋_GB2312" w:cs="仿宋_GB2312" w:eastAsia="仿宋_GB2312"/>
                      <w:sz w:val="19"/>
                    </w:rPr>
                    <w:t>；</w:t>
                  </w:r>
                  <w:r>
                    <w:rPr>
                      <w:rFonts w:ascii="仿宋_GB2312" w:hAnsi="仿宋_GB2312" w:cs="仿宋_GB2312" w:eastAsia="仿宋_GB2312"/>
                      <w:sz w:val="19"/>
                    </w:rPr>
                    <w:t>投标产品具有</w:t>
                  </w:r>
                  <w:r>
                    <w:rPr>
                      <w:rFonts w:ascii="仿宋_GB2312" w:hAnsi="仿宋_GB2312" w:cs="仿宋_GB2312" w:eastAsia="仿宋_GB2312"/>
                      <w:sz w:val="19"/>
                    </w:rPr>
                    <w:t>CQC产品认证或CCC认证</w:t>
                  </w:r>
                  <w:r>
                    <w:rPr>
                      <w:rFonts w:ascii="仿宋_GB2312" w:hAnsi="仿宋_GB2312" w:cs="仿宋_GB2312" w:eastAsia="仿宋_GB2312"/>
                      <w:sz w:val="19"/>
                      <w:b/>
                    </w:rPr>
                    <w:t>（提供有效的认证证书）</w:t>
                  </w:r>
                  <w:r>
                    <w:br/>
                  </w:r>
                  <w:r>
                    <w:rPr>
                      <w:rFonts w:ascii="仿宋_GB2312" w:hAnsi="仿宋_GB2312" w:cs="仿宋_GB2312" w:eastAsia="仿宋_GB2312"/>
                      <w:sz w:val="19"/>
                    </w:rPr>
                    <w:t>8、采用高、中、低水位控制的步进式进水加热方式</w:t>
                  </w:r>
                  <w:r>
                    <w:br/>
                  </w:r>
                  <w:r>
                    <w:rPr>
                      <w:rFonts w:ascii="仿宋_GB2312" w:hAnsi="仿宋_GB2312" w:cs="仿宋_GB2312" w:eastAsia="仿宋_GB2312"/>
                      <w:sz w:val="19"/>
                    </w:rPr>
                    <w:t>★</w:t>
                  </w:r>
                  <w:r>
                    <w:rPr>
                      <w:rFonts w:ascii="仿宋_GB2312" w:hAnsi="仿宋_GB2312" w:cs="仿宋_GB2312" w:eastAsia="仿宋_GB2312"/>
                      <w:sz w:val="19"/>
                    </w:rPr>
                    <w:t>9、热罐组件、加热管、水位探针均为食品级304不锈钢材质</w:t>
                  </w:r>
                  <w:r>
                    <w:rPr>
                      <w:rFonts w:ascii="仿宋_GB2312" w:hAnsi="仿宋_GB2312" w:cs="仿宋_GB2312" w:eastAsia="仿宋_GB2312"/>
                      <w:sz w:val="19"/>
                    </w:rPr>
                    <w:t>；</w:t>
                  </w:r>
                  <w:r>
                    <w:rPr>
                      <w:rFonts w:ascii="仿宋_GB2312" w:hAnsi="仿宋_GB2312" w:cs="仿宋_GB2312" w:eastAsia="仿宋_GB2312"/>
                      <w:sz w:val="19"/>
                    </w:rPr>
                    <w:t>热罐具备有效期内《涉及饮用水卫生安全产品卫生许可批件》</w:t>
                  </w:r>
                  <w:r>
                    <w:rPr>
                      <w:rFonts w:ascii="仿宋_GB2312" w:hAnsi="仿宋_GB2312" w:cs="仿宋_GB2312" w:eastAsia="仿宋_GB2312"/>
                      <w:sz w:val="19"/>
                      <w:b/>
                    </w:rPr>
                    <w:t>（须提供涉及饮用水卫生安全产品卫生许可批件）</w:t>
                  </w:r>
                  <w:r>
                    <w:br/>
                  </w:r>
                  <w:r>
                    <w:rPr>
                      <w:rFonts w:ascii="仿宋_GB2312" w:hAnsi="仿宋_GB2312" w:cs="仿宋_GB2312" w:eastAsia="仿宋_GB2312"/>
                      <w:sz w:val="19"/>
                    </w:rPr>
                    <w:t>10、常温水储水容量≥10L，热罐储水容量≥</w:t>
                  </w:r>
                  <w:r>
                    <w:rPr>
                      <w:rFonts w:ascii="仿宋_GB2312" w:hAnsi="仿宋_GB2312" w:cs="仿宋_GB2312" w:eastAsia="仿宋_GB2312"/>
                      <w:sz w:val="19"/>
                    </w:rPr>
                    <w:t>21</w:t>
                  </w:r>
                  <w:r>
                    <w:rPr>
                      <w:rFonts w:ascii="仿宋_GB2312" w:hAnsi="仿宋_GB2312" w:cs="仿宋_GB2312" w:eastAsia="仿宋_GB2312"/>
                      <w:sz w:val="19"/>
                    </w:rPr>
                    <w:t>L</w:t>
                  </w:r>
                  <w:r>
                    <w:br/>
                  </w:r>
                  <w:r>
                    <w:rPr>
                      <w:rFonts w:ascii="仿宋_GB2312" w:hAnsi="仿宋_GB2312" w:cs="仿宋_GB2312" w:eastAsia="仿宋_GB2312"/>
                      <w:sz w:val="19"/>
                    </w:rPr>
                    <w:t>▲11、主要输配水零部件包括不限于热罐（胆）、发热管、出水嘴、波纹管等需符合《生活饮用水输配水设备及防护材料卫生安全评价规范》（2001）要求</w:t>
                  </w:r>
                  <w:r>
                    <w:br/>
                  </w:r>
                  <w:r>
                    <w:rPr>
                      <w:rFonts w:ascii="仿宋_GB2312" w:hAnsi="仿宋_GB2312" w:cs="仿宋_GB2312" w:eastAsia="仿宋_GB2312"/>
                      <w:sz w:val="19"/>
                    </w:rPr>
                    <w:t>▲12、投标产品整机出水水质符合《健康直饮水水质标准》</w:t>
                  </w:r>
                  <w:r>
                    <w:br/>
                  </w:r>
                  <w:r>
                    <w:rPr>
                      <w:rFonts w:ascii="仿宋_GB2312" w:hAnsi="仿宋_GB2312" w:cs="仿宋_GB2312" w:eastAsia="仿宋_GB2312"/>
                      <w:sz w:val="19"/>
                    </w:rPr>
                    <w:t>13、双极限温温控技术防干烧设计</w:t>
                  </w:r>
                  <w:r>
                    <w:br/>
                  </w:r>
                  <w:r>
                    <w:rPr>
                      <w:rFonts w:ascii="仿宋_GB2312" w:hAnsi="仿宋_GB2312" w:cs="仿宋_GB2312" w:eastAsia="仿宋_GB2312"/>
                      <w:sz w:val="19"/>
                    </w:rPr>
                    <w:t>▲14、防触电保护类型为I类，防护等级为IP44</w:t>
                  </w:r>
                  <w:r>
                    <w:br/>
                  </w:r>
                  <w:r>
                    <w:rPr>
                      <w:rFonts w:ascii="仿宋_GB2312" w:hAnsi="仿宋_GB2312" w:cs="仿宋_GB2312" w:eastAsia="仿宋_GB2312"/>
                      <w:sz w:val="19"/>
                    </w:rPr>
                    <w:t>15、具备漏水保护装置，检测漏水即切断进水</w:t>
                  </w:r>
                  <w:r>
                    <w:br/>
                  </w:r>
                  <w:r>
                    <w:rPr>
                      <w:rFonts w:ascii="仿宋_GB2312" w:hAnsi="仿宋_GB2312" w:cs="仿宋_GB2312" w:eastAsia="仿宋_GB2312"/>
                      <w:sz w:val="19"/>
                    </w:rPr>
                    <w:t>16、产品具备物联网功能，可实现远程控制温度调节、定时开关机、一键进入节能模式以及可以查看设备用水、用电量等功能</w:t>
                  </w:r>
                  <w:r>
                    <w:br/>
                  </w:r>
                  <w:r>
                    <w:rPr>
                      <w:rFonts w:ascii="仿宋_GB2312" w:hAnsi="仿宋_GB2312" w:cs="仿宋_GB2312" w:eastAsia="仿宋_GB2312"/>
                      <w:sz w:val="19"/>
                    </w:rPr>
                    <w:t>17、产品具备自适应节能功能，一段时间无人使用，设备自动进入保温状态</w:t>
                  </w:r>
                  <w:r>
                    <w:br/>
                  </w:r>
                  <w:r>
                    <w:rPr>
                      <w:rFonts w:ascii="仿宋_GB2312" w:hAnsi="仿宋_GB2312" w:cs="仿宋_GB2312" w:eastAsia="仿宋_GB2312"/>
                      <w:sz w:val="19"/>
                    </w:rPr>
                    <w:t>18、LED可视化显示屏，显示或提示内容包括不限于换芯提示、加热温度、杀菌提示、出水TDS、UV杀菌值等功能</w:t>
                  </w:r>
                  <w:r>
                    <w:br/>
                  </w:r>
                  <w:r>
                    <w:rPr>
                      <w:rFonts w:ascii="仿宋_GB2312" w:hAnsi="仿宋_GB2312" w:cs="仿宋_GB2312" w:eastAsia="仿宋_GB2312"/>
                      <w:sz w:val="19"/>
                    </w:rPr>
                    <w:t>19、设备具有故障代码提醒功能，包括不限于漏水保护、温度传感器异常、加热异常、加热超温、浮子开关损坏、水温探针失效等</w:t>
                  </w:r>
                  <w:r>
                    <w:br/>
                  </w:r>
                  <w:r>
                    <w:rPr>
                      <w:rFonts w:ascii="仿宋_GB2312" w:hAnsi="仿宋_GB2312" w:cs="仿宋_GB2312" w:eastAsia="仿宋_GB2312"/>
                      <w:sz w:val="19"/>
                    </w:rPr>
                    <w:t>20、机器具备长时间出水自动切断功能，避免浪费</w:t>
                  </w:r>
                  <w:r>
                    <w:br/>
                  </w:r>
                  <w:r>
                    <w:rPr>
                      <w:rFonts w:ascii="仿宋_GB2312" w:hAnsi="仿宋_GB2312" w:cs="仿宋_GB2312" w:eastAsia="仿宋_GB2312"/>
                      <w:sz w:val="19"/>
                    </w:rPr>
                    <w:t>21、产品可根据实际使用场景设置一开一常温出水模式或两开出水模式，两种模式可一键进行切换</w:t>
                  </w:r>
                  <w:r>
                    <w:rPr>
                      <w:rFonts w:ascii="仿宋_GB2312" w:hAnsi="仿宋_GB2312" w:cs="仿宋_GB2312" w:eastAsia="仿宋_GB2312"/>
                      <w:sz w:val="19"/>
                    </w:rPr>
                    <w:t>；</w:t>
                  </w:r>
                  <w:r>
                    <w:rPr>
                      <w:rFonts w:ascii="仿宋_GB2312" w:hAnsi="仿宋_GB2312" w:cs="仿宋_GB2312" w:eastAsia="仿宋_GB2312"/>
                      <w:sz w:val="19"/>
                    </w:rPr>
                    <w:t>具备点按出水及长按出水两种模式且可一键进行切换以满足实际使用需求</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22、</w:t>
                  </w:r>
                  <w:r>
                    <w:rPr>
                      <w:rFonts w:ascii="仿宋_GB2312" w:hAnsi="仿宋_GB2312" w:cs="仿宋_GB2312" w:eastAsia="仿宋_GB2312"/>
                      <w:sz w:val="19"/>
                      <w:b/>
                    </w:rPr>
                    <w:t>投标产品整机需具有省级以上（含省级）卫生部门颁发的《涉及饮用水卫生安全产品卫生许可批件》</w:t>
                  </w:r>
                </w:p>
              </w:tc>
            </w:tr>
          </w:tbl>
          <w:p>
            <w:pPr>
              <w:pStyle w:val="null3"/>
            </w:pPr>
            <w:r>
              <w:rPr>
                <w:rFonts w:ascii="仿宋_GB2312" w:hAnsi="仿宋_GB2312" w:cs="仿宋_GB2312" w:eastAsia="仿宋_GB2312"/>
              </w:rPr>
              <w:t>★</w:t>
            </w:r>
            <w:r>
              <w:rPr>
                <w:rFonts w:ascii="仿宋_GB2312" w:hAnsi="仿宋_GB2312" w:cs="仿宋_GB2312" w:eastAsia="仿宋_GB2312"/>
                <w:sz w:val="20"/>
              </w:rPr>
              <w:t>设备安装调试：设</w:t>
            </w:r>
            <w:r>
              <w:rPr>
                <w:rFonts w:ascii="仿宋_GB2312" w:hAnsi="仿宋_GB2312" w:cs="仿宋_GB2312" w:eastAsia="仿宋_GB2312"/>
                <w:sz w:val="20"/>
              </w:rPr>
              <w:t>备安装调试给排水改造、电源布线、辅材及安装调试</w:t>
            </w:r>
            <w:r>
              <w:rPr>
                <w:rFonts w:ascii="仿宋_GB2312" w:hAnsi="仿宋_GB2312" w:cs="仿宋_GB2312" w:eastAsia="仿宋_GB2312"/>
                <w:sz w:val="20"/>
              </w:rPr>
              <w:t>；</w:t>
            </w:r>
            <w:r>
              <w:rPr>
                <w:rFonts w:ascii="仿宋_GB2312" w:hAnsi="仿宋_GB2312" w:cs="仿宋_GB2312" w:eastAsia="仿宋_GB2312"/>
                <w:sz w:val="20"/>
              </w:rPr>
              <w:t>后期维护</w:t>
            </w:r>
            <w:r>
              <w:rPr>
                <w:rFonts w:ascii="仿宋_GB2312" w:hAnsi="仿宋_GB2312" w:cs="仿宋_GB2312" w:eastAsia="仿宋_GB2312"/>
                <w:sz w:val="20"/>
              </w:rPr>
              <w:t>：</w:t>
            </w:r>
            <w:r>
              <w:rPr>
                <w:rFonts w:ascii="仿宋_GB2312" w:hAnsi="仿宋_GB2312" w:cs="仿宋_GB2312" w:eastAsia="仿宋_GB2312"/>
                <w:sz w:val="20"/>
              </w:rPr>
              <w:t>定期上门检查、维护、更换滤芯、清洁及水质检测</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提供承诺函，格式自拟</w:t>
            </w:r>
            <w:r>
              <w:rPr>
                <w:rFonts w:ascii="仿宋_GB2312" w:hAnsi="仿宋_GB2312" w:cs="仿宋_GB2312" w:eastAsia="仿宋_GB2312"/>
                <w:sz w:val="20"/>
                <w:b/>
              </w:rPr>
              <w:t>）。</w:t>
            </w:r>
          </w:p>
          <w:p>
            <w:pPr>
              <w:pStyle w:val="null3"/>
            </w:pPr>
            <w:r>
              <w:rPr>
                <w:rFonts w:ascii="仿宋_GB2312" w:hAnsi="仿宋_GB2312" w:cs="仿宋_GB2312" w:eastAsia="仿宋_GB2312"/>
              </w:rPr>
              <w:t>四、服务要求</w:t>
            </w:r>
          </w:p>
          <w:p>
            <w:pPr>
              <w:pStyle w:val="null3"/>
              <w:jc w:val="both"/>
            </w:pPr>
            <w:r>
              <w:rPr>
                <w:rFonts w:ascii="仿宋_GB2312" w:hAnsi="仿宋_GB2312" w:cs="仿宋_GB2312" w:eastAsia="仿宋_GB2312"/>
                <w:sz w:val="20"/>
              </w:rPr>
              <w:t>1.交货期：自合同签订之日起15个日历日内</w:t>
            </w:r>
          </w:p>
          <w:p>
            <w:pPr>
              <w:pStyle w:val="null3"/>
              <w:jc w:val="both"/>
            </w:pPr>
            <w:r>
              <w:rPr>
                <w:rFonts w:ascii="仿宋_GB2312" w:hAnsi="仿宋_GB2312" w:cs="仿宋_GB2312" w:eastAsia="仿宋_GB2312"/>
                <w:sz w:val="20"/>
              </w:rPr>
              <w:t>2.质保期：验收合格后1年</w:t>
            </w:r>
          </w:p>
          <w:p>
            <w:pPr>
              <w:pStyle w:val="null3"/>
              <w:jc w:val="both"/>
            </w:pPr>
            <w:r>
              <w:rPr>
                <w:rFonts w:ascii="仿宋_GB2312" w:hAnsi="仿宋_GB2312" w:cs="仿宋_GB2312" w:eastAsia="仿宋_GB2312"/>
                <w:sz w:val="20"/>
              </w:rPr>
              <w:t>3.交货地点：采购人指定地点</w:t>
            </w:r>
          </w:p>
          <w:p>
            <w:pPr>
              <w:pStyle w:val="null3"/>
              <w:jc w:val="both"/>
            </w:pPr>
            <w:r>
              <w:rPr>
                <w:rFonts w:ascii="仿宋_GB2312" w:hAnsi="仿宋_GB2312" w:cs="仿宋_GB2312" w:eastAsia="仿宋_GB2312"/>
                <w:sz w:val="20"/>
              </w:rPr>
              <w:t>4.学生数量：约4300名学生</w:t>
            </w:r>
          </w:p>
          <w:p>
            <w:pPr>
              <w:pStyle w:val="null3"/>
              <w:jc w:val="both"/>
            </w:pPr>
            <w:r>
              <w:rPr>
                <w:rFonts w:ascii="仿宋_GB2312" w:hAnsi="仿宋_GB2312" w:cs="仿宋_GB2312" w:eastAsia="仿宋_GB2312"/>
                <w:sz w:val="20"/>
              </w:rPr>
              <w:t>5.预算：每年387000.00元</w:t>
            </w:r>
          </w:p>
          <w:p>
            <w:pPr>
              <w:pStyle w:val="null3"/>
              <w:jc w:val="both"/>
            </w:pPr>
            <w:r>
              <w:rPr>
                <w:rFonts w:ascii="仿宋_GB2312" w:hAnsi="仿宋_GB2312" w:cs="仿宋_GB2312" w:eastAsia="仿宋_GB2312"/>
                <w:sz w:val="20"/>
              </w:rPr>
              <w:t>6.服务期：1年。</w:t>
            </w:r>
          </w:p>
          <w:p>
            <w:pPr>
              <w:pStyle w:val="null3"/>
              <w:jc w:val="both"/>
            </w:pPr>
            <w:r>
              <w:rPr>
                <w:rFonts w:ascii="仿宋_GB2312" w:hAnsi="仿宋_GB2312" w:cs="仿宋_GB2312" w:eastAsia="仿宋_GB2312"/>
                <w:sz w:val="20"/>
              </w:rPr>
              <w:t>7.维护要求：定期上门检查、维护、更换滤芯、清洁及每年两次水质检测</w:t>
            </w:r>
          </w:p>
          <w:p>
            <w:pPr>
              <w:pStyle w:val="null3"/>
              <w:jc w:val="both"/>
            </w:pPr>
            <w:r>
              <w:rPr>
                <w:rFonts w:ascii="仿宋_GB2312" w:hAnsi="仿宋_GB2312" w:cs="仿宋_GB2312" w:eastAsia="仿宋_GB2312"/>
                <w:sz w:val="20"/>
              </w:rPr>
              <w:t>8.报价方式：固定总价。</w:t>
            </w:r>
          </w:p>
          <w:p>
            <w:pPr>
              <w:pStyle w:val="null3"/>
              <w:jc w:val="both"/>
            </w:pPr>
            <w:r>
              <w:rPr>
                <w:rFonts w:ascii="仿宋_GB2312" w:hAnsi="仿宋_GB2312" w:cs="仿宋_GB2312" w:eastAsia="仿宋_GB2312"/>
                <w:sz w:val="20"/>
              </w:rPr>
              <w:t>9.包装、运输、安装、调试及培训要求：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1）包装：应采取防潮、防晒、防腐蚀、防震动及防止其它损坏的必要措施。中标人应承担由于其包装或防护措施不妥而引起的货物锈蚀、损坏和丢失等任何损失造成的责任或费用。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2）运输：选择运输风险小、运费低、距离短的运输路线。运杂费一次包死在总价内，包括生产厂到施工现场所需的装卸、运输（含保险费）、现场保管费、二次倒运费、吊装费等费用。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pPr>
              <w:pStyle w:val="null3"/>
              <w:jc w:val="both"/>
            </w:pPr>
            <w:r>
              <w:rPr>
                <w:rFonts w:ascii="仿宋_GB2312" w:hAnsi="仿宋_GB2312" w:cs="仿宋_GB2312" w:eastAsia="仿宋_GB2312"/>
                <w:sz w:val="20"/>
              </w:rPr>
              <w:t>10.验收:</w:t>
            </w:r>
          </w:p>
          <w:p>
            <w:pPr>
              <w:pStyle w:val="null3"/>
              <w:jc w:val="both"/>
            </w:pPr>
            <w:r>
              <w:rPr>
                <w:rFonts w:ascii="仿宋_GB2312" w:hAnsi="仿宋_GB2312" w:cs="仿宋_GB2312" w:eastAsia="仿宋_GB2312"/>
                <w:sz w:val="20"/>
              </w:rPr>
              <w:t>项目验收分初验和终验</w:t>
            </w:r>
            <w:r>
              <w:rPr>
                <w:rFonts w:ascii="仿宋_GB2312" w:hAnsi="仿宋_GB2312" w:cs="仿宋_GB2312" w:eastAsia="仿宋_GB2312"/>
                <w:sz w:val="20"/>
              </w:rPr>
              <w:t>: 初验：货物到达交货地点后，由使用单位根据合同对货物（设备）的名称、品牌、规格、型号、产地、数量进行检查。 终验：所有货物(设备)安装、调试完毕，正常使用 10 个日历日后，由招标人进行终验（最终验收），合格后签发《终验合格单》。</w:t>
            </w:r>
          </w:p>
          <w:p>
            <w:pPr>
              <w:pStyle w:val="null3"/>
              <w:jc w:val="both"/>
            </w:pPr>
            <w:r>
              <w:rPr>
                <w:rFonts w:ascii="仿宋_GB2312" w:hAnsi="仿宋_GB2312" w:cs="仿宋_GB2312" w:eastAsia="仿宋_GB2312"/>
                <w:sz w:val="20"/>
              </w:rPr>
              <w:t>验收不合格的中标单位，必须在接到通知后</w:t>
            </w:r>
            <w:r>
              <w:rPr>
                <w:rFonts w:ascii="仿宋_GB2312" w:hAnsi="仿宋_GB2312" w:cs="仿宋_GB2312" w:eastAsia="仿宋_GB2312"/>
                <w:sz w:val="20"/>
              </w:rPr>
              <w:t>7 个日历日内确保货物通过验收。如接到通知后7个日历日内验收仍不合格，招标人可提出索赔或取消其供货合同。</w:t>
            </w:r>
          </w:p>
          <w:p>
            <w:pPr>
              <w:pStyle w:val="null3"/>
              <w:jc w:val="both"/>
            </w:pPr>
            <w:r>
              <w:rPr>
                <w:rFonts w:ascii="仿宋_GB2312" w:hAnsi="仿宋_GB2312" w:cs="仿宋_GB2312" w:eastAsia="仿宋_GB2312"/>
                <w:sz w:val="20"/>
              </w:rPr>
              <w:t>11.验收依据</w:t>
            </w:r>
          </w:p>
          <w:p>
            <w:pPr>
              <w:pStyle w:val="null3"/>
              <w:jc w:val="both"/>
            </w:pPr>
            <w:r>
              <w:rPr>
                <w:rFonts w:ascii="仿宋_GB2312" w:hAnsi="仿宋_GB2312" w:cs="仿宋_GB2312" w:eastAsia="仿宋_GB2312"/>
                <w:sz w:val="20"/>
              </w:rPr>
              <w:t>合同文本及合同补充文件（条款）；</w:t>
            </w:r>
          </w:p>
          <w:p>
            <w:pPr>
              <w:pStyle w:val="null3"/>
              <w:jc w:val="both"/>
            </w:pPr>
            <w:r>
              <w:rPr>
                <w:rFonts w:ascii="仿宋_GB2312" w:hAnsi="仿宋_GB2312" w:cs="仿宋_GB2312" w:eastAsia="仿宋_GB2312"/>
                <w:sz w:val="20"/>
              </w:rPr>
              <w:t>产品的合法来源渠道证明文件、响应功能证明材料；</w:t>
            </w:r>
          </w:p>
          <w:p>
            <w:pPr>
              <w:pStyle w:val="null3"/>
              <w:jc w:val="both"/>
            </w:pPr>
            <w:r>
              <w:rPr>
                <w:rFonts w:ascii="仿宋_GB2312" w:hAnsi="仿宋_GB2312" w:cs="仿宋_GB2312" w:eastAsia="仿宋_GB2312"/>
                <w:sz w:val="20"/>
              </w:rPr>
              <w:t>招标文件；</w:t>
            </w:r>
          </w:p>
          <w:p>
            <w:pPr>
              <w:pStyle w:val="null3"/>
              <w:jc w:val="both"/>
            </w:pPr>
            <w:r>
              <w:rPr>
                <w:rFonts w:ascii="仿宋_GB2312" w:hAnsi="仿宋_GB2312" w:cs="仿宋_GB2312" w:eastAsia="仿宋_GB2312"/>
                <w:sz w:val="20"/>
              </w:rPr>
              <w:t>中标人的投标文件；</w:t>
            </w:r>
          </w:p>
          <w:p>
            <w:pPr>
              <w:pStyle w:val="null3"/>
              <w:jc w:val="both"/>
            </w:pPr>
            <w:r>
              <w:rPr>
                <w:rFonts w:ascii="仿宋_GB2312" w:hAnsi="仿宋_GB2312" w:cs="仿宋_GB2312" w:eastAsia="仿宋_GB2312"/>
                <w:sz w:val="20"/>
              </w:rPr>
              <w:t>货物清单；</w:t>
            </w:r>
          </w:p>
          <w:p>
            <w:pPr>
              <w:pStyle w:val="null3"/>
              <w:jc w:val="both"/>
            </w:pPr>
            <w:r>
              <w:rPr>
                <w:rFonts w:ascii="仿宋_GB2312" w:hAnsi="仿宋_GB2312" w:cs="仿宋_GB2312" w:eastAsia="仿宋_GB2312"/>
                <w:sz w:val="20"/>
              </w:rPr>
              <w:t>生产厂家的企业资质、货物的执行标准。</w:t>
            </w:r>
          </w:p>
          <w:p>
            <w:pPr>
              <w:pStyle w:val="null3"/>
              <w:jc w:val="both"/>
            </w:pPr>
            <w:r>
              <w:rPr>
                <w:rFonts w:ascii="仿宋_GB2312" w:hAnsi="仿宋_GB2312" w:cs="仿宋_GB2312" w:eastAsia="仿宋_GB2312"/>
                <w:sz w:val="20"/>
              </w:rPr>
              <w:t>12.质量保证</w:t>
            </w:r>
          </w:p>
          <w:p>
            <w:pPr>
              <w:pStyle w:val="null3"/>
              <w:jc w:val="both"/>
            </w:pPr>
            <w:r>
              <w:rPr>
                <w:rFonts w:ascii="仿宋_GB2312" w:hAnsi="仿宋_GB2312" w:cs="仿宋_GB2312" w:eastAsia="仿宋_GB2312"/>
                <w:sz w:val="20"/>
              </w:rPr>
              <w:t>所有产品质量必须符合国家有关规范和相关政策。所有设备及辅材必须是未使用过的新产品，质量优良、渠道正当。</w:t>
            </w:r>
          </w:p>
          <w:p>
            <w:pPr>
              <w:pStyle w:val="null3"/>
            </w:pPr>
            <w:r>
              <w:rPr>
                <w:rFonts w:ascii="仿宋_GB2312" w:hAnsi="仿宋_GB2312" w:cs="仿宋_GB2312" w:eastAsia="仿宋_GB2312"/>
              </w:rPr>
              <w:t>五、商务要求</w:t>
            </w:r>
          </w:p>
          <w:p>
            <w:pPr>
              <w:pStyle w:val="null3"/>
              <w:jc w:val="both"/>
            </w:pPr>
            <w:r>
              <w:rPr>
                <w:rFonts w:ascii="仿宋_GB2312" w:hAnsi="仿宋_GB2312" w:cs="仿宋_GB2312" w:eastAsia="仿宋_GB2312"/>
                <w:sz w:val="20"/>
              </w:rPr>
              <w:t>1.服务期限：一年</w:t>
            </w:r>
          </w:p>
          <w:p>
            <w:pPr>
              <w:pStyle w:val="null3"/>
              <w:jc w:val="both"/>
            </w:pPr>
            <w:r>
              <w:rPr>
                <w:rFonts w:ascii="仿宋_GB2312" w:hAnsi="仿宋_GB2312" w:cs="仿宋_GB2312" w:eastAsia="仿宋_GB2312"/>
                <w:sz w:val="20"/>
              </w:rPr>
              <w:t>2.款项结算：服务完成后一次性付款100%</w:t>
            </w:r>
          </w:p>
          <w:p>
            <w:pPr>
              <w:pStyle w:val="null3"/>
            </w:pPr>
            <w:r>
              <w:rPr>
                <w:rFonts w:ascii="仿宋_GB2312" w:hAnsi="仿宋_GB2312" w:cs="仿宋_GB2312" w:eastAsia="仿宋_GB2312"/>
              </w:rPr>
              <w:t>六、其他要求</w:t>
            </w:r>
          </w:p>
          <w:p>
            <w:pPr>
              <w:pStyle w:val="null3"/>
              <w:jc w:val="both"/>
            </w:pPr>
            <w:r>
              <w:rPr>
                <w:rFonts w:ascii="仿宋_GB2312" w:hAnsi="仿宋_GB2312" w:cs="仿宋_GB2312" w:eastAsia="仿宋_GB2312"/>
                <w:sz w:val="20"/>
              </w:rPr>
              <w:t>1.质量验收标准或规范现行的国家标准或国家行政部门颁布的法律法规、规章制度等。</w:t>
            </w:r>
          </w:p>
          <w:p>
            <w:pPr>
              <w:pStyle w:val="null3"/>
              <w:jc w:val="both"/>
            </w:pPr>
            <w:r>
              <w:rPr>
                <w:rFonts w:ascii="仿宋_GB2312" w:hAnsi="仿宋_GB2312" w:cs="仿宋_GB2312" w:eastAsia="仿宋_GB2312"/>
                <w:sz w:val="20"/>
              </w:rPr>
              <w:t>2.验收标准按照国家、行业有关规范和要求执行。</w:t>
            </w:r>
          </w:p>
          <w:p>
            <w:pPr>
              <w:pStyle w:val="null3"/>
              <w:jc w:val="both"/>
            </w:pPr>
            <w:r>
              <w:rPr>
                <w:rFonts w:ascii="仿宋_GB2312" w:hAnsi="仿宋_GB2312" w:cs="仿宋_GB2312" w:eastAsia="仿宋_GB2312"/>
                <w:sz w:val="20"/>
              </w:rPr>
              <w:t>3.成交人承诺完全达到国家有关部门验收标准，并全部通过验收为交付使用的基本条件，验收过程中的一切费用由成交供应商承担。</w:t>
            </w:r>
          </w:p>
          <w:p>
            <w:pPr>
              <w:pStyle w:val="null3"/>
            </w:pPr>
            <w:r>
              <w:rPr>
                <w:rFonts w:ascii="仿宋_GB2312" w:hAnsi="仿宋_GB2312" w:cs="仿宋_GB2312" w:eastAsia="仿宋_GB2312"/>
                <w:sz w:val="20"/>
              </w:rPr>
              <w:t>4.违约责任：委托人违反本合同约定造成咨询人损失的，委托人应予以赔偿。双方可在专用条件中约定赔偿金额的确定及支付方法。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初验：货物到达交货地点后，由使用单位根据合同对货物（设备）的名称、品牌、规格、型号、产地、数量进行检查。 终验：所有货物(设备)安装、调试完毕，正常使用 10 个日历日后，由招标人进行终验（最终验收），合格后签发《终验合格单》。 验收不合格的中标单位，必须在接到通知后 7 个日历日内确保货物通过验收。如接到通知后7个日历日内验收仍不合格，招标人可提出索赔或取消其供货合同。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服务完成后一次性付款100%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委托人违反本合同约定造成咨询人损失的，委托人应予以赔偿。双方可在专用条件中约定赔 偿金额的确定及支付方法。</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成交单位在领取成交通知书时应提供一正两副纸质版磋商响应文件，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需提供2024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提供供应商自2025年10月以来已缴纳任意一个月完税凭证或税务机关开具的完税证明（任意税种）；依法享受免税政策的供应商，提供由税务机关出具的无欠税证明；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提供供应商自2025年10月以来已缴存的任意一个月的社会保障资金缴存单据或社保机构开具的社会保险参保缴费情况证明；依法不需要缴纳社会保障资金的供应商应提供相关文件证明；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通过“信用中国”网站（www.creditchina.gov.cn）和中国政府采购网（www.ccgp.gov.cn）查询申请人信用记录，被列入失信被执行人、重大税收违法案件当事人名单、政府采购严重违法失信行为记录名单的单位将被拒绝参与本项目；</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资格证明文件 供应商参加政府采购活动承诺书 中小企业声明函 残疾人福利性单位声明函 服务方案 标的清单 报价表 响应函 商务偏离表及技术规格响应表 监狱企业的证明文件 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资格证明文件 供应商参加政府采购活动承诺书 中小企业声明函 残疾人福利性单位声明函 服务方案 标的清单 报价表 响应函 商务偏离表及技术规格响应表 监狱企业的证明文件 业绩一览表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资格证明文件 供应商参加政府采购活动承诺书 中小企业声明函 残疾人福利性单位声明函 服务方案 标的清单 报价表 响应函 商务偏离表及技术规格响应表 监狱企业的证明文件 业绩一览表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服务要求完全理解并接受，结合磋商文件第三章“★”标识的实质性要求没有负偏离。</w:t>
            </w:r>
          </w:p>
        </w:tc>
        <w:tc>
          <w:tcPr>
            <w:tcW w:type="dxa" w:w="1661"/>
          </w:tcPr>
          <w:p>
            <w:pPr>
              <w:pStyle w:val="null3"/>
            </w:pPr>
            <w:r>
              <w:rPr>
                <w:rFonts w:ascii="仿宋_GB2312" w:hAnsi="仿宋_GB2312" w:cs="仿宋_GB2312" w:eastAsia="仿宋_GB2312"/>
              </w:rPr>
              <w:t>服务方案 商务偏离表及技术规格响应表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填写技术规格响应表并提供支持文件，①★号项为实质性要求，需要按照第三章要求提供否则视为未实质性响应磋商文件要求，提交的磋商文件无效；②▲号项满分14分，需提供相应的功能证明材料（包括但不限于第三方检测机构出具的检测报告、合格证、产品彩页、产品说明书或官网功能截图等）未提供或提供不全视为负偏离，每负偏离一项扣1分；③其它未标符号参数满分8分。每项负偏离扣0.3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 根据项目实际需求，提供项目管理方案,包括①维保记录方案；②维护保障方案；③定期巡查方案 二、评审标准 1、完整性:方案须全面，对评审内容中的各项要求有详细描述； 2、可实施性:切合本项目实际情况，实施步骤清晰、合理； 3、针对性:方案能够紧扣项目实际情况，内容科学合理。 三、赋分依据(满分9分) 1、维保记录方案:每完全满足一个评审标准得1分，满分3分； 2、维护保障方案:每完全满足一个评审标准得1分，满分3分; 3、定期巡查方案 :每完全满足一个评审标准得1分，满分3分;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一、评审内容 根据项目实际需求，提供产品货源渠道正规，确保产品无假货、水货、翻新货且无产权纠纷，提供所投产品的合法来源渠道证明文件,包括①产品销售协议；②代理协议或原厂授权 二、评审标准 1、完整性:方案须全面，对评审内容中的各项要求有详细描述； 2、可实施性:切合本项目实际情况，实施步骤清晰、合理； 3、针对性:方案能够紧扣项目实际情况，内容科学合理。 三、赋分依据(满分6分) 1、产品销售协议:每完全满足一个评审标准得1分，满分3分； 2、代理协议或原厂授权 :每完全满足一个评审标准得1分，满分3分;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根据项目实际需求，提供质量保障方案,包括①服务质量保障措施；②服务质量承诺；③服务质量违约处罚措施 二、评审标准 1、完整性:方案须全面，对评审内容中的各项要求有详细描述； 2、可实施性:切合本项目实际情况，实施步骤清晰、合理； 3、针对性:方案能够紧扣项目实际情况，内容科学合理。 三、赋分依据(满分9分) 1、服务质量保障措施:每完全满足一个评审标准得1分，满分3分； 2、服务质量承诺:每完全满足一个评审标准得1分，满分3分; 3、服务质量违约处罚措施:每完全满足一个评审标准得1分，满分3分;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根据项目实际需求，提供安全保障措施,包括①安全生产保障责任制度②临时用电安全防护措施③防护设施及防护用具(用品)的准备 二、评审标准 1、完整性:方案须全面，对评审内容中的各项要求有详细描述； 2、可实施性:切合本项目实际情况，实施步骤清晰、合理； 3、针对性:方案能够紧扣项目实际情况，内容科学合理。 三、赋分依据(满分9分) 1、安全生产保障责任制度:每完全满足一个评审标准得1分，满分3分； 2、临时用电安全防护措施:每完全满足一个评审标准得1分，满分3分; 3、防护设施及防护用具(用品)的准备:每完全满足一个评审标准得1分，满分3分;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 根据项目实际需求，提供应急管理方案,包括①实施过程突发的紧急状况合理化建议②响应时间及处理措施③处理人员配备情况 二、评审标准 1、完整性:方案须全面，对评审内容中的各项要求有详细描述； 2、可实施性:切合本项目实际情况，实施步骤清晰、合理； 3、针对性:方案能够紧扣项目实际情况，内容科学合理。 三、赋分依据(满分9分) 1、实施过程突发的紧急状况合理化建议:每完全满足一个评审标准得1分，满分3分； 2、响应时间及处理措施:每完全满足一个评审标准得1分，满分3分; 3、处理人员配备情况:每完全满足一个评审标准得1分，满分3分;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根据项目实际需求，提供培训方案,包括①设备操作培训②设备维护培训③技术人员的安排 二、评审标准 1、完整性:方案须全面，对评审内容中的各项要求有详细描述； 2、可实施性:切合本项目实际情况，实施步骤清晰、合理； 3、针对性:方案能够紧扣项目实际情况，内容科学合理。 三、赋分依据(满分9分) 1、设备操作培训:每完全满足一个评审标准得1分，满分3分； 2、设备维护培训:每完全满足一个评审标准得1分，满分3分; 3、技术人员的安排:每完全满足一个评审标准得1分，满分3分;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根据项目实际需求，提供服务方案及承诺,包括①定期检查方案②滤芯更换方案③水质检测方案④直饮水及配套设备清洁方案 二、评审标准 1、完整性:方案须全面，对评审内容中的各项要求有详细描述； 2、可实施性:切合本项目实际情况，实施步骤清晰、合理； 3、针对性:方案能够紧扣项目实际情况，内容科学合理。 三、赋分依据(满分15分) 1、定期检查方案:每完全满足一个评审标准得1分，满分3分； 2、滤芯更换方案:每完全满足一个评审标准得1分，满分3分; 3、水质检测方案:每完全满足一个评审标准得1分，满分3分; 4、直饮水及配套设备清洁方案：每完全满足一个评审标准得1分，满分3分; 5、服务承诺：每完全满足一个评审标准得1分，满分3分;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提供2023年5月1日至今类似项目业绩，每个业绩计 2.5 分，满分5分。（业绩资料提供合同复印件，复印件加盖公章。以合同签订日期为准。）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详见附件：商务偏离表及技术规格响应表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详见附件：供应商参加政府采购活动承诺书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