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版本号：CGZC-2026-071（LDZB-260307）20260817001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西安浐灞国际港土地招商推介手册及重点片区推介方案制作服务项目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CGZC-2026-071（LDZB-260307）</w:t>
      </w:r>
      <w:r>
        <w:br/>
      </w:r>
      <w:r>
        <w:br/>
      </w:r>
      <w:r>
        <w:br/>
      </w:r>
    </w:p>
    <w:p>
      <w:pPr>
        <w:pStyle w:val="null3"/>
        <w:jc w:val="center"/>
        <w:outlineLvl w:val="2"/>
      </w:pPr>
      <w:r>
        <w:rPr>
          <w:rFonts w:ascii="仿宋_GB2312" w:hAnsi="仿宋_GB2312" w:cs="仿宋_GB2312" w:eastAsia="仿宋_GB2312"/>
          <w:sz w:val="28"/>
          <w:b/>
        </w:rPr>
        <w:t>西安浐灞国际港自然资源和规划局</w:t>
      </w:r>
    </w:p>
    <w:p>
      <w:pPr>
        <w:pStyle w:val="null3"/>
        <w:jc w:val="center"/>
        <w:outlineLvl w:val="2"/>
      </w:pPr>
      <w:r>
        <w:rPr>
          <w:rFonts w:ascii="仿宋_GB2312" w:hAnsi="仿宋_GB2312" w:cs="仿宋_GB2312" w:eastAsia="仿宋_GB2312"/>
          <w:sz w:val="28"/>
          <w:b/>
        </w:rPr>
        <w:t>立德项目咨询集团（陕西）有限公司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立德项目咨询集团（陕西）有限公司</w:t>
      </w:r>
      <w:r>
        <w:rPr>
          <w:rFonts w:ascii="仿宋_GB2312" w:hAnsi="仿宋_GB2312" w:cs="仿宋_GB2312" w:eastAsia="仿宋_GB2312"/>
        </w:rPr>
        <w:t>（以下简称“代理机构”）受</w:t>
      </w:r>
      <w:r>
        <w:rPr>
          <w:rFonts w:ascii="仿宋_GB2312" w:hAnsi="仿宋_GB2312" w:cs="仿宋_GB2312" w:eastAsia="仿宋_GB2312"/>
        </w:rPr>
        <w:t>西安浐灞国际港自然资源和规划局</w:t>
      </w:r>
      <w:r>
        <w:rPr>
          <w:rFonts w:ascii="仿宋_GB2312" w:hAnsi="仿宋_GB2312" w:cs="仿宋_GB2312" w:eastAsia="仿宋_GB2312"/>
        </w:rPr>
        <w:t>委托，拟对</w:t>
      </w:r>
      <w:r>
        <w:rPr>
          <w:rFonts w:ascii="仿宋_GB2312" w:hAnsi="仿宋_GB2312" w:cs="仿宋_GB2312" w:eastAsia="仿宋_GB2312"/>
        </w:rPr>
        <w:t>西安浐灞国际港土地招商推介手册及重点片区推介方案制作服务项目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CGZC-2026-071（LDZB-260307）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西安浐灞国际港土地招商推介手册及重点片区推介方案制作服务项目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增强区域土地市场活跃度，提升土地资源精准招商与推介水平，现启动“西安浐灞国际港土地招商推介手册及重点片区推介方案制作服务项目”。本项目将围绕区域发展战略、政策导向、区域规划及市场定位等多维度，对拟推介土地进行系统策划与深度梳理，最终形成土地招商推介手册及重点片区推介方案等成果文件，以支撑区域土地高效、有序、精准出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采购包1（西安浐灞国际港土地招商推介手册及重点片区推介方案制作服务项目）：属于专门面向中小企业采购。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具有独立承担民事责任的能力：供应商为合法注册的法人、其他组织或自然人，具有独立承担民事责任的能力，提供营业执照（或事业法人证）等证明文件，供应商为自然人的提供身份证。</w:t>
      </w:r>
    </w:p>
    <w:p>
      <w:pPr>
        <w:pStyle w:val="null3"/>
      </w:pPr>
      <w:r>
        <w:rPr>
          <w:rFonts w:ascii="仿宋_GB2312" w:hAnsi="仿宋_GB2312" w:cs="仿宋_GB2312" w:eastAsia="仿宋_GB2312"/>
        </w:rPr>
        <w:t>2、供应商具有良好的商业信誉和健全的财务会计制度：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p>
      <w:pPr>
        <w:pStyle w:val="null3"/>
      </w:pPr>
      <w:r>
        <w:rPr>
          <w:rFonts w:ascii="仿宋_GB2312" w:hAnsi="仿宋_GB2312" w:cs="仿宋_GB2312" w:eastAsia="仿宋_GB2312"/>
        </w:rPr>
        <w:t>3、供应商具有履行合同所必需的设备和专业技术能力：供应商具有履行合同所必需的设备和专业技术能力：提供声明文件</w:t>
      </w:r>
    </w:p>
    <w:p>
      <w:pPr>
        <w:pStyle w:val="null3"/>
      </w:pPr>
      <w:r>
        <w:rPr>
          <w:rFonts w:ascii="仿宋_GB2312" w:hAnsi="仿宋_GB2312" w:cs="仿宋_GB2312" w:eastAsia="仿宋_GB2312"/>
        </w:rPr>
        <w:t>4、供应商具有依法缴纳税收的良好记录：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供应商具有依法缴纳社会保障资金的良好记录：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6、无重大违法记录：无重大违法记录：供应商参加政府采购活动前3年内在经营活动中没有重大违法记录的书面声明</w:t>
      </w:r>
    </w:p>
    <w:p>
      <w:pPr>
        <w:pStyle w:val="null3"/>
      </w:pPr>
      <w:r>
        <w:rPr>
          <w:rFonts w:ascii="仿宋_GB2312" w:hAnsi="仿宋_GB2312" w:cs="仿宋_GB2312" w:eastAsia="仿宋_GB2312"/>
        </w:rPr>
        <w:t>7、法定代表人证明或授权委托书：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p>
      <w:pPr>
        <w:pStyle w:val="null3"/>
      </w:pPr>
      <w:r>
        <w:rPr>
          <w:rFonts w:ascii="仿宋_GB2312" w:hAnsi="仿宋_GB2312" w:cs="仿宋_GB2312" w:eastAsia="仿宋_GB2312"/>
        </w:rPr>
        <w:t>8、供应商未被列入信用中国失信被执行人、重大税收违法案件当事人名单及中国政府采购网政府采购严重违法失信行为记录名单。：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p>
      <w:pPr>
        <w:pStyle w:val="null3"/>
      </w:pPr>
      <w:r>
        <w:rPr>
          <w:rFonts w:ascii="仿宋_GB2312" w:hAnsi="仿宋_GB2312" w:cs="仿宋_GB2312" w:eastAsia="仿宋_GB2312"/>
        </w:rPr>
        <w:t>9、控股关系：控股关系：单位负责人为同一人或者存在控股、管理关系的不同单位，不得同时参加本项目投标</w:t>
      </w:r>
    </w:p>
    <w:p>
      <w:pPr>
        <w:pStyle w:val="null3"/>
      </w:pPr>
      <w:r>
        <w:rPr>
          <w:rFonts w:ascii="仿宋_GB2312" w:hAnsi="仿宋_GB2312" w:cs="仿宋_GB2312" w:eastAsia="仿宋_GB2312"/>
        </w:rPr>
        <w:t>10、本项目不接受联合体：本项目不接受联合体：本项目不接受联合体磋商（响应主体为单一供应商，无需提供证明材料）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029-83332308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立德项目咨询集团（陕西）有限公司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西安市浐灞生态区欧亚大道777号浐灞自贸中心E座803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刘思雨、陈旭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029-86615942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代理服务费收费标准：1.确定成交人后3日内，由成交人向代理机构一次付清采购代理服务费。 2.以中标（成交）价为基数，招标代理服务费按照国家计委印发《招标代理服务收费管理暂行办法》的通知（计价格[2002]1980号）文件、发改价格[2011]534 号文件及国家发改委印发的《关于进一步放开建设项目专业服务价格的通知》[2015]299号文件的收取标准计取，不足6000元的按6000元计取。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西安浐灞国际港自然资源和规划局</w:t>
      </w:r>
      <w:r>
        <w:rPr>
          <w:rFonts w:ascii="仿宋_GB2312" w:hAnsi="仿宋_GB2312" w:cs="仿宋_GB2312" w:eastAsia="仿宋_GB2312"/>
        </w:rPr>
        <w:t>和</w:t>
      </w:r>
      <w:r>
        <w:rPr>
          <w:rFonts w:ascii="仿宋_GB2312" w:hAnsi="仿宋_GB2312" w:cs="仿宋_GB2312" w:eastAsia="仿宋_GB2312"/>
        </w:rPr>
        <w:t>立德项目咨询集团（陕西）有限公司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立德项目咨询集团（陕西）有限公司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立德项目咨询集团（陕西）有限公司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立德项目咨询集团（陕西）有限公司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联系人：刘思雨、陈旭</w:t>
      </w:r>
    </w:p>
    <w:p>
      <w:pPr>
        <w:pStyle w:val="null3"/>
      </w:pPr>
      <w:r>
        <w:rPr>
          <w:rFonts w:ascii="仿宋_GB2312" w:hAnsi="仿宋_GB2312" w:cs="仿宋_GB2312" w:eastAsia="仿宋_GB2312"/>
        </w:rPr>
        <w:t>联系电话：029-86615942</w:t>
      </w:r>
    </w:p>
    <w:p>
      <w:pPr>
        <w:pStyle w:val="null3"/>
      </w:pPr>
      <w:r>
        <w:rPr>
          <w:rFonts w:ascii="仿宋_GB2312" w:hAnsi="仿宋_GB2312" w:cs="仿宋_GB2312" w:eastAsia="仿宋_GB2312"/>
        </w:rPr>
        <w:t>地址：西安市浐灞生态区欧亚大道777号浐灞自贸中心E座803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增强区域土地市场活跃度，提升土地资源精准招商与推介水平，现启动“西安浐灞国际港土地招商推介手册及重点片区推介方案制作服务项目”。本项目将围绕区域发展战略、政策导向、区域规划及市场定位等多维度，对拟推介土地进行系统策划与深度梳理，最终形成土地招商推介手册及重点片区推介方案等成果文件，以支撑区域土地高效、有序、精准出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西安浐灞国际港土地招商推介手册及重点片区推介方案制作服务项目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标的名称：西安浐灞国际港土地招商推介手册及重点片区推介方案制作服务项目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1、资源梳理：梳理区域发展规划、区位优势、产业发展、交通环境、自然资源、教育资源等，重点整理推介地块数据指标、宗地解读等。</w:t>
            </w:r>
          </w:p>
          <w:p>
            <w:pPr>
              <w:pStyle w:val="null3"/>
            </w:pPr>
            <w:r>
              <w:rPr>
                <w:rFonts w:ascii="仿宋_GB2312" w:hAnsi="仿宋_GB2312" w:cs="仿宋_GB2312" w:eastAsia="仿宋_GB2312"/>
                <w:sz w:val="21"/>
              </w:rPr>
              <w:t>2、手册设计：包括手册总体风格定位设计、封面封底设计、内页版面设计、图片加工设计、修改完善等内容，形成符合区域形象、展现地块特点的设计风格。</w:t>
            </w:r>
          </w:p>
          <w:p>
            <w:pPr>
              <w:pStyle w:val="null3"/>
            </w:pPr>
            <w:r>
              <w:rPr>
                <w:rFonts w:ascii="仿宋_GB2312" w:hAnsi="仿宋_GB2312" w:cs="仿宋_GB2312" w:eastAsia="仿宋_GB2312"/>
                <w:sz w:val="21"/>
              </w:rPr>
              <w:t>3、航拍标注：根据坐标点定位，利用无人机拍摄高清图像，对航拍图进行制作和信息标注，包括周边路网、配套等，直观展示地块形状和相关配套。</w:t>
            </w:r>
          </w:p>
          <w:p>
            <w:pPr>
              <w:pStyle w:val="null3"/>
            </w:pPr>
            <w:r>
              <w:rPr>
                <w:rFonts w:ascii="仿宋_GB2312" w:hAnsi="仿宋_GB2312" w:cs="仿宋_GB2312" w:eastAsia="仿宋_GB2312"/>
                <w:sz w:val="21"/>
              </w:rPr>
              <w:t>4、成果文件：土地招商推介手册及重点片区推介方案。</w:t>
            </w:r>
          </w:p>
          <w:p>
            <w:pPr>
              <w:pStyle w:val="null3"/>
            </w:pPr>
            <w:r>
              <w:rPr>
                <w:rFonts w:ascii="仿宋_GB2312" w:hAnsi="仿宋_GB2312" w:cs="仿宋_GB2312" w:eastAsia="仿宋_GB2312"/>
              </w:rPr>
              <w:t>二、</w:t>
            </w: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1、手册文本：文本内容应包含区域概况、区域发展规划、产业布局、相关配套、地块解读等内容。</w:t>
            </w:r>
          </w:p>
          <w:p>
            <w:pPr>
              <w:pStyle w:val="null3"/>
            </w:pPr>
            <w:r>
              <w:rPr>
                <w:rFonts w:ascii="仿宋_GB2312" w:hAnsi="仿宋_GB2312" w:cs="仿宋_GB2312" w:eastAsia="仿宋_GB2312"/>
                <w:sz w:val="21"/>
              </w:rPr>
              <w:t>2、手册设计：手册设计应符合区域形象，展现地块特点，设计风格精美。</w:t>
            </w:r>
          </w:p>
          <w:p>
            <w:pPr>
              <w:pStyle w:val="null3"/>
            </w:pPr>
            <w:r>
              <w:rPr>
                <w:rFonts w:ascii="仿宋_GB2312" w:hAnsi="仿宋_GB2312" w:cs="仿宋_GB2312" w:eastAsia="仿宋_GB2312"/>
                <w:sz w:val="21"/>
              </w:rPr>
              <w:t>3、地图制作：对拟推介地块周边进行规划路网提取，形成地块平面位置图。</w:t>
            </w:r>
          </w:p>
          <w:p>
            <w:pPr>
              <w:pStyle w:val="null3"/>
            </w:pPr>
            <w:r>
              <w:rPr>
                <w:rFonts w:ascii="仿宋_GB2312" w:hAnsi="仿宋_GB2312" w:cs="仿宋_GB2312" w:eastAsia="仿宋_GB2312"/>
                <w:sz w:val="21"/>
              </w:rPr>
              <w:t>4、航拍标注：利用无人机拍摄高清影像图，形成地块高清俯视图；对高清航拍图进行制作和航拍信息标注，包括周边路网、配套等，直观展示地块形状和相关配套。</w:t>
            </w:r>
          </w:p>
          <w:p>
            <w:pPr>
              <w:pStyle w:val="null3"/>
            </w:pPr>
            <w:r>
              <w:rPr>
                <w:rFonts w:ascii="仿宋_GB2312" w:hAnsi="仿宋_GB2312" w:cs="仿宋_GB2312" w:eastAsia="仿宋_GB2312"/>
                <w:sz w:val="21"/>
              </w:rPr>
              <w:t>5、印刷装订：大胶印机印刷，锁线胶装，符合视觉阅读要求。</w:t>
            </w:r>
          </w:p>
          <w:p>
            <w:pPr>
              <w:pStyle w:val="null3"/>
            </w:pPr>
            <w:r>
              <w:rPr>
                <w:rFonts w:ascii="仿宋_GB2312" w:hAnsi="仿宋_GB2312" w:cs="仿宋_GB2312" w:eastAsia="仿宋_GB2312"/>
                <w:sz w:val="21"/>
              </w:rPr>
              <w:t>6、印刷纸张：内页采用不低于157gPB金牌超感品质纸张，封面采用不低于300g特种纸或250gPB超感品质纸张。</w:t>
            </w:r>
          </w:p>
          <w:p>
            <w:pPr>
              <w:pStyle w:val="null3"/>
            </w:pPr>
            <w:r>
              <w:rPr>
                <w:rFonts w:ascii="仿宋_GB2312" w:hAnsi="仿宋_GB2312" w:cs="仿宋_GB2312" w:eastAsia="仿宋_GB2312"/>
                <w:sz w:val="21"/>
              </w:rPr>
              <w:t>7、数量要求：每期200册，共400册。</w:t>
            </w:r>
          </w:p>
          <w:p>
            <w:pPr>
              <w:pStyle w:val="null3"/>
            </w:pPr>
            <w:r>
              <w:rPr>
                <w:rFonts w:ascii="仿宋_GB2312" w:hAnsi="仿宋_GB2312" w:cs="仿宋_GB2312" w:eastAsia="仿宋_GB2312"/>
              </w:rPr>
              <w:t>三、</w:t>
            </w: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供应商应熟悉土地及房地产行业发展现状，具备土地招商推介手册所需的设计、航拍等能力，积极响应采购方需求。须针对本项目成立专门的项目团队，不得少于</w:t>
            </w:r>
            <w:r>
              <w:rPr>
                <w:rFonts w:ascii="仿宋_GB2312" w:hAnsi="仿宋_GB2312" w:cs="仿宋_GB2312" w:eastAsia="仿宋_GB2312"/>
                <w:sz w:val="21"/>
              </w:rPr>
              <w:t>5人。团队成员须具备相应的类似项目经验。项目负责人须具备足够的项目管理经验和能力。</w:t>
            </w:r>
          </w:p>
          <w:p>
            <w:pPr>
              <w:pStyle w:val="null3"/>
            </w:pPr>
            <w:r>
              <w:rPr>
                <w:rFonts w:ascii="仿宋_GB2312" w:hAnsi="仿宋_GB2312" w:cs="仿宋_GB2312" w:eastAsia="仿宋_GB2312"/>
              </w:rPr>
              <w:t>四、</w:t>
            </w:r>
            <w:r>
              <w:rPr>
                <w:rFonts w:ascii="仿宋_GB2312" w:hAnsi="仿宋_GB2312" w:cs="仿宋_GB2312" w:eastAsia="仿宋_GB2312"/>
                <w:sz w:val="21"/>
              </w:rPr>
              <w:t>商务要求</w:t>
            </w:r>
          </w:p>
          <w:p>
            <w:pPr>
              <w:pStyle w:val="null3"/>
            </w:pPr>
            <w:r>
              <w:rPr>
                <w:rFonts w:ascii="仿宋_GB2312" w:hAnsi="仿宋_GB2312" w:cs="仿宋_GB2312" w:eastAsia="仿宋_GB2312"/>
                <w:sz w:val="21"/>
              </w:rPr>
              <w:t>1、服务期：自合同签订之日起一年内提供两期土地招商推介手册。</w:t>
            </w:r>
          </w:p>
          <w:p>
            <w:pPr>
              <w:pStyle w:val="null3"/>
            </w:pPr>
            <w:r>
              <w:rPr>
                <w:rFonts w:ascii="仿宋_GB2312" w:hAnsi="仿宋_GB2312" w:cs="仿宋_GB2312" w:eastAsia="仿宋_GB2312"/>
                <w:sz w:val="21"/>
              </w:rPr>
              <w:t>2、款项结算：</w:t>
            </w:r>
            <w:r>
              <w:rPr>
                <w:rFonts w:ascii="仿宋_GB2312" w:hAnsi="仿宋_GB2312" w:cs="仿宋_GB2312" w:eastAsia="仿宋_GB2312"/>
                <w:sz w:val="21"/>
              </w:rPr>
              <w:t>合同签订后支付合同总价款的</w:t>
            </w:r>
            <w:r>
              <w:rPr>
                <w:rFonts w:ascii="仿宋_GB2312" w:hAnsi="仿宋_GB2312" w:cs="仿宋_GB2312" w:eastAsia="仿宋_GB2312"/>
                <w:sz w:val="21"/>
              </w:rPr>
              <w:t>30%，合同期满、甲方验收合格后，支付合同总价款的70%</w:t>
            </w:r>
            <w:r>
              <w:rPr>
                <w:rFonts w:ascii="仿宋_GB2312" w:hAnsi="仿宋_GB2312" w:cs="仿宋_GB2312" w:eastAsia="仿宋_GB2312"/>
                <w:sz w:val="21"/>
              </w:rPr>
              <w:t>。</w:t>
            </w:r>
          </w:p>
          <w:p>
            <w:pPr>
              <w:pStyle w:val="null3"/>
            </w:pPr>
            <w:r>
              <w:rPr>
                <w:rFonts w:ascii="仿宋_GB2312" w:hAnsi="仿宋_GB2312" w:cs="仿宋_GB2312" w:eastAsia="仿宋_GB2312"/>
              </w:rPr>
              <w:t>五、</w:t>
            </w: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自合同签订之日起一年内提供两期土地招商推介手册。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1.现行国家有关法律、法规、规章制度等； 2.现行行业标准； 3.本项目服务合同； 4.双方协商一致并经有关部门批准的变更文件。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其他，合同期满、甲方验收合格后，达到付款条件起30个工作日内，支付合同总金额的70.0%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（1）合同履行期间，甲方无故终止、解除合同的，乙方未开展工作的，不予退还定金；乙方已开展工作的，甲方需全额支付乙方已完成阶段的工作费用。 （2）甲方未按本合同约定时限支付合同款项的，逾期15个工作日以上，每逾期一日，按当期应付未付款项的2‰向乙方支付违约金；逾期超过六个月的，乙方有权解除合同，并要求甲方结清全部已完成工作的服务费用。 （3）乙方逾期交付成果、未按节点完成工作的，每逾期一日，减收当期应收费用的2‰作为违约金，违约金最高不超过当期应收费用的10%。 （4）乙方提交成果后，甲方无故拒不接收成果、或成果已提交主管部门开展审查报审的，视为乙方已完成对应阶段服务工作，甲方不得向乙方主张逾期、质量等违约责任。 （5）乙方无正当理由擅自终止、解除本合同的，需全额退还甲方已支付的所有款项，并承担相应违约责任。 （6）因非乙方原因导致合同无法继续履行的，乙方有权解除合同，甲方需结清乙方已完成工作的对应费用，乙方对阶段性成果后续使用风险不承担责任。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（1）本项目合同支付按照此条款执行：甲方在合同签订后向乙方支付合同额的30%；合同服务期满后，甲方在收到成果验收合格，向乙方支付剩余70%。 （2）供应商应自响应文件递交截止时间起至评标结束保持在线状态、如因自身原因导致未及时在系统中响应相关内容，供应商自行承担责任。 （3）成交人在领取成交通知书前将纸质版响应文件正本1份、副本1份、电子版2份（U盘）打印后提交至采购代理公司处，成交人应保持响应文件纸质版内容与线上提交的响应文件保持一致，否则将承担一切法律责任。 （4）定标环节采购人有权对响应文件承诺响应的内容进行复核，如有虚假响应，一经发现，取消成交资格并上报财政主管部门，列入政府采购黑名单。 （5）本项目采购人为西安浐灞国际港自然资源和规划局，合同签订甲方为西安国际港务区土地储备中心。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供应商具有独立承担民事责任的能力：供应商为合法注册的法人、其他组织或自然人，具有独立承担民事责任的能力，提供营业执照（或事业法人证）等证明文件，供应商为自然人的提供身份证。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供应商具有良好的商业信誉和健全的财务会计制度：提供2024或2025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供应商具有履行合同所必需的设备和专业技术能力：提供声明文件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供应商具有依法缴纳税收的良好记录</w:t>
            </w:r>
          </w:p>
        </w:tc>
        <w:tc>
          <w:tcPr>
            <w:tcW w:type="dxa" w:w="3322"/>
          </w:tcPr>
          <w:p>
            <w:pPr>
              <w:pStyle w:val="null3"/>
            </w:pPr>
            <w:r>
              <w:rPr>
                <w:rFonts w:ascii="仿宋_GB2312" w:hAnsi="仿宋_GB2312" w:cs="仿宋_GB2312" w:eastAsia="仿宋_GB2312"/>
              </w:rPr>
              <w:t>供应商具有依法缴纳税收的良好记录：提供缴费所属日期为投标截止时间前12个月内任一月份（投标截止时间当月不计入）的增值税（或企业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供应商具有依法缴纳社会保障资金的良好记录</w:t>
            </w:r>
          </w:p>
        </w:tc>
        <w:tc>
          <w:tcPr>
            <w:tcW w:type="dxa" w:w="3322"/>
          </w:tcPr>
          <w:p>
            <w:pPr>
              <w:pStyle w:val="null3"/>
            </w:pPr>
            <w:r>
              <w:rPr>
                <w:rFonts w:ascii="仿宋_GB2312" w:hAnsi="仿宋_GB2312" w:cs="仿宋_GB2312" w:eastAsia="仿宋_GB2312"/>
              </w:rPr>
              <w:t>供应商具有依法缴纳社会保障资金的良好记录：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无重大违法记录：供应商参加政府采购活动前3年内在经营活动中没有重大违法记录的书面声明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法定代表人证明或授权委托书</w:t>
            </w:r>
          </w:p>
        </w:tc>
        <w:tc>
          <w:tcPr>
            <w:tcW w:type="dxa" w:w="3322"/>
          </w:tcPr>
          <w:p>
            <w:pPr>
              <w:pStyle w:val="null3"/>
            </w:pPr>
            <w:r>
              <w:rPr>
                <w:rFonts w:ascii="仿宋_GB2312" w:hAnsi="仿宋_GB2312" w:cs="仿宋_GB2312" w:eastAsia="仿宋_GB2312"/>
              </w:rPr>
              <w:t>法定代表人证明或授权委托书：供应商应授权合法的人员参加投标全过程，其中法定代表人直接参加投标的，须出具身份证，并与营业执照上信息一致。法定代表人授权代表参加采购活动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供应商未被列入信用中国失信被执行人、重大税收违法案件当事人名单及中国政府采购网政府采购严重违法失信行为记录名单。</w:t>
            </w:r>
          </w:p>
        </w:tc>
        <w:tc>
          <w:tcPr>
            <w:tcW w:type="dxa" w:w="3322"/>
          </w:tcPr>
          <w:p>
            <w:pPr>
              <w:pStyle w:val="null3"/>
            </w:pPr>
            <w:r>
              <w:rPr>
                <w:rFonts w:ascii="仿宋_GB2312" w:hAnsi="仿宋_GB2312" w:cs="仿宋_GB2312" w:eastAsia="仿宋_GB2312"/>
              </w:rPr>
              <w:t>供应商未被列入“信用中国”网站(http://www.creditchina.gov.cn)列入“失信被执行人、重大税收违法失信主体名单、政府采购严重违法失信行为记录名单”；未被列入中国政府采购网(http://www.ccgp.gov.cn)“政府采购严重违法失信行为记录名单”；（以供应商文件截图或评委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控股关系：单位负责人为同一人或者存在控股、管理关系的不同单位，不得同时参加本项目投标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本项目不接受联合体：本项目不接受联合体磋商（响应主体为单一供应商，无需提供证明材料）</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技术偏离表.docx 标的清单 报价表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自合同签订之日起一年内提供两期土地招商推介手册。</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90个日历天</w:t>
            </w:r>
          </w:p>
        </w:tc>
        <w:tc>
          <w:tcPr>
            <w:tcW w:type="dxa" w:w="1661"/>
          </w:tcPr>
          <w:p>
            <w:pPr>
              <w:pStyle w:val="null3"/>
            </w:pPr>
            <w:r>
              <w:rPr>
                <w:rFonts w:ascii="仿宋_GB2312" w:hAnsi="仿宋_GB2312" w:cs="仿宋_GB2312" w:eastAsia="仿宋_GB2312"/>
              </w:rPr>
              <w:t>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2021年1月1日起至本项目响应文件递交截止时间止，承接过类似业绩，每提供一个得3分，最高得15分。未提供不得分。 注： ①类似业绩以中标通知书或合同为准； ②时间以中标通知书落款时间或合同签订日期为准。 ③合同需提供关键页（必须含封面、内容、签订时间、盖章签字页等信息）</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1.项目负责人（4分） ①具有本科及以上学历，得2分，其他不得分。 ①具有高级技术职称，得2分，中级技术职称，得1分，未提供不得分。 2.项目团队（8分） ①拟投入的专业工作人员数量（不含项目负责人）：≥10人，得3分；5-9人，得1分；不足5人，得0分。 ②团队人员中具有中级及以上技术职称或注册职业证书的，每提供一个相关证书得1分，最高5分。（每个人的证书不可累计）</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评审内容：供应商针对本项目的总体服务需求，提供全面详细、科学合理的服务方案。方案内容包含 ①项目组织方案； ②项目需求分析； ③专业资料的搜集与内容梳理方案； ④计划进度安排 ⑤项目团队配备方案。 每项内容，有得1分，内容无缺陷得4分，每存在1处缺陷扣0.5分，扣完为止。（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每提出一点在项目实施过程中存在的重点、难点并提出解决措施及相应处理方案，得2分，最高10分。（每一点提供内容不全的该点不得分）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供应商针对本项目的工作内容提供的质量保障措施，包含但不限于 ①服务质量目标；②质量保证措施；③质量问题处理方案。以上内容无缺项，专门针对本项目编制，符合本项目实际情况，内容全面详细，且条理清晰、准确、合理，能够保障项目顺利实施的得9分。每小项缺项或者内容非针对于本项目的扣3分，每小项有一项内容有缺陷的扣0.5分，扣完为止。（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供应商针对本项目的工作内容提供的进度计划及保障措施，包含但不限于 ①合理的工作计划及时间节点；②项目进度保障措施；③突发状况应急预案。以上内容无缺项，专门针对本项目编制，符合本项目实际情况，内容全面详细，且条理清晰、准确、合理，能够保障项目顺利实施的得9分。每小项缺项或者内容非针对于本项目的扣3分，每小项有一项内容有缺陷的扣0.5分，扣完为止。（缺陷是指：内容不完整、条理不清晰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针对本项目内控管理制度，包含但不限于：①项目责任制度；②人员岗位职责；③服务质量和风险防控制度；④服务回访制度等，每提供一项得1.5分，最高得6分。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对本项目服务工作的响应速度、质量承诺、后期服务保障等提出服务承诺，每提供一条得1.5分，满分6分。不提供不得分。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报价为评审基准价，其价格分为满分。其他供应商的价格分统一按照下列公式计算：响应报价得分=(评审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详见附件：西安浐灞国际港土地招商推介手册及重点片区推介方案制作服务项目合同.docx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