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版本号：HXZBTC2026-00420260508001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鑫建小区室外围墙及地面抢修改造项目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HXZBTC2026-004</w:t>
      </w:r>
      <w:r>
        <w:br/>
      </w:r>
      <w:r>
        <w:br/>
      </w:r>
      <w:r>
        <w:br/>
      </w:r>
    </w:p>
    <w:p>
      <w:pPr>
        <w:pStyle w:val="null3"/>
        <w:jc w:val="center"/>
        <w:outlineLvl w:val="2"/>
      </w:pPr>
      <w:r>
        <w:rPr>
          <w:rFonts w:ascii="仿宋_GB2312" w:hAnsi="仿宋_GB2312" w:cs="仿宋_GB2312" w:eastAsia="仿宋_GB2312"/>
          <w:sz w:val="28"/>
          <w:b/>
        </w:rPr>
        <w:t>铜川市王益区住房保障和物业指导中心</w:t>
      </w:r>
    </w:p>
    <w:p>
      <w:pPr>
        <w:pStyle w:val="null3"/>
        <w:jc w:val="center"/>
        <w:outlineLvl w:val="2"/>
      </w:pPr>
      <w:r>
        <w:rPr>
          <w:rFonts w:ascii="仿宋_GB2312" w:hAnsi="仿宋_GB2312" w:cs="仿宋_GB2312" w:eastAsia="仿宋_GB2312"/>
          <w:sz w:val="28"/>
          <w:b/>
        </w:rPr>
        <w:t>陕西汇兴项目管理有限公司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陕西汇兴项目管理有限公司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铜川市王益区住房保障和物业指导中心</w:t>
      </w:r>
      <w:r>
        <w:rPr>
          <w:rFonts w:ascii="仿宋_GB2312" w:hAnsi="仿宋_GB2312" w:cs="仿宋_GB2312" w:eastAsia="仿宋_GB2312"/>
        </w:rPr>
        <w:t>委托，拟对</w:t>
      </w:r>
      <w:r>
        <w:rPr>
          <w:rFonts w:ascii="仿宋_GB2312" w:hAnsi="仿宋_GB2312" w:cs="仿宋_GB2312" w:eastAsia="仿宋_GB2312"/>
        </w:rPr>
        <w:t>鑫建小区室外围墙及地面抢修改造项目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HXZBTC2026-004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鑫建小区室外围墙及地面抢修改造项目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鑫建小区室外围墙及地面抢修改造项目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采购包1（鑫建小区室外围墙及地面抢修改造项目）：属于专门面向小微企业采购。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1、营业执照等主体资格证明文件：具有独立承担民事责任能力的法人、其他组织，并出具合法有效的营业执照或事业单位法人证书等国家规定的相关证明；</w:t>
      </w:r>
    </w:p>
    <w:p>
      <w:pPr>
        <w:pStyle w:val="null3"/>
      </w:pPr>
      <w:r>
        <w:rPr>
          <w:rFonts w:ascii="仿宋_GB2312" w:hAnsi="仿宋_GB2312" w:cs="仿宋_GB2312" w:eastAsia="仿宋_GB2312"/>
        </w:rPr>
        <w:t>2、具有健全的财务会计制度：提供具有财务审计资质单位出具的2024或2025年度财务审计报告或磋商前六个月内其基本账户银行出具的 资信证明；</w:t>
      </w:r>
    </w:p>
    <w:p>
      <w:pPr>
        <w:pStyle w:val="null3"/>
      </w:pPr>
      <w:r>
        <w:rPr>
          <w:rFonts w:ascii="仿宋_GB2312" w:hAnsi="仿宋_GB2312" w:cs="仿宋_GB2312" w:eastAsia="仿宋_GB2312"/>
        </w:rPr>
        <w:t>3、依法缴纳税收和社会保障资金证明：依法缴纳税收和社会保障资金相关材料（提供截止磋商前六个月内任意一个月缴纳证明）；</w:t>
      </w:r>
    </w:p>
    <w:p>
      <w:pPr>
        <w:pStyle w:val="null3"/>
      </w:pPr>
      <w:r>
        <w:rPr>
          <w:rFonts w:ascii="仿宋_GB2312" w:hAnsi="仿宋_GB2312" w:cs="仿宋_GB2312" w:eastAsia="仿宋_GB2312"/>
        </w:rPr>
        <w:t>4、承诺、说明及相关声明：1、提供具有履行本合同所必需的设备和专业技术能力的承诺及说明；2、提供参加政府采购活动前三年内在经营活动中没有重大违法记录的书面声明；</w:t>
      </w:r>
    </w:p>
    <w:p>
      <w:pPr>
        <w:pStyle w:val="null3"/>
      </w:pPr>
      <w:r>
        <w:rPr>
          <w:rFonts w:ascii="仿宋_GB2312" w:hAnsi="仿宋_GB2312" w:cs="仿宋_GB2312" w:eastAsia="仿宋_GB2312"/>
        </w:rPr>
        <w:t>5、法定代表人证明书或法定代表人授权书：法定代表人参加磋商的，须提供法人身份证明书，法定代表人授权他人参加磋商的，须提供法定代表人授权委托书（附法定代表人、被授权人身份证复印件）；</w:t>
      </w:r>
    </w:p>
    <w:p>
      <w:pPr>
        <w:pStyle w:val="null3"/>
      </w:pPr>
      <w:r>
        <w:rPr>
          <w:rFonts w:ascii="仿宋_GB2312" w:hAnsi="仿宋_GB2312" w:cs="仿宋_GB2312" w:eastAsia="仿宋_GB2312"/>
        </w:rPr>
        <w:t>6、备案信息：供应商及拟派项目经理需在“陕西省住房和城乡建设厅（http://js.shaanxi.gov.cn/ ）陕西省建筑市场监管与诚信信息发布平台”可查询；</w:t>
      </w:r>
    </w:p>
    <w:p>
      <w:pPr>
        <w:pStyle w:val="null3"/>
      </w:pPr>
      <w:r>
        <w:rPr>
          <w:rFonts w:ascii="仿宋_GB2312" w:hAnsi="仿宋_GB2312" w:cs="仿宋_GB2312" w:eastAsia="仿宋_GB2312"/>
        </w:rPr>
        <w:t>7、企业资质：供应商具有建筑工程施工总承包三级（含三级）及以上资质，且具有有效的安全生产许可证；</w:t>
      </w:r>
    </w:p>
    <w:p>
      <w:pPr>
        <w:pStyle w:val="null3"/>
      </w:pPr>
      <w:r>
        <w:rPr>
          <w:rFonts w:ascii="仿宋_GB2312" w:hAnsi="仿宋_GB2312" w:cs="仿宋_GB2312" w:eastAsia="仿宋_GB2312"/>
        </w:rPr>
        <w:t>8、拟派项目负责人要求：拟派项目经理具备建筑工程二级注册建造师及以上执业资格，并具有有效的安全生产考核合格证书；且未担任其他在建工程项目的项目经理（提供承诺书）；</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10、非联合体声明：本项目不接受联合体磋商（提供承诺书）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铜川市王益区住房保障和物业指导中心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铜川市王益区红旗街331号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铜川市王益区住房保障和物业指导中心经办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18591909959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陕西省铜川市新区金谟西路11号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19909197975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采购包1：465,576.81元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布的《招标代理服务收费管理暂行办法》（计价格『2002』1980号）和国家发改委颁发的《关于招标代理服务收费有关问题的通知》（发改办价格『2003』857号）招标代理服务费的工程收费标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铜川市王益区住房保障和物业指导中心</w:t>
      </w:r>
      <w:r>
        <w:rPr>
          <w:rFonts w:ascii="仿宋_GB2312" w:hAnsi="仿宋_GB2312" w:cs="仿宋_GB2312" w:eastAsia="仿宋_GB2312"/>
        </w:rPr>
        <w:t>和</w:t>
      </w:r>
      <w:r>
        <w:rPr>
          <w:rFonts w:ascii="仿宋_GB2312" w:hAnsi="仿宋_GB2312" w:cs="仿宋_GB2312" w:eastAsia="仿宋_GB2312"/>
        </w:rPr>
        <w:t>陕西汇兴项目管理有限公司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铜川市王益区住房保障和物业指导中心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铜川市王益区住房保障和物业指导中心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联系人：王威</w:t>
      </w:r>
    </w:p>
    <w:p>
      <w:pPr>
        <w:pStyle w:val="null3"/>
      </w:pPr>
      <w:r>
        <w:rPr>
          <w:rFonts w:ascii="仿宋_GB2312" w:hAnsi="仿宋_GB2312" w:cs="仿宋_GB2312" w:eastAsia="仿宋_GB2312"/>
        </w:rPr>
        <w:t>联系电话：19909197975</w:t>
      </w:r>
    </w:p>
    <w:p>
      <w:pPr>
        <w:pStyle w:val="null3"/>
      </w:pPr>
      <w:r>
        <w:rPr>
          <w:rFonts w:ascii="仿宋_GB2312" w:hAnsi="仿宋_GB2312" w:cs="仿宋_GB2312" w:eastAsia="仿宋_GB2312"/>
        </w:rPr>
        <w:t>地址：陕西省铜川市新区金谟西路11号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465,576.81</w:t>
      </w:r>
    </w:p>
    <w:p>
      <w:pPr>
        <w:pStyle w:val="null3"/>
      </w:pPr>
      <w:r>
        <w:rPr>
          <w:rFonts w:ascii="仿宋_GB2312" w:hAnsi="仿宋_GB2312" w:cs="仿宋_GB2312" w:eastAsia="仿宋_GB2312"/>
        </w:rPr>
        <w:t>采购包最高限价（元）: 465,576.81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465576.81</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465,576.81</w:t>
            </w:r>
          </w:p>
        </w:tc>
        <w:tc>
          <w:tcPr>
            <w:tcW w:type="dxa" w:w="1384"/>
          </w:tcPr>
          <w:p>
            <w:pPr>
              <w:pStyle w:val="null3"/>
            </w:pPr>
            <w:r>
              <w:rPr>
                <w:rFonts w:ascii="仿宋_GB2312" w:hAnsi="仿宋_GB2312" w:cs="仿宋_GB2312" w:eastAsia="仿宋_GB2312"/>
              </w:rPr>
              <w:t>元</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标的名称：465576.81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一、技术标准和要求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本工程的施工过程和成果必须符合国家有关工程建设标准强制性条文和国家或有关部门关于工程施工方面现行的标准、规 范、规程、定</w:t>
            </w:r>
            <w:r>
              <w:rPr>
                <w:rFonts w:ascii="仿宋_GB2312" w:hAnsi="仿宋_GB2312" w:cs="仿宋_GB2312" w:eastAsia="仿宋_GB2312"/>
                <w:sz w:val="21"/>
                <w:color w:val="000000"/>
              </w:rPr>
              <w:t>额、办法、示例，以及陕西省关于工程施工方面的文件、规定。</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供应商在施工过程中使用或参考上述标准、规范以外的技术标准、规范时，应征得采购人的同意 。</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在施工过程中，如果国家或有关部门颁布了新的技术标准或规范，则承包人应采用新的标准或规范进行施工。</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采购人提供工程的施工图纸和相关技术文件，是采购人现有的能被供应商利用的资料，采购人对供应商做出的任何推论、 理解均不负责</w:t>
            </w:r>
            <w:r>
              <w:rPr>
                <w:rFonts w:ascii="仿宋_GB2312" w:hAnsi="仿宋_GB2312" w:cs="仿宋_GB2312" w:eastAsia="仿宋_GB2312"/>
                <w:sz w:val="21"/>
                <w:color w:val="000000"/>
              </w:rPr>
              <w:t>任。</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供应商应先到工地踏勘以充分了解工地位置、地质情况、进出场道路、拆迁干扰、储存空间、运输能力、装卸限制、行车干扰及任何其它</w:t>
            </w:r>
            <w:r>
              <w:rPr>
                <w:rFonts w:ascii="仿宋_GB2312" w:hAnsi="仿宋_GB2312" w:cs="仿宋_GB2312" w:eastAsia="仿宋_GB2312"/>
                <w:sz w:val="21"/>
                <w:color w:val="000000"/>
              </w:rPr>
              <w:t>足以影响承包价格的情况，了解设计图纸、施工规范、标准以及施工现场实际等情况，并应考虑现有人、材 、机市场水平和供应、投标风</w:t>
            </w:r>
            <w:r>
              <w:rPr>
                <w:rFonts w:ascii="仿宋_GB2312" w:hAnsi="仿宋_GB2312" w:cs="仿宋_GB2312" w:eastAsia="仿宋_GB2312"/>
                <w:sz w:val="21"/>
                <w:color w:val="000000"/>
              </w:rPr>
              <w:t>险、不利的施工因素等，任何因忽视或误解工地情况而导致的索赔或工期延长申请将不获批准 。</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供应商所提供的材料如需向第三方外购时，供应商应对质量负责，并提供相应的出厂和验收证明及相关技术文件。同时， 还应满足本磋</w:t>
            </w:r>
            <w:r>
              <w:rPr>
                <w:rFonts w:ascii="仿宋_GB2312" w:hAnsi="仿宋_GB2312" w:cs="仿宋_GB2312" w:eastAsia="仿宋_GB2312"/>
                <w:sz w:val="21"/>
                <w:color w:val="000000"/>
              </w:rPr>
              <w:t>商文件、工程量清单、施工图纸中的相关技术要求。</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质量必须达到现行合格标准，符合国家、行业、地方规定以及竞争性磋商文件规定的强制性质量和安全标准要求。</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本项目如涉及与政府部门（包含且不限于）环保、城管、规划等沟通协调或办理手续，费用及手续办理均由承包人负责， 如因沟通协调</w:t>
            </w:r>
            <w:r>
              <w:rPr>
                <w:rFonts w:ascii="仿宋_GB2312" w:hAnsi="仿宋_GB2312" w:cs="仿宋_GB2312" w:eastAsia="仿宋_GB2312"/>
                <w:sz w:val="21"/>
                <w:color w:val="000000"/>
              </w:rPr>
              <w:t>及办理手续原因造成工期延误或费用增加等由承包人负责。</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施工过程中，供应商应制定详细可行的防污降噪处理措施，减少对周围环境的影响，每天施工结束后对施工现场进行清扫 。</w:t>
            </w:r>
          </w:p>
          <w:p>
            <w:pPr>
              <w:pStyle w:val="null3"/>
            </w:pPr>
            <w:r>
              <w:rPr>
                <w:rFonts w:ascii="仿宋_GB2312" w:hAnsi="仿宋_GB2312" w:cs="仿宋_GB2312" w:eastAsia="仿宋_GB2312"/>
                <w:sz w:val="21"/>
                <w:color w:val="000000"/>
              </w:rPr>
              <w:t>10.</w:t>
            </w:r>
            <w:r>
              <w:rPr>
                <w:rFonts w:ascii="仿宋_GB2312" w:hAnsi="仿宋_GB2312" w:cs="仿宋_GB2312" w:eastAsia="仿宋_GB2312"/>
                <w:sz w:val="21"/>
                <w:color w:val="000000"/>
              </w:rPr>
              <w:t>承包人不得将其承包的工程转包给他人，也不得将其承包的工程以分包的名义转包给他人。</w:t>
            </w:r>
          </w:p>
          <w:p>
            <w:pPr>
              <w:pStyle w:val="null3"/>
            </w:pPr>
            <w:r>
              <w:rPr>
                <w:rFonts w:ascii="仿宋_GB2312" w:hAnsi="仿宋_GB2312" w:cs="仿宋_GB2312" w:eastAsia="仿宋_GB2312"/>
                <w:sz w:val="21"/>
                <w:color w:val="000000"/>
              </w:rPr>
              <w:t>11.</w:t>
            </w:r>
            <w:r>
              <w:rPr>
                <w:rFonts w:ascii="仿宋_GB2312" w:hAnsi="仿宋_GB2312" w:cs="仿宋_GB2312" w:eastAsia="仿宋_GB2312"/>
                <w:sz w:val="21"/>
                <w:color w:val="000000"/>
              </w:rPr>
              <w:t>工程分包不能解除承包人任何责任与义务。承包人应在分包场地派驻相应管理人员，保证本合同的履行。分包单位的任 何违约行为或疏</w:t>
            </w:r>
            <w:r>
              <w:rPr>
                <w:rFonts w:ascii="仿宋_GB2312" w:hAnsi="仿宋_GB2312" w:cs="仿宋_GB2312" w:eastAsia="仿宋_GB2312"/>
                <w:sz w:val="21"/>
                <w:color w:val="000000"/>
              </w:rPr>
              <w:t>忽导致工程损害或给发包人造成其他损失，承包人承担连带责任。</w:t>
            </w:r>
          </w:p>
          <w:p>
            <w:pPr>
              <w:pStyle w:val="null3"/>
            </w:pPr>
            <w:r>
              <w:rPr>
                <w:rFonts w:ascii="仿宋_GB2312" w:hAnsi="仿宋_GB2312" w:cs="仿宋_GB2312" w:eastAsia="仿宋_GB2312"/>
                <w:sz w:val="21"/>
                <w:color w:val="000000"/>
              </w:rPr>
              <w:t>12.</w:t>
            </w:r>
            <w:r>
              <w:rPr>
                <w:rFonts w:ascii="仿宋_GB2312" w:hAnsi="仿宋_GB2312" w:cs="仿宋_GB2312" w:eastAsia="仿宋_GB2312"/>
                <w:sz w:val="21"/>
                <w:color w:val="000000"/>
              </w:rPr>
              <w:t>招标工程量清单详见附件。</w:t>
            </w:r>
          </w:p>
          <w:p>
            <w:pPr>
              <w:pStyle w:val="null3"/>
            </w:pPr>
            <w:r>
              <w:rPr>
                <w:rFonts w:ascii="仿宋_GB2312" w:hAnsi="仿宋_GB2312" w:cs="仿宋_GB2312" w:eastAsia="仿宋_GB2312"/>
                <w:sz w:val="21"/>
                <w:color w:val="000000"/>
              </w:rPr>
              <w:t>二、本工程合同形式为固定综合单价合同。</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本工程计价采用固定综合单价，各供应商依据企业自身情况自主报价、风险自负。所有投标报价中的单价和合价均以人民 币表示。</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供应商在投标报价时应仔细对磋商文件进行透彻的分析研究，对图纸进行仔细的阅读和理解。</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各供应商对分部分项工程费、措施项目费、其他项目费等进行自主报价、风险自负。</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招标工程量清单的工程项目仅表达了主要工程做法，报价时各投标单位应依据图纸用料说明、相关图集，结合图纸、磋商 文件、合同条</w:t>
            </w:r>
            <w:r>
              <w:rPr>
                <w:rFonts w:ascii="仿宋_GB2312" w:hAnsi="仿宋_GB2312" w:cs="仿宋_GB2312" w:eastAsia="仿宋_GB2312"/>
                <w:sz w:val="21"/>
                <w:color w:val="000000"/>
              </w:rPr>
              <w:t>款、技术规范及现场情况进行科学合理组价。投标报价应包括该工程项目的人工费、材料费、机械费、措施费 、管理费、利润、风险费及</w:t>
            </w:r>
            <w:r>
              <w:rPr>
                <w:rFonts w:ascii="仿宋_GB2312" w:hAnsi="仿宋_GB2312" w:cs="仿宋_GB2312" w:eastAsia="仿宋_GB2312"/>
                <w:sz w:val="21"/>
                <w:color w:val="000000"/>
              </w:rPr>
              <w:t>规费、税金等政策性文件规定的所有费用，所投标的综合单价采购人视为是相应清单项在招标范 围内的全部内容价格。</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供应商在投标截止前修改投标函中的投标总报价，应同时修改</w:t>
            </w:r>
            <w:r>
              <w:rPr>
                <w:rFonts w:ascii="仿宋_GB2312" w:hAnsi="仿宋_GB2312" w:cs="仿宋_GB2312" w:eastAsia="仿宋_GB2312"/>
                <w:sz w:val="21"/>
                <w:color w:val="000000"/>
              </w:rPr>
              <w:t>“</w:t>
            </w:r>
            <w:r>
              <w:rPr>
                <w:rFonts w:ascii="仿宋_GB2312" w:hAnsi="仿宋_GB2312" w:cs="仿宋_GB2312" w:eastAsia="仿宋_GB2312"/>
                <w:sz w:val="21"/>
                <w:color w:val="000000"/>
              </w:rPr>
              <w:t>已标价工程量清单</w:t>
            </w:r>
            <w:r>
              <w:rPr>
                <w:rFonts w:ascii="仿宋_GB2312" w:hAnsi="仿宋_GB2312" w:cs="仿宋_GB2312" w:eastAsia="仿宋_GB2312"/>
                <w:sz w:val="21"/>
                <w:color w:val="000000"/>
              </w:rPr>
              <w:t>”</w:t>
            </w:r>
            <w:r>
              <w:rPr>
                <w:rFonts w:ascii="仿宋_GB2312" w:hAnsi="仿宋_GB2312" w:cs="仿宋_GB2312" w:eastAsia="仿宋_GB2312"/>
                <w:sz w:val="21"/>
                <w:color w:val="000000"/>
              </w:rPr>
              <w:t>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 2、地点：采购人指定地点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提供具有财务审计资质单位出具的2024或2025年度财务审计报告或磋商前六个月内其基本账户银行出具的 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依法缴纳税收和社会保障资金证明</w:t>
            </w:r>
          </w:p>
        </w:tc>
        <w:tc>
          <w:tcPr>
            <w:tcW w:type="dxa" w:w="3322"/>
          </w:tcPr>
          <w:p>
            <w:pPr>
              <w:pStyle w:val="null3"/>
            </w:pPr>
            <w:r>
              <w:rPr>
                <w:rFonts w:ascii="仿宋_GB2312" w:hAnsi="仿宋_GB2312" w:cs="仿宋_GB2312" w:eastAsia="仿宋_GB2312"/>
              </w:rPr>
              <w:t>依法缴纳税收和社会保障资金相关材料（提供截止磋商前六个月内任意一个月缴纳证明）；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承诺、说明及相关声明</w:t>
            </w:r>
          </w:p>
        </w:tc>
        <w:tc>
          <w:tcPr>
            <w:tcW w:type="dxa" w:w="3322"/>
          </w:tcPr>
          <w:p>
            <w:pPr>
              <w:pStyle w:val="null3"/>
            </w:pPr>
            <w:r>
              <w:rPr>
                <w:rFonts w:ascii="仿宋_GB2312" w:hAnsi="仿宋_GB2312" w:cs="仿宋_GB2312" w:eastAsia="仿宋_GB2312"/>
              </w:rPr>
              <w:t>1、提供具有履行本合同所必需的设备和专业技术能力的承诺及说明；2、提供参加政府采购活动前三年内在经营活动中没有重大违法记录的书面声明；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法定代表人参加磋商的，须提供法人身份证明书，法定代表人授权他人参加磋商的，须提供法定代表人授权委托书（附法定代表人、被授权人身份证复印件）；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供应商及拟派项目经理需在“陕西省住房和城乡建设厅（http://js.shaanxi.gov.cn/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拟派项目经理具备建筑工程二级注册建造师及以上执业资格，并具有有效的安全生产考核合格证书；且未担任其他在建工程项目的项目经理（提供承诺书）；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其他资料.docx 标的清单 供应商类似项目业绩一览表 法定代表人授权委托书.docx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磋商响应文件上法定代表人或被授权人要求签字盖章的，应签字盖章齐全。</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其他资料.docx 标的清单 供应商类似项目业绩一览表 法定代表人授权委托书.docx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已标价工程量清单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施工方案及相关技术措施</w:t>
            </w:r>
          </w:p>
        </w:tc>
        <w:tc>
          <w:tcPr>
            <w:tcW w:type="dxa" w:w="2492"/>
          </w:tcPr>
          <w:p>
            <w:pPr>
              <w:pStyle w:val="null3"/>
            </w:pPr>
            <w:r>
              <w:rPr>
                <w:rFonts w:ascii="仿宋_GB2312" w:hAnsi="仿宋_GB2312" w:cs="仿宋_GB2312" w:eastAsia="仿宋_GB2312"/>
              </w:rPr>
              <w:t>针对本项目提供完善的施工方案及相关技术措施，内容包含但不限于 ：①对项目总体概况表述；②施工部署及措施；③对项目主要及关键方案的表述；④施工技术措施等。评审标准：内容详细全面，对评审内容中的各项要求有详细描述；切合本项目实际情况，方案全面、施工步骤清晰、合理；方案能够紧扣项目实际情况，内容科学合理。符合本项目要求得12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针对本项目提供完善的工程质量的 技术组织措施，内容包含但不限于：①质量管理工作流程；②工程质 量保障方案；③工程质量控制体系；④各施工阶段质量管理措施等。 评审标准：质量目标明确，预控和动态控制措施完整，管理休系和组 织措施功能完善、管理幅度适 宜，有关措施针对性强；切合本项目实际情况，方案全面、步骤清晰、合理；方案能够紧扣项目实际情况， 内容科学合理。符合本项目要求得8分。评审内容每缺一项扣2分，评审内容有不完整、表达简单笼统、缺少关键点，或不适用本项目特性等扣0.1-1.9分，未提供不得分。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针对本项目提供完善的安全施工保证措施，内容包含但不限于：①安全生产目标及安全管理体系；②安全生产保障措施；评审标准：安全组织机构、技术措施等内容详细全面，对评审内容中的各项要求有详细描述；切合本项目实际情况，方案全面、施工安全步骤清晰、合理；方案能够紧扣项目实际情况，内容科学合理。符合本项目要求得8分。评审内容每缺一项扣4分，评审内容有不完整、表达简单笼统、缺少关键点，或不适用本项目特性等扣0.1-3.9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针对本项目提供完善的文明施工及环境保护的技术组织措施，内容包含但不限于：①安全文明施工目标及施工现场的管理措施；②文明施工保障措施；③环境保护管理体系及措施等。审标准：文明施工及环境保护的组织机构、技术措施、制度完善、内容详细全面，对评审内容中的各项要求有详细描述；切合本项目实际情况，方案全面、步骤清晰、合理；方案能够紧扣项目实际情况，内容科学合理。符合本项目要求得6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完善的工程进度计划与措施，内容包含但不限于：①工期目标及施工进度计划措施；②遇夜间、雨季、高温等情况的工期保证措施。评审标准：工期保证措施得当，对本项目的工期重要性理解特别透彻，按时完工可靠性高内容详细全面，对评审内容中的各项要求有详细描述；切合本项目实际情况，方案全面、合理；方案能够紧扣项目实际情况，内容科学合理。符合本项目要求得6分。评审内容每缺一项扣3分，评审内容有不完整、表达简单笼统、缺少关键点，或不适用本项目特性等扣0.1-2. 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施工机械配备及材料投入计划</w:t>
            </w:r>
          </w:p>
        </w:tc>
        <w:tc>
          <w:tcPr>
            <w:tcW w:type="dxa" w:w="2492"/>
          </w:tcPr>
          <w:p>
            <w:pPr>
              <w:pStyle w:val="null3"/>
            </w:pPr>
            <w:r>
              <w:rPr>
                <w:rFonts w:ascii="仿宋_GB2312" w:hAnsi="仿宋_GB2312" w:cs="仿宋_GB2312" w:eastAsia="仿宋_GB2312"/>
              </w:rPr>
              <w:t>提供针对本项目完善的资源配备计 划，内容包含但不限于：①主要材料供应计划；②施工机械设备配备 计划；③材料设备发生紧急情况的调度配备计划等。评审标准：施工 机械配备满足施工需求，又具备实操性和可持续性，内容详细全面， 对评审内容中的各项要求有详细描述；切合本项目实际情况，方案全 面、合理；方案能够紧扣项目实际情况，内容科学合理。符合本项目 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供应商提供针对本项目实际需求编制保修服务措施及承诺，包括不限于①详细的保修服务措施；②保修承诺。 评审标准：工程施工售后服务围绕服务质量、 响应效率、问题解决能力及客户满 意度等核心维度，确保售后环节有效保障工程质量和客户权益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供应商提供针对本项目实际需求编制项目部组成人员，包括不限于①项目部组成人员配备计划；②配备人员相关证书；③人员岗位职责。评审标准：项目组织机构合理，人员分工明确、具有相关职称和资格证，经验丰富；切合本项目实际情况，方案全面、合理；项目组织机构能够紧扣项目实际情况，人员配备科学合理。符合本项目要求得12分。评审内容每缺一项扣4分，评审内容有不完整、表达简单笼统、缺少关键点，或不适用本项目特性等扣0.1-3.9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供应商近3年(自2023年5月至今以合同签订日期为准)类似项目业绩，每提供一个业绩得1.5分，最多得3分；（须附类似项目业绩合同的复印件或扫描件，并加盖公章）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