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版本号：ZMZB2025YADX-409.3B120260525001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数字经济与财务管理实验室建设项目(二次)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ZMZB2025YADX-409.3B1</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数字经济与财务管理实验室建设项目(二次)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ZMZB2025YADX-409.3B1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数字经济与财务管理实验室建设项目(二次)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数字经济与财务管理实验室建设项目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延安市宝塔区公学北路1号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采购包1：958,400.00元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采购包1保证金金额：17,000.00元</w:t>
            </w:r>
          </w:p>
          <w:p>
            <w:pPr>
              <w:pStyle w:val="null3"/>
            </w:pPr>
            <w:r>
              <w:rPr>
                <w:rFonts w:ascii="仿宋_GB2312" w:hAnsi="仿宋_GB2312" w:cs="仿宋_GB2312" w:eastAsia="仿宋_GB2312"/>
              </w:rPr>
              <w:t>采购包2保证金金额：12,800.00元</w:t>
            </w:r>
          </w:p>
          <w:p>
            <w:pPr>
              <w:pStyle w:val="null3"/>
            </w:pPr>
            <w:r>
              <w:rPr>
                <w:rFonts w:ascii="仿宋_GB2312" w:hAnsi="仿宋_GB2312" w:cs="仿宋_GB2312" w:eastAsia="仿宋_GB2312"/>
              </w:rPr>
              <w:t>采购包3保证金金额：19,000.00元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说明：合同总金额的5%，合同签署前以公对公方式转入采购人公户，服务满一年无息退还。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代理服务费收费标准：采购代理费用按委托代理采购项目中标（成交）金额的百分之一(1%）收取，由中标（成交）供应商向中选人支付。 采购代理服务费收取标准设置下限和上限。不足人民币肆仟元整（￥4000.00）的，按人民币肆仟元整（￥4000.00）收取；超过人民币伍万元整（￥50000.00）的，按人民币伍万元整（￥50000.00）收取。 供应商将招标代理服务费计入投标报价但不单独列明，中标单位在领取中标通知书前，须向采购代理机构一次性支付招标代理服务费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延安大学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联系电话：029-81875979</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数字经济与财务管理实验室建设项目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958,400.00</w:t>
      </w:r>
    </w:p>
    <w:p>
      <w:pPr>
        <w:pStyle w:val="null3"/>
      </w:pPr>
      <w:r>
        <w:rPr>
          <w:rFonts w:ascii="仿宋_GB2312" w:hAnsi="仿宋_GB2312" w:cs="仿宋_GB2312" w:eastAsia="仿宋_GB2312"/>
        </w:rPr>
        <w:t>采购包最高限价（元）: 958,400.00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数智化审计平台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数据交换处理设备</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数智化展示设备</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32,800.00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数据存储设备1</w:t>
            </w:r>
          </w:p>
        </w:tc>
        <w:tc>
          <w:tcPr>
            <w:tcW w:type="dxa" w:w="755"/>
          </w:tcPr>
          <w:p>
            <w:pPr>
              <w:pStyle w:val="null3"/>
              <w:jc w:val="right"/>
            </w:pPr>
            <w:r>
              <w:rPr>
                <w:rFonts w:ascii="仿宋_GB2312" w:hAnsi="仿宋_GB2312" w:cs="仿宋_GB2312" w:eastAsia="仿宋_GB2312"/>
              </w:rPr>
              <w:t>70.00</w:t>
            </w:r>
          </w:p>
        </w:tc>
        <w:tc>
          <w:tcPr>
            <w:tcW w:type="dxa" w:w="755"/>
          </w:tcPr>
          <w:p>
            <w:pPr>
              <w:pStyle w:val="null3"/>
              <w:jc w:val="right"/>
            </w:pPr>
            <w:r>
              <w:rPr>
                <w:rFonts w:ascii="仿宋_GB2312" w:hAnsi="仿宋_GB2312" w:cs="仿宋_GB2312" w:eastAsia="仿宋_GB2312"/>
              </w:rPr>
              <w:t>56,000.00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数据存储设备2</w:t>
            </w:r>
          </w:p>
        </w:tc>
        <w:tc>
          <w:tcPr>
            <w:tcW w:type="dxa" w:w="755"/>
          </w:tcPr>
          <w:p>
            <w:pPr>
              <w:pStyle w:val="null3"/>
              <w:jc w:val="right"/>
            </w:pPr>
            <w:r>
              <w:rPr>
                <w:rFonts w:ascii="仿宋_GB2312" w:hAnsi="仿宋_GB2312" w:cs="仿宋_GB2312" w:eastAsia="仿宋_GB2312"/>
              </w:rPr>
              <w:t>70.00</w:t>
            </w:r>
          </w:p>
        </w:tc>
        <w:tc>
          <w:tcPr>
            <w:tcW w:type="dxa" w:w="755"/>
          </w:tcPr>
          <w:p>
            <w:pPr>
              <w:pStyle w:val="null3"/>
              <w:jc w:val="right"/>
            </w:pPr>
            <w:r>
              <w:rPr>
                <w:rFonts w:ascii="仿宋_GB2312" w:hAnsi="仿宋_GB2312" w:cs="仿宋_GB2312" w:eastAsia="仿宋_GB2312"/>
              </w:rPr>
              <w:t>61,600.00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智能税务管理平台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财务教学实训平台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标的名称：数智化审计平台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大数据审计平台</w:t>
            </w:r>
          </w:p>
          <w:p>
            <w:pPr>
              <w:pStyle w:val="null3"/>
            </w:pPr>
            <w:r>
              <w:rPr>
                <w:rFonts w:ascii="仿宋_GB2312" w:hAnsi="仿宋_GB2312" w:cs="仿宋_GB2312" w:eastAsia="仿宋_GB2312"/>
              </w:rPr>
              <w:t>智能化设计器功能</w:t>
            </w:r>
          </w:p>
          <w:p>
            <w:pPr>
              <w:pStyle w:val="null3"/>
            </w:pPr>
            <w:r>
              <w:rPr>
                <w:rFonts w:ascii="仿宋_GB2312" w:hAnsi="仿宋_GB2312" w:cs="仿宋_GB2312" w:eastAsia="仿宋_GB2312"/>
              </w:rPr>
              <w:t>平台无缝集成：通过教学管理平台中的教学任务可直接跳转到RPA设计器登录页面。</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仿真商业平台功能</w:t>
            </w:r>
          </w:p>
          <w:p>
            <w:pPr>
              <w:pStyle w:val="null3"/>
            </w:pPr>
            <w:r>
              <w:rPr>
                <w:rFonts w:ascii="仿宋_GB2312" w:hAnsi="仿宋_GB2312" w:cs="仿宋_GB2312" w:eastAsia="仿宋_GB2312"/>
              </w:rPr>
              <w:t>需支持不少于4个商业仿真平台，可直接访问和应用。包含仿真E函证平台、仿真API商城、仿真查企业平台、仿真国家企业信用公示系统、仿真物流查询系统等。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仿真实践工具：包括但不限于仿真E函证平台与仿真查企业平台。要求仿真E函证平台支持案例企业通过区块链函证平台创建项目，导入函证数据，生成电子询证函，对询证函进行电子签章，发送询证函，获取回函，查看区块链溯源信息。要求仿真查企业平台支持对案例企业及其客户之间的关联关系筛查，以可视化图形的方式展示，可对图形进行缩放、对节点进行拖拽，可导出图片。</w:t>
            </w:r>
            <w:r>
              <w:rPr>
                <w:rFonts w:ascii="仿宋_GB2312" w:hAnsi="仿宋_GB2312" w:cs="仿宋_GB2312" w:eastAsia="仿宋_GB2312"/>
                <w:b/>
              </w:rPr>
              <w:t>（需提供现场真实系统平台演示）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仿真API商城：提供本平台仿真国家企业信用公示系统和仿真物流查询系统信息的API调用接口，可通过Python代码实现信息获取。</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仿真查企业平台：支持对案例企业及其客户之间的关联关系筛查，以可视化图形的方式展示，可对图形进行缩放、对节点进行拖拽，可导出图片。</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仿真国家企业信用公示系统：可查询300多家案例数据所涉及公司的基本信息及其信用情况。</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仿真物流查询系统：可查询案例企业上千份销售订单的物流信息，包括寄方信息、收方信息、货物信息、物流状态等20多个字段信息，支持RPA访问和API调用相关信息。</w:t>
            </w:r>
            <w:r>
              <w:rPr>
                <w:rFonts w:ascii="仿宋_GB2312" w:hAnsi="仿宋_GB2312" w:cs="仿宋_GB2312" w:eastAsia="仿宋_GB2312"/>
                <w:b/>
              </w:rPr>
              <w:t>（需提供相关佐证材料）</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流程画布：支持学生创建流程画布，绘制业务流程图，输入流程的输入与输出信息，并对流程完整性进行校验，可保存并导出流程画布。</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资源中心：内置各项目数据源，可进行数据预览。提供可视化主题配色样例、可视化背景板样例，提供国内外主要数据资源网站基本信息，提供常用文本编辑器基本信息。</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数据挖掘系统功能</w:t>
            </w:r>
          </w:p>
          <w:p>
            <w:pPr>
              <w:pStyle w:val="null3"/>
            </w:pPr>
            <w:r>
              <w:rPr>
                <w:rFonts w:ascii="仿宋_GB2312" w:hAnsi="仿宋_GB2312" w:cs="仿宋_GB2312" w:eastAsia="仿宋_GB2312"/>
              </w:rPr>
              <w:t>系统环境。以机器学习算法为内容，系统环境Python版本3.7，预置算法库包含scikit-learn、jieba等内容。采用任务流式处理设计。默认流程为选择数据源-配置模型-开始建模-选择预测数据-开始预测，采用流式非闭环模式，执行数据挖掘时将严格按照此流程顺序执行。</w:t>
            </w:r>
            <w:r>
              <w:rPr>
                <w:rFonts w:ascii="仿宋_GB2312" w:hAnsi="仿宋_GB2312" w:cs="仿宋_GB2312" w:eastAsia="仿宋_GB2312"/>
                <w:b/>
              </w:rPr>
              <w:t>（需提供相关佐证材料）</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内置机器学习算法库，包含有监督学习和无监督学习不少于7种算法；支持学生基于选用的模型进行参数配置和调整；支持在当前页面查看预测结果数据预览，预览数据条数用户可自行调整；支持用户自行下载模型质量数据报告以及预测完成的数据到本地等。</w:t>
            </w:r>
            <w:r>
              <w:rPr>
                <w:rFonts w:ascii="仿宋_GB2312" w:hAnsi="仿宋_GB2312" w:cs="仿宋_GB2312" w:eastAsia="仿宋_GB2312"/>
                <w:b/>
              </w:rPr>
              <w:t>（需提供相关佐证材料）</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数据源选择。支持通过教学管理平台预置数据，支持学生自行上传数据表格和数据源预览，支持数据类型不少于4种，包括.xls,.xlsx,.txt,.csv。支持在当前页面查看数据源数据预览，预览数据条数用户可自行调整。机器学习算法库，有监督学习至少包括：回归分析多元回归算法、分类分析朴素贝叶斯算法、决策树算法、文本分析等，无监督学习至少包括：聚类分析K-Means、降维分析PCA算法等。</w:t>
            </w:r>
            <w:r>
              <w:rPr>
                <w:rFonts w:ascii="仿宋_GB2312" w:hAnsi="仿宋_GB2312" w:cs="仿宋_GB2312" w:eastAsia="仿宋_GB2312"/>
                <w:b/>
              </w:rPr>
              <w:t>（需提供相关佐证材料）</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算法调参，数据挖掘系统支持的可调参模型不少于15种。支持学生基于选用的模型进行参数配置和调整。变量选择与数据集切分。支持添加多个自变量，并可设置按比例随机抽选训练集与测试集。模型质量评估。通过测试集模型验证结果的对比，可对模型质量进行评估指标和拟合情况评估。预测集（支持预测功能的算法可用），完成建模步骤后可上传新的预测数据集进行因变量结果预测。</w:t>
            </w:r>
            <w:r>
              <w:rPr>
                <w:rFonts w:ascii="仿宋_GB2312" w:hAnsi="仿宋_GB2312" w:cs="仿宋_GB2312" w:eastAsia="仿宋_GB2312"/>
                <w:b/>
              </w:rPr>
              <w:t>（需提供现场真实系统平台演示）</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预测结果预览。支持在当前页面查看预测结果数据预览，预览数据条数用户可自行调整。结果数据可下载，支持用户自行下载模型质量数据报告以及预测完成的数据到本地客户机。支持通过教学管理平台预置数据挖掘任务的任务描述、操作步骤以及操作演示视频。支持通过重置清空流程内的所有配置信息。支持通过教学管理平台集成具体的挖掘任务、数据源、任务操作说明等信息。</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决策树模型，数据挖掘系统支持的可调参模型不少于15种，至少包含决策树模型。支持自定义选择预测数据，通过选择数据源上传本地数据或者选择系统内置的数据，支持查看预测结果，支持下载预测数据结果。</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逻辑回归算法，数据挖掘系统支持的可调参模型不少于15种，至少包含逻辑回归算法模型。支持自定义选择表格：支持通过选择数据源上传本地数据或者选择系统内置的数据。模型自定义设置：支持自定义数据模型参数，选择自变量和因变量，设置测试集比例。支持模型建立与查看：支持建模，支持查看训练结果，显示测试集预测结果与真实值对比、并支持导出；</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线性回归算法，数据挖掘系统支持的可调参模型不少于15种，至少包含线性回归算法模型。显示属性的系数，并进行排名；支持多个评估度量指标对模型进行评价，包括均方误差和R2系数；显示模型的截距、自变量个数和因变量个数。支持模型预测与查看：支持自定义选择预测数据，通过选择数据源上传本地数据或者选择系统内置的数据，支持查看预测结果，支持下载预测数据结果。</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k-means算法，数据挖掘系统支持的可调参模型不少于15种，至少包含k-means算法模型。支持自定义选择表格：支持通过选择数据源上传本地数据或者选择系统内置的数据。模型自定义设置：支持自定义数据模型参数，选择聚类变量，设置聚类个数范围，支持设置最佳聚类个数。支持模型建立与查看：支持建模，支持查看训练结果，查看聚类样本数，并支持导出聚类结果，可视化聚类结果。支持多个评估度量指标对模型进行评价，包括DBI指数和轮廓系数。</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ARIMA算法，数据挖掘系统支持的可调参模型不少于15种，至少包含ARIMA算法模型。支持自定义选择表格：支持通过选择数据源上传本地数据或者选择系统内置的数据。模型自定义设置：支持自定义数据模型参数，选择自变量。支持模型建立与查看：支持建模，支持查看训练结果，查看时序图，残差检验结果图，模型拟合结果图，支持模型预测与查看：支持填写时间期数，支持查看预测结果，支持下载预测数据结果。</w:t>
            </w:r>
            <w:r>
              <w:rPr>
                <w:rFonts w:ascii="仿宋_GB2312" w:hAnsi="仿宋_GB2312" w:cs="仿宋_GB2312" w:eastAsia="仿宋_GB2312"/>
                <w:b/>
              </w:rPr>
              <w:t>（需提供相关佐证材料）</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皮尔逊相关系数，数据挖掘系统支持的可调参模型不少于15种，至少包含皮尔逊相关系数模型。支持自定义选择表格，支持自定义数据模型参数，选择自变量。支持模型建立与查看：支持建模，支持查看训练结果，显示皮尔逊相关系数结果说明，并支持导出。</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简单指数平滑法，数据挖掘系统支持的可调参模型不少于15种，至少包含简单指数平滑法模型。支持自定义选择表格，支持自定义数据模型参数，选择自变量，填写平滑系数。支持模型建立与查看：支持建模，支持查看训练结果，显示模型拟合图，模型预测误差表格并支持导出，支持模型预测与查看：支持填写时间期数，支持查看预测结果，支持下载预测数据结果。</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霍尔特-温特指数法，数据挖掘系统支持的可调参模型不少于15种，至少包含霍尔特-温特指数法模型。支持自定义选择表格，支持自定义数据模型参数，选择自变量。支持模型建立与查看：支持建模，支持查看训练结果，显示模型拟合图，模型预测误差表格并支持导出，支持模型预测与查看：支持填写时间期数，支持查看预测结果，支持下载预测数据结果。</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霍尔特指数法，数据挖掘系统支持的可调参模型不少于15种，至少包含.霍尔特指数法模型。支持自定义选择表格，支持自定义数据模型参数，选择自变量，填写水平平滑系数和趋势平滑系数。支持模型建立与查看：支持建模，支持查看训练结果，显示模型拟合图，模型预测误差表格并支持导出，支持模型预测与查看：支持填写时间期数，支持查看预测结果，支持下载预测数据结果。</w:t>
            </w:r>
            <w:r>
              <w:rPr>
                <w:rFonts w:ascii="仿宋_GB2312" w:hAnsi="仿宋_GB2312" w:cs="仿宋_GB2312" w:eastAsia="仿宋_GB2312"/>
                <w:b/>
              </w:rPr>
              <w:t>（需提供现场真实系统平台演示）</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课程模块功能</w:t>
            </w:r>
          </w:p>
          <w:p>
            <w:pPr>
              <w:pStyle w:val="null3"/>
            </w:pPr>
            <w:r>
              <w:rPr>
                <w:rFonts w:ascii="仿宋_GB2312" w:hAnsi="仿宋_GB2312" w:cs="仿宋_GB2312" w:eastAsia="仿宋_GB2312"/>
              </w:rPr>
              <w:t>需提供不少于10个教学项目，至少涵盖大数据审计基础、注册会计师大数据审计应用、内部控制大数据审计应用等内容。</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需提供初步业务活动之舆论分析项目实践：通过项目案例，项目案例，引导学生基于审计目标，通过业务需求与技术需求的梳理，设计项目执行方案，运用大数据技术得出项目分析结果。</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需提供风险评估分析程序项目实践：在风险评估阶段，支持应用大数据技术辅助完成被审计单位综合风险评估。通过案例导入，引导学生基于审计目标，进行业务需求与技术需求的梳理，设计项目执行方案，运用大数据技术得出项目分析结果。</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需提供风险应对之应收账款实质性程序项目实践：在风险应对实质性程序阶段，应用大数据技术辅助完成应收账款实质性程序。通过项目案例，让学生体会函证程序的重要性，支持区块链技术及自动化技术在审计中的应用，引导学生基于审计目标，进行业务需求与技术需求的梳理，设计项目执行方案，运用大数据技术辅助完成相关审计工作底稿。</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需提供智能内控审查项目实践：通过案例引导学生基于审计目标，进行业务需求与技术需求的梳理，设计项目执行方案，运用大数据技术辅助完成制度执行情况审计；支持应用图像定位技术、图片识别技术，检查被审计主体存货盘点制度执行情况，识别未严格执行存货盘点计划的主体。培养学生设计大数据应用方案的能力，应用大数据技术发现审计疑点、获取审计证据的能力。</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教学端具有学生能力分析功能，能够生成学生能力报告，包含不少于5项能力指标。包括：在当前教学班中，应通过折线图展现学生个人的能力成长值，通过柱状图学生不同的工作职责下的初级中级高级能力成长情况，通过雷达图展现工作胜任力完成情况，通过可视化的方式展示工作胜任力得分情况，以及工作胜任力掌握情况（热度）。</w:t>
            </w:r>
          </w:p>
        </w:tc>
      </w:tr>
    </w:tbl>
    <w:p>
      <w:pPr>
        <w:pStyle w:val="null3"/>
      </w:pPr>
      <w:r>
        <w:rPr>
          <w:rFonts w:ascii="仿宋_GB2312" w:hAnsi="仿宋_GB2312" w:cs="仿宋_GB2312" w:eastAsia="仿宋_GB2312"/>
        </w:rPr>
        <w:t>标的名称：数据交换处理设备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端口类型48个10/100/1000Mbps以太网电口，支持PoE供电；</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综合布线：超六类网线；电源插座：符合国家标准，满足连接需求。线槽及扣条：金属、塑料，符合国家安全标准，所有线路按需加以钢制或PVC线槽保护。</w:t>
            </w:r>
          </w:p>
        </w:tc>
      </w:tr>
    </w:tbl>
    <w:p>
      <w:pPr>
        <w:pStyle w:val="null3"/>
      </w:pPr>
      <w:r>
        <w:rPr>
          <w:rFonts w:ascii="仿宋_GB2312" w:hAnsi="仿宋_GB2312" w:cs="仿宋_GB2312" w:eastAsia="仿宋_GB2312"/>
        </w:rPr>
        <w:t>标的名称：数智化展示设备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≥75吋4K超高清全面屏；</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屏幕刷新率≥120Hz；</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配备蓝牙5.0；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内存容量：≥2GB运行内存+≥32GB存储。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综合布线：超六类网线；电源插座：符合国家标准，满足连接需求。线槽及扣条：金属、塑料，符合国家安全标准，所有线路按需加以钢制或PVC线槽保护。</w:t>
            </w:r>
          </w:p>
        </w:tc>
      </w:tr>
    </w:tbl>
    <w:p>
      <w:pPr>
        <w:pStyle w:val="null3"/>
      </w:pPr>
      <w:r>
        <w:rPr>
          <w:rFonts w:ascii="仿宋_GB2312" w:hAnsi="仿宋_GB2312" w:cs="仿宋_GB2312" w:eastAsia="仿宋_GB2312"/>
        </w:rPr>
        <w:t>标的名称：数据存储设备1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将现有工作站（70台）内存容量升级≥16G。</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标的名称：数据存储设备2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将现有工作站（70台）增加≥512G的固态硬盘。</w:t>
            </w:r>
          </w:p>
        </w:tc>
      </w:tr>
    </w:tbl>
    <w:p>
      <w:pPr>
        <w:pStyle w:val="null3"/>
      </w:pPr>
      <w:r>
        <w:rPr>
          <w:rFonts w:ascii="仿宋_GB2312" w:hAnsi="仿宋_GB2312" w:cs="仿宋_GB2312" w:eastAsia="仿宋_GB2312"/>
        </w:rPr>
        <w:t>标的名称：智能税务管理平台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通过财务管理决策沙盘实训设备学习，让学生能够了解财务共享服务的基本概念、岗位职责分工与共享中心的建设过程方法，能借助财务共享服务中心信息系统和相关设备，完成财务共享服务中心的作业处理工作，实现组织对财务人员的集中与管理。能支持会计专业《智能财务共享》、《ERP综合实训》等课程不少于50课时的实践教学。该设备由智能税务管理设备、财务教学实训设备组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智能税务管理设备</w:t>
            </w:r>
          </w:p>
          <w:p>
            <w:pPr>
              <w:pStyle w:val="null3"/>
            </w:pPr>
            <w:r>
              <w:rPr>
                <w:rFonts w:ascii="仿宋_GB2312" w:hAnsi="仿宋_GB2312" w:cs="仿宋_GB2312" w:eastAsia="仿宋_GB2312"/>
              </w:rPr>
              <w:t>模块功能</w:t>
            </w:r>
          </w:p>
          <w:p>
            <w:pPr>
              <w:pStyle w:val="null3"/>
            </w:pPr>
            <w:r>
              <w:rPr>
                <w:rFonts w:ascii="仿宋_GB2312" w:hAnsi="仿宋_GB2312" w:cs="仿宋_GB2312" w:eastAsia="仿宋_GB2312"/>
              </w:rPr>
              <w:t>需提供至少包括增值税业务、企业所得税、个人所得税业务、纳税筹划等教学项目内容。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需提供金税仿真系统，包含自然人电子税务局、电子税务局等，涵盖不少于50个实操任务。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需支持发票勾选确认、发票查询统计、发票查验、红字信息确认单、海关缴款书采集等业务办理；开票业务展示可用授信额度、总授信额度、当前可用纸票数量、已开具张数、蓝字发票开具金额、红字发票开具金额等数据；用票业务展示当前勾选增值税金额、增值税税额、抵扣凭证数量、已确认增值税金额、增值税税额、抵扣凭证数量等数据。</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需提供红字发票业务，支持概况统计、常用功能、红字发票确认信息、红字发票记录等模块，概况统计中展示本月回退授信额度、本月应转出进项税额、本月共收到红字发票金额、我发出的确认单张数、我收到的确认单张数及当前待处理张数；常用功能支持红字发票确认信息录入、红字发票确认信息处理、红字发票开具三大功能；红字发票确认信息支持展示我发出的确认单和发给我的确认单；红字发票记录支持展示我开具的和我收到的。</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需提供立即开票支持增值税专用发票、普通发票开具，开票样式均为最新的全电发票样式；支持差额征税-全额开票、差额征税-差额开票，其中差额征税-差额开票模式下支持差额录入；支持货物运输服务、不动产经营租赁服务、不动产销售三种特定业务的开票，开票过程中支持填写特定信息，并按照最新全电发票样式展示于票面。</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增值税业务，涵盖增值税一般纳税人和小规模纳税人业务，其中一般纳税人业务至少包含：添加开票员及开票信息维护、直接收款方式销售业务、采购原材料受票、采购建筑材料受票、进口环节采集海关缴款书、转让专利技术、转让商标等业务等；小规模纳税人业务至少包含：采购货物运输服务收票业务、外购货物用于集体福利、不动产租赁业务等。</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个人所得税业务，涵盖制造业和餐饮业个人所得税业务。制造业个人所得税业务至少包含：人员信息采集、正常工资薪金导入、综合所得计算、申报及缴纳等；餐饮业个人所得税业务至少包含：人员信息采集、专项附加扣除信息采集（可手动添加亦可模版导入）、正常工资薪金导入、全年一次性奖金导入、申报及缴纳等。</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企业所得税业务，涵盖年度汇算清缴和月（季）度预扣预缴业务；年度汇算清缴业务至少包含：购入安全生产专用设备应纳税额抵免、从证券投资基金分配中取得的收入暂不征收企业所得税、加速折旧纳税调整、自产商品分配给股东、境外分支机构所得等；月（季）度预扣预缴业务包括：直接投资于其他居民企业连续12个月以上的权益性投资收益。</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纳税筹划，涵盖增值税纳税筹划、消费税纳税筹划、个人所得税筹划、企业所得税筹划4大类，筹划方案至少包含：促销政策筹划、代理方式筹划、计税方式筹划、包装物押金筹划、套装销售筹划、纳税人筹划、收入项目筹划、还款方式筹划、折旧方式筹划、研发费用筹划等。</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平台功能</w:t>
            </w:r>
          </w:p>
          <w:p>
            <w:pPr>
              <w:pStyle w:val="null3"/>
            </w:pPr>
            <w:r>
              <w:rPr>
                <w:rFonts w:ascii="仿宋_GB2312" w:hAnsi="仿宋_GB2312" w:cs="仿宋_GB2312" w:eastAsia="仿宋_GB2312"/>
              </w:rPr>
              <w:t>需具备数智化角色工作台功能，工作台至少包含学习工作台、教学工作台、管理员工作台等；还应包含学生的待办事项，结合当前已开设、正在开设课程进行智能项目推荐。</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应具备多类型教学辅助工具，包含教学组件（至少包含：文档、视频、富文本、互动式课件、随堂测验、作业、团队成果、仿真试题任务、VR任务、文案任务、实践任务等）和教学互动工具（至少包含：投票、讨论、问答、弹幕、笔记等）。</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教学任务推送至少具备自由、闯关2种模式。</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应具备完善的教学过程管理须实现基于考勤、进度、作业、团队成果、文案任务、项目报告等角度进行过程管理，同时支持学习进度、实战次数、平均学习时长、作业提交进度、团队成果提交进度等。</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课程应至少具备课程简介、本章简介、训练计划、思维导图、课程图谱、能力图谱、公告等实践项目信息，课程内项目应包含名称、难度、任务完成度等信息；可通过自由模式、闯关模式、课程图谱、能力图谱等方式开展教学；</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应具备课外学习项目库。学生可在项目广场挑选项目进行学习，筛选维度至少包含项目难度、项目技术领域、项目业务领域、项目案例领域、项目类型等。</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具备教学评价体系。可以实现考核方案设计同时至少包含平时成绩、实践成绩、考试成绩等几类考核在内的考核项供选择使用。应具备自定义考核项的服务，方便教师依据实际情况，灵活添加系统中不包含的考核项。具备成绩分析服务，提供学生成绩报告（包含总成绩、成长值、分项成绩、项目任务成绩等内容）。</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具备学情统计模块，能够生成学情分析报告（包含老师人数、学生人数、展示班级进度、考勤率、作业提交人数、学习偏好等数据）。</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具备考试模块。应具备通过知识点或题库进行自动组卷的功能和考试结果分析功能（包含及格率、最高分、最低分、平均分、总题目数、参加人数、参考率、平均答题时间、考试得分分布等）。</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具备人才能力模型与能力图谱模块。应预置不少于7类数智化人才能力模型，在实验项目开发时可进行模型中的能力项的引用。应能通过课程图谱的方式进行学习，应能通过基于旭日图方式呈现的能力图谱学习；应能满足学生学习某个知识点或能力项时，通过至少3种方式进行学习，包含通过实践掌握能力、通过资源学习知识、通过测验检验知识；应能在进入图谱时获得开始学习指引；所学习的内容应该包含不少于10种类型，包含实践任务、画布任务、文案任务、VR任务、作业、团队成果、视频、课件、交互式课件、富文本、网页链接、测验、仿真题库等；</w:t>
            </w:r>
            <w:r>
              <w:rPr>
                <w:rFonts w:ascii="仿宋_GB2312" w:hAnsi="仿宋_GB2312" w:cs="仿宋_GB2312" w:eastAsia="仿宋_GB2312"/>
                <w:b/>
              </w:rPr>
              <w:t>（需提供相关佐证材料）</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可根据需要加入数字人课件开发功能模块。支持教师使用自定义形象，公共音色、个人音色快速生成数字人视频。应能满足PPT一键导入生成视频，并能满足PPT备注一键导入为解说词（配音文字）；应能满足PPT中插入批注动画。</w:t>
            </w:r>
          </w:p>
        </w:tc>
      </w:tr>
    </w:tbl>
    <w:p>
      <w:pPr>
        <w:pStyle w:val="null3"/>
      </w:pPr>
      <w:r>
        <w:rPr>
          <w:rFonts w:ascii="仿宋_GB2312" w:hAnsi="仿宋_GB2312" w:cs="仿宋_GB2312" w:eastAsia="仿宋_GB2312"/>
        </w:rPr>
        <w:t>标的名称：财务教学实训平台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需提供财务共享教学项目，至少包含财务共享认知、财务共享服务中心规划设计、财务共享服务中心作业处理、典型共享财务场景应用、财务共享中心运营管理等内容；至少包含财务共享服务平台、税务云、仿真自然人税收管理、仿真国家电子税务局等应用平台；不少于30个教学资源（PPT/视频/文档）、不少于50个实操任务。</w:t>
            </w:r>
            <w:r>
              <w:rPr>
                <w:rFonts w:ascii="仿宋_GB2312" w:hAnsi="仿宋_GB2312" w:cs="仿宋_GB2312" w:eastAsia="仿宋_GB2312"/>
                <w:b/>
              </w:rPr>
              <w:t>（需提供相关佐证材料）</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财务共享平台无缝集成：包含动态建模平台、会计平台、总账、应收管理、应付管理、销售管理、供应链基础设置、固定资产、报表及合并报表等。教学端与业务端要实现无缝衔接，实现虚拟化和统一账户接口，单点登录。要求动态建模平台支持对组织建模、流程建模、共享服务建模、应用发布、用户与角色建模等不少于5种功能，支持共享服务中心动态组织建模。</w:t>
            </w:r>
            <w:r>
              <w:rPr>
                <w:rFonts w:ascii="仿宋_GB2312" w:hAnsi="仿宋_GB2312" w:cs="仿宋_GB2312" w:eastAsia="仿宋_GB2312"/>
                <w:b/>
              </w:rPr>
              <w:t>（需提供相关佐证材料）</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提供基于真实企业实践开发设计的案例，提供不少于真实财务共享案例3个。</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共享中心作业实训：在任务处理及任务管理中提供专事专岗统一界面进行集中作业审核处理，支持按团队和个人两种模式进行财务共享服务中心作业实训，每个实训班级支持不少于10组同时进行抢单作业竞技，可提取作业量不少于1000单，可打开共享数据查询功能并展示大于100条；系统可自动甄别学生抢单结果的正确性，并通过评价中心随时查看团队任务或个人任务的人均完成数量、平均处理时长、正确率。</w:t>
            </w:r>
            <w:r>
              <w:rPr>
                <w:rFonts w:ascii="仿宋_GB2312" w:hAnsi="仿宋_GB2312" w:cs="仿宋_GB2312" w:eastAsia="仿宋_GB2312"/>
                <w:b/>
              </w:rPr>
              <w:t>（需提供现场真实系统平台演示）</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提供仿真商旅服务平台：支持电脑和手机移动2种报账功能，学生通过此工作应用完成预订机票、打车、酒店，形成差旅费报销单，支持事前预算事中控制事后分析的费用管控学习。</w:t>
            </w:r>
            <w:r>
              <w:rPr>
                <w:rFonts w:ascii="仿宋_GB2312" w:hAnsi="仿宋_GB2312" w:cs="仿宋_GB2312" w:eastAsia="仿宋_GB2312"/>
                <w:b/>
              </w:rPr>
              <w:t>（需提供相关佐证材料）</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提供仿真自然人税收管理、仿真国家电子税务局：支持个人所得税、增值税、附加税费等多税种的申报功能，数据可修改，纳税申报后，通过第三方协议直联银行完成缴款。</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仿真电子会计档案：支持对电子会计档案立卷、归档、查询与借阅等相关操作，仿真还原共享服务中心对电子会计档案管理的相关操作。</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须实现共享服务稽核管理并生成稽核报告。</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须实现智能共享运营绩效服务、共享大数据看板并支持大屏展示。</w:t>
            </w:r>
            <w:r>
              <w:rPr>
                <w:rFonts w:ascii="仿宋_GB2312" w:hAnsi="仿宋_GB2312" w:cs="仿宋_GB2312" w:eastAsia="仿宋_GB2312"/>
                <w:b/>
              </w:rPr>
              <w:t>（需提供相关佐证材料）</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具有共享数据查询功能。</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提供真实的ERP系统与共享数据查询中心：要求真实ERP系统支持按角色上岗体验不同实训任务，角色至少包含业务员、销售经理、采购经理、综合办公室专员、财务会计、总经理、共享初审等岗位。要求共享数据查询中心支持查看费用共享、采购应付共享、销售应收共享等不少于4种共享业务的数据，数据内容可以通过图表直观展示。</w:t>
            </w:r>
            <w:r>
              <w:rPr>
                <w:rFonts w:ascii="仿宋_GB2312" w:hAnsi="仿宋_GB2312" w:cs="仿宋_GB2312" w:eastAsia="仿宋_GB2312"/>
                <w:b/>
              </w:rPr>
              <w:t>（需提供现场真实系统平台演示）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项目验收合格后60日内支付合同金额的100%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中标人按采购方要求将全部货物运到指定地点，经采购人现场按采购文件及合同中的采购参数内容验收核对登记后方可进行安装调试。最终验收按合同约定的时间进行，项目验收分为签收和验收两阶段。 （1）签收：货物到达交货地点后，由使用单位根据合同对货物的名称、品牌、规格、型号、产地、数量进行检查。 （2）验收：所有货物安装完毕，满足技术参数要求后，由验收小组进行验收，合格后签发《验收合格单》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1.核心产品：财务教学实训平台 2.本包保证金金额：19,000.00元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交货时间(期)满足招标文件要求(合格)，交货时间(期)不满足招标文件要求(不合格)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投标文件的签署、盖章满足招标文件要求(合格)，投标文件的签署、盖章不满足招标文件要求(不合格)</w:t>
            </w:r>
          </w:p>
        </w:tc>
        <w:tc>
          <w:tcPr>
            <w:tcW w:type="dxa" w:w="1661"/>
          </w:tcPr>
          <w:p>
            <w:pPr>
              <w:pStyle w:val="null3"/>
            </w:pPr>
            <w:r>
              <w:rPr>
                <w:rFonts w:ascii="仿宋_GB2312" w:hAnsi="仿宋_GB2312" w:cs="仿宋_GB2312" w:eastAsia="仿宋_GB2312"/>
              </w:rPr>
              <w:t>开标一览表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标的数量满足招标文件要求(合格)，标的数量出现漏项或与招标文件要求不符(不合格)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没有采购人不能接受的附加条件(合格)，有采购人不能接受的附加条件 (不合格)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基本分（20分）：完全符合、响应招标文件要求，没有负偏离计20分，▲参数每负偏离一项扣1分，未标识参数每负偏离一项扣0.19分，扣完为止。 备注：1.文件中要求提供佐证材料的需提供佐证材料，未提供佐证材料或提供的佐证材料低于招标要求时按负偏离处理。2.本项参数不包含演示项。</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招标文件中“（需提供现场真实系统平台演示）”的条款技术要求进行真实平台演示，不接受ppt和视频录制，每一项功能演示与招标文件完全相符得2分；最高得10分，每项内容缺失或与本项目无关得0分，未提供得0分。 演示项如下：（1）仿真实践工具：包括但不限于仿真E函证平台与仿真查企业平台。要求仿真E函证平台支持案例企业通过区块链函证平台创建项目，导入函证数据，生成电子询证函，对询证函进行电子签章，发送询证函，获取回函，查看区块链溯源信息。要求仿真查企业平台支持对案例企业及其客户之间的关联关系筛查，以可视化图形的方式展示，可对图形进行缩放、对节点进行拖拽，可导出图片。 （2）算法调参，数据挖掘系统支持的可调参模型不少于15种。支持学生基于选用的模型进行参数配置和调整。变量选择与数据集切分。支持添加多个自变量，并可设置按比例随机抽选训练集与测试集。模型质量评估。通过测试集模型验证结果的对比，可对模型质量进行评估指标和拟合情况评估。预测集（支持预测功能的算法可用），完成建模步骤后可上传新的预测数据集进行因变量结果预测。 （3）霍尔特指数法，数据挖掘系统支持的可调参模型不少于15种，至少包含.霍尔特指数法模型。支持自定义选择表格，支持自定义数据模型参数，选择自变量，填写水平平滑系数和趋势平滑系数。支持模型建立与查看：支持建模，支持查看训练结果，显示模型拟合图，模型预测误差表格并支持导出，支持模型预测与查看：支持填写时间期数，支持查看预测结果，支持下载预测数据结果。 （4）共享中心作业实训：在任务处理及任务管理中提供专事专岗统一界面进行集中作业审核处理，支持按团队和个人两种模式进行财务共享服务中心作业实训，每个实训班级支持不少于10组同时进行抢单作业竞技，可提取作业量不少于1000单，可打开共享数据查询功能并展示大于100条；系统可自动甄别学生抢单结果的正确性，并通过评价中心随时查看团队任务或个人任务的人均完成数量、平均处理时长、正确率。 （5）提供真实的ERP系统与共享数据查询中心：要求真实ERP系统支持按角色上岗体验不同实训任务，角色至少包含业务员、销售经理、采购经理、综合办公室专员、财务会计、总经理、共享初审等岗位。要求共享数据查询中心支持查看费用共享、采购应付共享、销售应收共享等不少于4种共享业务的数据，数据内容可以通过图表直观展示。 注:（1）演示需满足本次招标需求，以真实平台进行演示。ppt演示及视频录制不得分。 （2）演示所需设备自行准备，演示时长不超过20分钟。 （3）演示地点：西安市雁塔区科技路30号合力紫郡B座21层指定会议室，开标截止时间前到达演示地点进行签到。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完整提供上述6项内容的得9分；每有一项未提供扣1.5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内容；②培训计划安排和人员安排；完整提供上述2项内容的得6分；每有一项未提供扣3分，扣完为止；每有一处有缺陷扣1.5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质量保证措施。提供的上述3项内容完整可行的得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及售后人员配置安排计划；④故障处理响应时间。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提供供应商2023年1月1日至今类似项目合同（以合同签订日期为准），每提供1个得1分，最高得5分。备注：投标文件中提供合同复印件。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价格分统一采用低价优先法计算，即满足招标文件要求且价格最低的投标报价为评标基准价，其价格分为满分。其他供应商的价格分统一按照下列公式计算：价格分=(评标基准价／投标报价)×40 注：计算分数时四舍五入取小数点后两位。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