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版本号：HY-ZB-022-202620260513001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大荔县山水林田湖草沙一体化保护修复项目策划工作服务项目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HY-ZB-022-2026</w:t>
      </w:r>
      <w:r>
        <w:br/>
      </w:r>
      <w:r>
        <w:br/>
      </w:r>
      <w:r>
        <w:br/>
      </w:r>
    </w:p>
    <w:p>
      <w:pPr>
        <w:pStyle w:val="null3"/>
        <w:jc w:val="center"/>
        <w:outlineLvl w:val="2"/>
      </w:pPr>
      <w:r>
        <w:rPr>
          <w:rFonts w:ascii="仿宋_GB2312" w:hAnsi="仿宋_GB2312" w:cs="仿宋_GB2312" w:eastAsia="仿宋_GB2312"/>
          <w:sz w:val="28"/>
          <w:b/>
        </w:rPr>
        <w:t>大荔县自然资源局</w:t>
      </w:r>
    </w:p>
    <w:p>
      <w:pPr>
        <w:pStyle w:val="null3"/>
        <w:jc w:val="center"/>
        <w:outlineLvl w:val="2"/>
      </w:pPr>
      <w:r>
        <w:rPr>
          <w:rFonts w:ascii="仿宋_GB2312" w:hAnsi="仿宋_GB2312" w:cs="仿宋_GB2312" w:eastAsia="仿宋_GB2312"/>
          <w:sz w:val="28"/>
          <w:b/>
        </w:rPr>
        <w:t>陕西翰元工程咨询有限公司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陕西翰元工程咨询有限公司</w:t>
      </w:r>
      <w:r>
        <w:rPr>
          <w:rFonts w:ascii="仿宋_GB2312" w:hAnsi="仿宋_GB2312" w:cs="仿宋_GB2312" w:eastAsia="仿宋_GB2312"/>
        </w:rPr>
        <w:t>（以下简称“代理机构”）受</w:t>
      </w:r>
      <w:r>
        <w:rPr>
          <w:rFonts w:ascii="仿宋_GB2312" w:hAnsi="仿宋_GB2312" w:cs="仿宋_GB2312" w:eastAsia="仿宋_GB2312"/>
        </w:rPr>
        <w:t>大荔县自然资源局</w:t>
      </w:r>
      <w:r>
        <w:rPr>
          <w:rFonts w:ascii="仿宋_GB2312" w:hAnsi="仿宋_GB2312" w:cs="仿宋_GB2312" w:eastAsia="仿宋_GB2312"/>
        </w:rPr>
        <w:t>委托，拟对</w:t>
      </w:r>
      <w:r>
        <w:rPr>
          <w:rFonts w:ascii="仿宋_GB2312" w:hAnsi="仿宋_GB2312" w:cs="仿宋_GB2312" w:eastAsia="仿宋_GB2312"/>
        </w:rPr>
        <w:t>大荔县山水林田湖草沙一体化保护修复项目策划工作服务项目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HY-ZB-022-2026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大荔县山水林田湖草沙一体化保护修复项目策划工作服务项目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在全县范围内开展山水林田胡草沙一体化保护修复工程项目策划包装工作，主要对大荔县生态环境进行现场调查，分析识别重点区域生态环境问题，计划完成7个“山水工程”项目策划申报任务。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1、具有独立承担民事责任的能力：具有独立承担民事责任的能力的企业法人、其他组织或者自然人。</w:t>
      </w:r>
    </w:p>
    <w:p>
      <w:pPr>
        <w:pStyle w:val="null3"/>
      </w:pPr>
      <w:r>
        <w:rPr>
          <w:rFonts w:ascii="仿宋_GB2312" w:hAnsi="仿宋_GB2312" w:cs="仿宋_GB2312" w:eastAsia="仿宋_GB2312"/>
        </w:rPr>
        <w:t>2、供应商应提供健全的财务会计制度的证明材料：1.提供2024年度或2025年度完整审计报告，成立时间至提交投标文件截止时间不足1年的提供开标前一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p>
      <w:pPr>
        <w:pStyle w:val="null3"/>
      </w:pPr>
      <w:r>
        <w:rPr>
          <w:rFonts w:ascii="仿宋_GB2312" w:hAnsi="仿宋_GB2312" w:cs="仿宋_GB2312" w:eastAsia="仿宋_GB2312"/>
        </w:rPr>
        <w:t>3、具有履行合同的声明：提供具有履行本合同所必需的设备和专业技术能力的说明或承诺；</w:t>
      </w:r>
    </w:p>
    <w:p>
      <w:pPr>
        <w:pStyle w:val="null3"/>
      </w:pPr>
      <w:r>
        <w:rPr>
          <w:rFonts w:ascii="仿宋_GB2312" w:hAnsi="仿宋_GB2312" w:cs="仿宋_GB2312" w:eastAsia="仿宋_GB2312"/>
        </w:rPr>
        <w:t>4、无重大违法记录书面声明：参加政府采购活动前三年内在经营活动中无重大违法记录的书面声明；</w:t>
      </w:r>
    </w:p>
    <w:p>
      <w:pPr>
        <w:pStyle w:val="null3"/>
      </w:pPr>
      <w:r>
        <w:rPr>
          <w:rFonts w:ascii="仿宋_GB2312" w:hAnsi="仿宋_GB2312" w:cs="仿宋_GB2312" w:eastAsia="仿宋_GB2312"/>
        </w:rPr>
        <w:t>5、法定代表人授权书或法定代表人身份证明书：为企业法定代表人出具，信息真实合法有效，附有法定代表人和被委托人身份证复印件且人证相符（若法定代表人直接参加投标会则须提供法定代表人身份证明及法定代表人身份证复印件）；</w:t>
      </w:r>
    </w:p>
    <w:p>
      <w:pPr>
        <w:pStyle w:val="null3"/>
      </w:pPr>
      <w:r>
        <w:rPr>
          <w:rFonts w:ascii="仿宋_GB2312" w:hAnsi="仿宋_GB2312" w:cs="仿宋_GB2312" w:eastAsia="仿宋_GB2312"/>
        </w:rPr>
        <w:t>6、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8、供应商资质要求：具有地质灾害评估和治理工程勘查设计乙级及以上资质和土地规划乙级及以上资质，项目负责人具备相关专业高级工程师资格。</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大荔县东环路十字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大荔县自然资源局经办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0913-3261037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陕西翰元工程咨询有限公司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大荔县西城街道办西二环北段551号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李沙沙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13093977939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大荔县自然资源局</w:t>
      </w:r>
      <w:r>
        <w:rPr>
          <w:rFonts w:ascii="仿宋_GB2312" w:hAnsi="仿宋_GB2312" w:cs="仿宋_GB2312" w:eastAsia="仿宋_GB2312"/>
        </w:rPr>
        <w:t>和</w:t>
      </w:r>
      <w:r>
        <w:rPr>
          <w:rFonts w:ascii="仿宋_GB2312" w:hAnsi="仿宋_GB2312" w:cs="仿宋_GB2312" w:eastAsia="仿宋_GB2312"/>
        </w:rPr>
        <w:t>陕西翰元工程咨询有限公司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陕西翰元工程咨询有限公司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陕西翰元工程咨询有限公司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各项具体工作的质量标准和作业规范，按国家标准、行业标准、有关技术规范要求及招标文件、投标文件规定的内容执行。乙方提供的成果资料符合国家标准、行业标准以及有关技术规范要求。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陕西翰元工程咨询有限公司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联系人：李沙沙</w:t>
      </w:r>
    </w:p>
    <w:p>
      <w:pPr>
        <w:pStyle w:val="null3"/>
      </w:pPr>
      <w:r>
        <w:rPr>
          <w:rFonts w:ascii="仿宋_GB2312" w:hAnsi="仿宋_GB2312" w:cs="仿宋_GB2312" w:eastAsia="仿宋_GB2312"/>
        </w:rPr>
        <w:t>联系电话：13093977939</w:t>
      </w:r>
    </w:p>
    <w:p>
      <w:pPr>
        <w:pStyle w:val="null3"/>
      </w:pPr>
      <w:r>
        <w:rPr>
          <w:rFonts w:ascii="仿宋_GB2312" w:hAnsi="仿宋_GB2312" w:cs="仿宋_GB2312" w:eastAsia="仿宋_GB2312"/>
        </w:rPr>
        <w:t>地址：大荔县西城街道办西二环北段551号</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在全县范围内开展山水林田胡草沙一体化保护修复工程项目策划包装工作，主要对大荔县生态环境进行现场调查，分析识别重点区域生态环境问题，计划完成7个“山水工程”项目策划申报任务。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大荔县山水林田湖草沙一体化保护修复项目策划工作服务项目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标的名称：大荔县山水林田湖草沙一体化保护修复项目策划工作服务项目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24"/>
              </w:rPr>
              <w:t>一、服务范围</w:t>
            </w:r>
          </w:p>
          <w:p>
            <w:pPr>
              <w:pStyle w:val="null3"/>
              <w:ind w:firstLine="643"/>
              <w:jc w:val="both"/>
            </w:pPr>
            <w:r>
              <w:rPr>
                <w:rFonts w:ascii="仿宋_GB2312" w:hAnsi="仿宋_GB2312" w:cs="仿宋_GB2312" w:eastAsia="仿宋_GB2312"/>
                <w:sz w:val="24"/>
              </w:rPr>
              <w:t xml:space="preserve"> </w:t>
            </w:r>
            <w:r>
              <w:rPr>
                <w:rFonts w:ascii="仿宋_GB2312" w:hAnsi="仿宋_GB2312" w:cs="仿宋_GB2312" w:eastAsia="仿宋_GB2312"/>
                <w:sz w:val="24"/>
              </w:rPr>
              <w:t>本次服务围绕大荔县山水林田湖草沙一体化保护修复项目策划展开，核心是协助我县对标国家政策、落实市级要求，完成项目谋划与申报工作。服务内容主要包括：基于县域生态环境问题现状，针对重点区域，通过调查各类生态要素，识别各区域内的水土流失、湿地退化、农田生态功能退化等关键生态问题；依据国家及省市级相关规划，结合大荔县国土空间规划、生态保护红线等管控要求，明确项目总体定位、建设目标与实施路径；统筹谋划、合理布局重点项目；编制项目可行性研究报告等，完成7个“山水工程”项目策划申报任务，确保符合国家山水工程项目申报要求。</w:t>
            </w:r>
          </w:p>
          <w:p>
            <w:pPr>
              <w:pStyle w:val="null3"/>
              <w:ind w:firstLine="643"/>
              <w:jc w:val="both"/>
            </w:pPr>
            <w:r>
              <w:rPr>
                <w:rFonts w:ascii="仿宋_GB2312" w:hAnsi="仿宋_GB2312" w:cs="仿宋_GB2312" w:eastAsia="仿宋_GB2312"/>
                <w:sz w:val="24"/>
              </w:rPr>
              <w:t>二、服务标准</w:t>
            </w:r>
          </w:p>
          <w:p>
            <w:pPr>
              <w:pStyle w:val="null3"/>
              <w:ind w:firstLine="643"/>
              <w:jc w:val="both"/>
            </w:pPr>
            <w:r>
              <w:rPr>
                <w:rFonts w:ascii="仿宋_GB2312" w:hAnsi="仿宋_GB2312" w:cs="仿宋_GB2312" w:eastAsia="仿宋_GB2312"/>
                <w:sz w:val="24"/>
              </w:rPr>
              <w:t xml:space="preserve"> </w:t>
            </w:r>
            <w:r>
              <w:rPr>
                <w:rFonts w:ascii="仿宋_GB2312" w:hAnsi="仿宋_GB2312" w:cs="仿宋_GB2312" w:eastAsia="仿宋_GB2312"/>
                <w:sz w:val="24"/>
              </w:rPr>
              <w:t>本项目服务工作严格遵循国家、行业及地方相关法律法规、政策文件与技术规范，确保成果科学合规、精准对标、可落地可申报，具体标准如下：</w:t>
            </w:r>
          </w:p>
          <w:p>
            <w:pPr>
              <w:pStyle w:val="null3"/>
              <w:ind w:firstLine="643"/>
              <w:jc w:val="both"/>
            </w:pPr>
            <w:r>
              <w:rPr>
                <w:rFonts w:ascii="仿宋_GB2312" w:hAnsi="仿宋_GB2312" w:cs="仿宋_GB2312" w:eastAsia="仿宋_GB2312"/>
                <w:sz w:val="24"/>
              </w:rPr>
              <w:t>1. 政策合规标准：严格贯彻《中华人民共和国环境保护法》《中华人民共和国黄河保护法》《中华人民共和国水土保持法》等法律法规；全面落实《重点生态保护修复治理资金管理办法》（财资环〔2026〕7号）、自然资源部等三部门《关于组织申报山水林田湖草沙一体化保护和修复工程项目的通知》（自然资办函〔2026〕282号）等文件要求，紧扣国家“十五五”山水工程支持方向，契合陕西省及渭南市生态保护修复总体部署  。</w:t>
            </w:r>
          </w:p>
          <w:p>
            <w:pPr>
              <w:pStyle w:val="null3"/>
              <w:ind w:firstLine="643"/>
              <w:jc w:val="both"/>
            </w:pPr>
            <w:r>
              <w:rPr>
                <w:rFonts w:ascii="仿宋_GB2312" w:hAnsi="仿宋_GB2312" w:cs="仿宋_GB2312" w:eastAsia="仿宋_GB2312"/>
                <w:sz w:val="24"/>
              </w:rPr>
              <w:t>2. 技术规范标准：严格执行《</w:t>
            </w:r>
            <w:r>
              <w:rPr>
                <w:rFonts w:ascii="仿宋_GB2312" w:hAnsi="仿宋_GB2312" w:cs="仿宋_GB2312" w:eastAsia="仿宋_GB2312"/>
                <w:sz w:val="24"/>
              </w:rPr>
              <w:t>山水林田湖草生态保护修复工程指南</w:t>
            </w:r>
            <w:r>
              <w:rPr>
                <w:rFonts w:ascii="仿宋_GB2312" w:hAnsi="仿宋_GB2312" w:cs="仿宋_GB2312" w:eastAsia="仿宋_GB2312"/>
                <w:sz w:val="24"/>
              </w:rPr>
              <w:t>》（征求意见稿）《</w:t>
            </w:r>
            <w:r>
              <w:rPr>
                <w:rFonts w:ascii="仿宋_GB2312" w:hAnsi="仿宋_GB2312" w:cs="仿宋_GB2312" w:eastAsia="仿宋_GB2312"/>
                <w:sz w:val="24"/>
              </w:rPr>
              <w:t>全国重要生态系统保护和修复重大工程总体规划（</w:t>
            </w:r>
            <w:r>
              <w:rPr>
                <w:rFonts w:ascii="仿宋_GB2312" w:hAnsi="仿宋_GB2312" w:cs="仿宋_GB2312" w:eastAsia="仿宋_GB2312"/>
                <w:sz w:val="24"/>
              </w:rPr>
              <w:t>2021-2035年）</w:t>
            </w:r>
            <w:r>
              <w:rPr>
                <w:rFonts w:ascii="仿宋_GB2312" w:hAnsi="仿宋_GB2312" w:cs="仿宋_GB2312" w:eastAsia="仿宋_GB2312"/>
                <w:sz w:val="24"/>
              </w:rPr>
              <w:t>》等规划、技术标准，科学开展生态环境问题诊断、目标设定与工程布局，确保项目符合</w:t>
            </w:r>
            <w:r>
              <w:rPr>
                <w:rFonts w:ascii="仿宋_GB2312" w:hAnsi="仿宋_GB2312" w:cs="仿宋_GB2312" w:eastAsia="仿宋_GB2312"/>
                <w:sz w:val="24"/>
              </w:rPr>
              <w:t>“保护优先、自然恢复为主，综合治理、系统治理、源头治理”原则。同时，严守生态保护红线、永久基本农田、城镇开发边界三条控制线，与国土空间规划、全域土地综合整治规划、地质环境保护规划等有效衔接。</w:t>
            </w:r>
          </w:p>
          <w:p>
            <w:pPr>
              <w:pStyle w:val="null3"/>
              <w:ind w:firstLine="643"/>
              <w:jc w:val="both"/>
            </w:pPr>
            <w:r>
              <w:rPr>
                <w:rFonts w:ascii="仿宋_GB2312" w:hAnsi="仿宋_GB2312" w:cs="仿宋_GB2312" w:eastAsia="仿宋_GB2312"/>
                <w:sz w:val="24"/>
              </w:rPr>
              <w:t>3. 成果质量标准：申报材料需做到内容完整、逻辑严谨、文本规范，符合国家山水工程项目申报格式与深度要求；项目谋划需立足大荔县地处黄河流域、渭洛河三河交汇的区位特点，聚焦水土流失治理、湿地保护修复、农田生态提升、防沙治沙等核心任务，突出区域特色与示范价值；绩效预期目标设定与工程内容、资金投入相匹配，涵盖生态效益、社会效益、经济效益指标。</w:t>
            </w:r>
          </w:p>
          <w:p>
            <w:pPr>
              <w:pStyle w:val="null3"/>
              <w:ind w:firstLine="643"/>
              <w:jc w:val="both"/>
            </w:pPr>
            <w:r>
              <w:rPr>
                <w:rFonts w:ascii="仿宋_GB2312" w:hAnsi="仿宋_GB2312" w:cs="仿宋_GB2312" w:eastAsia="仿宋_GB2312"/>
                <w:sz w:val="24"/>
              </w:rPr>
              <w:t xml:space="preserve"> </w:t>
            </w:r>
            <w:r>
              <w:rPr>
                <w:rFonts w:ascii="仿宋_GB2312" w:hAnsi="仿宋_GB2312" w:cs="仿宋_GB2312" w:eastAsia="仿宋_GB2312"/>
                <w:sz w:val="24"/>
              </w:rPr>
              <w:t>三、服务要求</w:t>
            </w:r>
          </w:p>
          <w:p>
            <w:pPr>
              <w:pStyle w:val="null3"/>
              <w:ind w:firstLine="643"/>
              <w:jc w:val="both"/>
            </w:pPr>
            <w:r>
              <w:rPr>
                <w:rFonts w:ascii="仿宋_GB2312" w:hAnsi="仿宋_GB2312" w:cs="仿宋_GB2312" w:eastAsia="仿宋_GB2312"/>
                <w:sz w:val="24"/>
              </w:rPr>
              <w:t>为保障本项目服务质量与进度，确保项目成功申报，现提出以下服务要求，服务单位须严格遵照执行：</w:t>
            </w:r>
          </w:p>
          <w:p>
            <w:pPr>
              <w:pStyle w:val="null3"/>
              <w:ind w:firstLine="643"/>
              <w:jc w:val="both"/>
            </w:pPr>
            <w:r>
              <w:rPr>
                <w:rFonts w:ascii="仿宋_GB2312" w:hAnsi="仿宋_GB2312" w:cs="仿宋_GB2312" w:eastAsia="仿宋_GB2312"/>
                <w:sz w:val="24"/>
              </w:rPr>
              <w:t xml:space="preserve"> </w:t>
            </w:r>
            <w:r>
              <w:rPr>
                <w:rFonts w:ascii="仿宋_GB2312" w:hAnsi="仿宋_GB2312" w:cs="仿宋_GB2312" w:eastAsia="仿宋_GB2312"/>
                <w:sz w:val="24"/>
              </w:rPr>
              <w:t>1. 人员与资质要求：服务单位须组建专业服务团队，且具有申报省级及以上山水工程项目策划申报经验；团队核心成员需包含土地、规划、水利、林业、农业、造价等相关专业技术人员，专业配置齐全，人员稳定，不得随意更换核心人员。</w:t>
            </w:r>
          </w:p>
          <w:p>
            <w:pPr>
              <w:pStyle w:val="null3"/>
              <w:ind w:firstLine="643"/>
              <w:jc w:val="both"/>
            </w:pPr>
            <w:r>
              <w:rPr>
                <w:rFonts w:ascii="仿宋_GB2312" w:hAnsi="仿宋_GB2312" w:cs="仿宋_GB2312" w:eastAsia="仿宋_GB2312"/>
                <w:sz w:val="24"/>
              </w:rPr>
              <w:t>2. 进度与时限要求：服务单位须在合同签订后确定服务实施进度计划，明确各阶段工作内容、时间节点；严格按照进度计划推进工作，确保在规定时限内完成相关区域生态环境问题识别、项目谋划、报告编制等工作，按时提交成果，不得无故拖延工期。</w:t>
            </w:r>
          </w:p>
          <w:p>
            <w:pPr>
              <w:pStyle w:val="null3"/>
              <w:ind w:firstLine="643"/>
              <w:jc w:val="both"/>
            </w:pPr>
            <w:r>
              <w:rPr>
                <w:rFonts w:ascii="仿宋_GB2312" w:hAnsi="仿宋_GB2312" w:cs="仿宋_GB2312" w:eastAsia="仿宋_GB2312"/>
                <w:sz w:val="24"/>
              </w:rPr>
              <w:t>3. 质量与责任要求：服务单位须坚持实事求是、科学严谨的工作态度；项目谋划与材料编制须充分结合大荔县实际，精准对接国家政策与申报要求，确保成果具有可行性与可实施性。</w:t>
            </w:r>
          </w:p>
          <w:p>
            <w:pPr>
              <w:pStyle w:val="null3"/>
              <w:ind w:firstLine="643"/>
              <w:jc w:val="both"/>
            </w:pPr>
            <w:r>
              <w:rPr>
                <w:rFonts w:ascii="仿宋_GB2312" w:hAnsi="仿宋_GB2312" w:cs="仿宋_GB2312" w:eastAsia="仿宋_GB2312"/>
                <w:sz w:val="24"/>
              </w:rPr>
              <w:t>4. 沟通与配合要求：服务单位须建立常态化沟通机制，指定专人作为对接联系人，每周向我方提交工作进展报告，及时汇报工作推进情况、存在问题及解决方案；积极配合我方组织的调研、座谈等会议，主动对接上级主管部门，及时响应修改意见，高效完成材料调整完善；严格遵守我方相关管理规定，妥善保管项目相关资料，不得泄露涉密信息，服务过程中形成的所有成果资料所有权归我方所有。</w:t>
            </w:r>
          </w:p>
          <w:p>
            <w:pPr>
              <w:pStyle w:val="null3"/>
              <w:spacing w:after="120"/>
              <w:ind w:firstLine="643"/>
              <w:jc w:val="both"/>
            </w:pPr>
            <w:r>
              <w:rPr>
                <w:rFonts w:ascii="仿宋_GB2312" w:hAnsi="仿宋_GB2312" w:cs="仿宋_GB2312" w:eastAsia="仿宋_GB2312"/>
                <w:sz w:val="24"/>
              </w:rPr>
              <w:t>四、成果要求</w:t>
            </w:r>
          </w:p>
          <w:p>
            <w:pPr>
              <w:pStyle w:val="null3"/>
            </w:pPr>
            <w:r>
              <w:rPr>
                <w:rFonts w:ascii="仿宋_GB2312" w:hAnsi="仿宋_GB2312" w:cs="仿宋_GB2312" w:eastAsia="仿宋_GB2312"/>
                <w:sz w:val="24"/>
              </w:rPr>
              <w:t>纸质版文件</w:t>
            </w:r>
            <w:r>
              <w:rPr>
                <w:rFonts w:ascii="仿宋_GB2312" w:hAnsi="仿宋_GB2312" w:cs="仿宋_GB2312" w:eastAsia="仿宋_GB2312"/>
                <w:sz w:val="24"/>
              </w:rPr>
              <w:t>6套，电子版文件1套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按照项目实际情况进行配置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按照项目实际情况进行配置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按照项目实际情况进行配置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大荔县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具体工作的质量标准和作业规范，按国家标准、行业标准、有关技术规范要求及招标文件、投标文件规定的内容执行。乙方提供的成果资料符合国家标准、行业标准以及有关技术规范要求。确保符合国家山水工程项目申报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中标人提供项目启动所需资料造成服务期延误，每延误1日则本合同服务周期限延长1日，以此类推；因资料真实性给中标人造成损失和产生相关连带责任时，采购人除按中标人要求进行赔偿外还需承担因连带责任产生的所有责任。 （二）因中标人原因造成服务期延误（自然灾害、疫情等不可抗力除外），采购人有权从未付款项中按每日3‰合同价款扣除违约金，此违约以30日为限。</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具有独立承担民事责任的能力的企业法人、其他组织或者自然人。</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提供2024年度或2025年度完整审计报告，成立时间至提交投标文件截止时间不足1年的提供开标前一个月内基本存款账户开户银行出具的资信证明。2.社会保障资金缴纳证明：提供投标文件递交截止时间前12个月内任意一个月的社保缴费凭据或社保机构开具的社会保险参保缴费情况证明；依法不需要缴纳社会保障资金的供应商应提供相关文件证明。3.税收缴纳证明：提供投标文件递交截止 时间前12个月内任意一个月的缴费凭据；依法免税的应提供相关文件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法定代表人授权书或法定代表人身份证明书</w:t>
            </w:r>
          </w:p>
        </w:tc>
        <w:tc>
          <w:tcPr>
            <w:tcW w:type="dxa" w:w="3322"/>
          </w:tcPr>
          <w:p>
            <w:pPr>
              <w:pStyle w:val="null3"/>
            </w:pPr>
            <w:r>
              <w:rPr>
                <w:rFonts w:ascii="仿宋_GB2312" w:hAnsi="仿宋_GB2312" w:cs="仿宋_GB2312" w:eastAsia="仿宋_GB2312"/>
              </w:rPr>
              <w:t>为企业法定代表人出具，信息真实合法有效，附有法定代表人和被委托人身份证复印件且人证相符（若法定代表人直接参加投标会则须提供法定代表人身份证明及法定代表人身份证复印件）；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具有地质灾害评估和治理工程勘查设计乙级及以上资质和土地规划乙级及以上资质，项目负责人具备相关专业高级工程师资格。</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按竞争性磋商文件要求进行签章</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响应文件封面 残疾人福利性单位声明函 服务方案 标的清单 供应商资格证明文件.docx 人员配备一览表.docx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响应文件封面 费用组成表.docx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w:t>
            </w:r>
          </w:p>
        </w:tc>
        <w:tc>
          <w:tcPr>
            <w:tcW w:type="dxa" w:w="3322"/>
          </w:tcPr>
          <w:p>
            <w:pPr>
              <w:pStyle w:val="null3"/>
            </w:pPr>
            <w:r>
              <w:rPr>
                <w:rFonts w:ascii="仿宋_GB2312" w:hAnsi="仿宋_GB2312" w:cs="仿宋_GB2312" w:eastAsia="仿宋_GB2312"/>
              </w:rPr>
              <w:t>（1）符合商务、技术要求，不存在重大负偏离（2）未附有采购人不能接受的条件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服务内容及服务邀请应答表 中小企业声明函 费用组成表.docx 商务应答表 业绩证明文件.docx 响应文件封面 残疾人福利性单位声明函 服务方案 标的清单 供应商资格证明文件.docx 人员配备一览表.docx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投标人提供针对本项目需求，提供详细、清晰、科学、合理的服务方案，包含但不限于：①基于县域生态环境问题现状收集②编制标准规范方案③工作流程④数据整理⑤策划编制能力⑥实施保障措施。 以上内容无缺项，专门针对本项目编制，符合本项目实际情况，内容全面详细，且条理清晰、准确、合理，能够保障项目顺利实施的每小项得4分。每小项缺项或者内容非针对于本项目的扣4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投标人针对项目特点和执行要求制定具体的管理方案，包含但不限于：①项目组织的工作团队；②内部监督检查制度；③质量及安全把关制度；④纪律约束制度等；⑤投入人员安全生产管理制度。 以上内容无缺项，专门针对本项目编制，符合本项目实际情况，内容全面详细，且条理清晰、准确、合理，能够保障项目顺利实施的每小项得4分。每小项缺项或者内容非针对于本项目的扣4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投标人针对本项目提供的质量保证措施：包含但不限于①质量管理制度；②质量控制措施。 以上内容无缺项，专门针对本项目编制，符合本项目实际情况，内容全面详细，且条理清晰、准确、合理，能够保障项目顺利实施的每小项得4分。每小项缺项或者内容非针对于本项目的扣4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投标人针对本项目提供的进度计划保障措施：包含但不限于①总体进度计划保证措施；②重要时间节点保证措施。 以上内容无缺项，专门针对本项目编制，符合本项目实际情况，内容全面详细，且条理清晰、准确、合理，能够保障项目顺利实施的每小项得4分。每小项缺项或者内容非针对于本项目的扣4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重、难点分析方案</w:t>
            </w:r>
          </w:p>
        </w:tc>
        <w:tc>
          <w:tcPr>
            <w:tcW w:type="dxa" w:w="2492"/>
          </w:tcPr>
          <w:p>
            <w:pPr>
              <w:pStyle w:val="null3"/>
            </w:pPr>
            <w:r>
              <w:rPr>
                <w:rFonts w:ascii="仿宋_GB2312" w:hAnsi="仿宋_GB2312" w:cs="仿宋_GB2312" w:eastAsia="仿宋_GB2312"/>
              </w:rPr>
              <w:t>投标人针对本项目重、难点分析方案：包含但不限于①重难点分析；②重难点解决对策。 以上内容无缺项，专门针对本项目编制，符合本项目实际情况，内容全面详细，且条理清晰、准确、合理，能够保障项目顺利实施的每小项得2分。每小项缺项或者内容非针对于本项目的扣2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服务承诺、合理化建议</w:t>
            </w:r>
          </w:p>
        </w:tc>
        <w:tc>
          <w:tcPr>
            <w:tcW w:type="dxa" w:w="2492"/>
          </w:tcPr>
          <w:p>
            <w:pPr>
              <w:pStyle w:val="null3"/>
            </w:pPr>
            <w:r>
              <w:rPr>
                <w:rFonts w:ascii="仿宋_GB2312" w:hAnsi="仿宋_GB2312" w:cs="仿宋_GB2312" w:eastAsia="仿宋_GB2312"/>
              </w:rPr>
              <w:t>投标人针对本项目有具体的服务承诺、合理化建议及意见：包含但不限于①服务承诺；②合理化建议及意见。 以上内容无缺项，专门针对本项目编制，符合本项目实际情况，内容全面详细，且条理清晰、准确、合理，能够保障项目顺利实施的每小项得2分。每小项缺项或者内容非针对于本项目的扣2分，每小项有一处缺陷的扣1分，扣完为止。（缺陷是指：内容不完整、条理不清晰、缺少关键点、方案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项目主要成员（不含项目负责人）具有相关专业高级及以上的职称，每提供一名得2分，最高得10分。 提供相关证明资料，无资料不得分。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人员配备一览表.docx</w:t>
            </w:r>
          </w:p>
        </w:tc>
      </w:tr>
      <w:tr>
        <w:tc>
          <w:tcPr>
            <w:tcW w:type="dxa" w:w="831"/>
            <w:vMerge/>
          </w:tcPr>
          <w:p/>
        </w:tc>
        <w:tc>
          <w:tcPr>
            <w:tcW w:type="dxa" w:w="1661"/>
          </w:tcPr>
          <w:p>
            <w:pPr>
              <w:pStyle w:val="null3"/>
            </w:pPr>
            <w:r>
              <w:rPr>
                <w:rFonts w:ascii="仿宋_GB2312" w:hAnsi="仿宋_GB2312" w:cs="仿宋_GB2312" w:eastAsia="仿宋_GB2312"/>
              </w:rPr>
              <w:t>安全保密</w:t>
            </w:r>
          </w:p>
        </w:tc>
        <w:tc>
          <w:tcPr>
            <w:tcW w:type="dxa" w:w="2492"/>
          </w:tcPr>
          <w:p>
            <w:pPr>
              <w:pStyle w:val="null3"/>
            </w:pPr>
            <w:r>
              <w:rPr>
                <w:rFonts w:ascii="仿宋_GB2312" w:hAnsi="仿宋_GB2312" w:cs="仿宋_GB2312" w:eastAsia="仿宋_GB2312"/>
              </w:rPr>
              <w:t>针对本项目提供详细的保密措施，措施及方案科学合理，完全满足项目需求计2分；措施及方法合理，基本满足项目需求计1分；措施及方法简单，不利于项目实施计0分。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投标人具有2023年5月1日以来(以合同签订时间为准)类似业绩，每提供一份合同得1分，最高得5分。 评审材料:投标文件中提供完整合同复印件并加盖投标人公章，未提供或提供不完整的不得分。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vMerge/>
          </w:tcPr>
          <w:p/>
        </w:tc>
        <w:tc>
          <w:tcPr>
            <w:tcW w:type="dxa" w:w="1661"/>
          </w:tcPr>
          <w:p>
            <w:pPr>
              <w:pStyle w:val="null3"/>
            </w:pPr>
            <w:r>
              <w:rPr>
                <w:rFonts w:ascii="仿宋_GB2312" w:hAnsi="仿宋_GB2312" w:cs="仿宋_GB2312" w:eastAsia="仿宋_GB2312"/>
              </w:rPr>
              <w:t>后续服务计划</w:t>
            </w:r>
          </w:p>
        </w:tc>
        <w:tc>
          <w:tcPr>
            <w:tcW w:type="dxa" w:w="2492"/>
          </w:tcPr>
          <w:p>
            <w:pPr>
              <w:pStyle w:val="null3"/>
            </w:pPr>
            <w:r>
              <w:rPr>
                <w:rFonts w:ascii="仿宋_GB2312" w:hAnsi="仿宋_GB2312" w:cs="仿宋_GB2312" w:eastAsia="仿宋_GB2312"/>
              </w:rPr>
              <w:t>根据投标人针对本项目制定的后续服务计划是否详细、合理，0-5分，未提供不得分。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费用组成表.docx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详见附件：费用组成表.docx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详见附件：人员配备一览表.docx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