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sz w:val="21"/>
          <w:szCs w:val="21"/>
          <w:highlight w:val="none"/>
        </w:rPr>
      </w:pPr>
      <w:bookmarkStart w:id="0" w:name="_Toc8220"/>
      <w:bookmarkStart w:id="1" w:name="_Toc16146"/>
      <w:bookmarkStart w:id="2" w:name="_Toc20972"/>
      <w:r>
        <w:rPr>
          <w:rFonts w:hint="eastAsia" w:ascii="仿宋_GB2312" w:hAnsi="仿宋_GB2312" w:eastAsia="仿宋_GB2312" w:cs="仿宋_GB2312"/>
          <w:sz w:val="21"/>
          <w:szCs w:val="21"/>
          <w:highlight w:val="none"/>
        </w:rPr>
        <w:fldChar w:fldCharType="begin"/>
      </w:r>
      <w:r>
        <w:rPr>
          <w:rFonts w:hint="eastAsia" w:ascii="仿宋_GB2312" w:hAnsi="仿宋_GB2312" w:eastAsia="仿宋_GB2312" w:cs="仿宋_GB2312"/>
          <w:sz w:val="21"/>
          <w:szCs w:val="21"/>
          <w:highlight w:val="none"/>
        </w:rPr>
        <w:instrText xml:space="preserve"> HYPERLINK \l _Toc19385 </w:instrText>
      </w:r>
      <w:r>
        <w:rPr>
          <w:rFonts w:hint="eastAsia" w:ascii="仿宋_GB2312" w:hAnsi="仿宋_GB2312" w:eastAsia="仿宋_GB2312" w:cs="仿宋_GB2312"/>
          <w:sz w:val="21"/>
          <w:szCs w:val="21"/>
          <w:highlight w:val="none"/>
        </w:rPr>
        <w:fldChar w:fldCharType="separate"/>
      </w:r>
      <w:r>
        <w:rPr>
          <w:rFonts w:hint="eastAsia" w:ascii="仿宋_GB2312" w:hAnsi="仿宋_GB2312" w:eastAsia="仿宋_GB2312" w:cs="仿宋_GB2312"/>
          <w:b/>
          <w:bCs/>
          <w:sz w:val="21"/>
          <w:szCs w:val="21"/>
          <w:highlight w:val="none"/>
        </w:rPr>
        <w:t>1、供应商具有独立承担民事责任的能力</w:t>
      </w:r>
      <w:r>
        <w:rPr>
          <w:rFonts w:hint="eastAsia" w:ascii="仿宋_GB2312" w:hAnsi="仿宋_GB2312" w:eastAsia="仿宋_GB2312" w:cs="仿宋_GB2312"/>
          <w:sz w:val="21"/>
          <w:szCs w:val="21"/>
          <w:highlight w:val="none"/>
        </w:rPr>
        <w:fldChar w:fldCharType="end"/>
      </w:r>
      <w:bookmarkEnd w:id="0"/>
      <w:bookmarkEnd w:id="1"/>
      <w:bookmarkEnd w:id="2"/>
    </w:p>
    <w:p w14:paraId="64417559">
      <w:pPr>
        <w:pStyle w:val="22"/>
        <w:pageBreakBefore w:val="0"/>
        <w:widowControl/>
        <w:kinsoku/>
        <w:overflowPunct/>
        <w:bidi w:val="0"/>
        <w:spacing w:before="0" w:after="0" w:line="500" w:lineRule="exact"/>
        <w:ind w:firstLine="420" w:firstLineChars="200"/>
        <w:jc w:val="both"/>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B03262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EC62CE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B091E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DF51BF8">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B705CDF">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EC81EF3">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A21EC9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F49BD19">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2026E4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22A85E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3C3BB6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A4DB080">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93EE1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66B5046">
      <w:pPr>
        <w:pStyle w:val="22"/>
        <w:pageBreakBefore w:val="0"/>
        <w:widowControl/>
        <w:kinsoku/>
        <w:overflowPunct/>
        <w:bidi w:val="0"/>
        <w:spacing w:line="500" w:lineRule="exact"/>
        <w:ind w:firstLine="0"/>
        <w:jc w:val="both"/>
        <w:rPr>
          <w:rFonts w:hint="eastAsia" w:ascii="仿宋_GB2312" w:hAnsi="仿宋_GB2312" w:eastAsia="仿宋_GB2312" w:cs="仿宋_GB2312"/>
          <w:b/>
          <w:bCs/>
          <w:sz w:val="21"/>
          <w:szCs w:val="21"/>
          <w:highlight w:val="none"/>
        </w:rPr>
      </w:pPr>
    </w:p>
    <w:p w14:paraId="599CEEC5">
      <w:pPr>
        <w:pStyle w:val="22"/>
        <w:pageBreakBefore w:val="0"/>
        <w:widowControl/>
        <w:kinsoku/>
        <w:overflowPunct/>
        <w:bidi w:val="0"/>
        <w:spacing w:line="500" w:lineRule="exact"/>
        <w:ind w:firstLine="0"/>
        <w:jc w:val="center"/>
        <w:rPr>
          <w:rFonts w:hint="eastAsia" w:ascii="仿宋_GB2312" w:hAnsi="仿宋_GB2312" w:eastAsia="仿宋_GB2312" w:cs="仿宋_GB2312"/>
          <w:b/>
          <w:bCs/>
          <w:sz w:val="21"/>
          <w:szCs w:val="21"/>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b/>
          <w:bCs/>
          <w:sz w:val="21"/>
          <w:szCs w:val="21"/>
          <w:highlight w:val="none"/>
        </w:rPr>
      </w:pPr>
      <w:bookmarkStart w:id="3" w:name="_Toc304"/>
      <w:r>
        <w:rPr>
          <w:rFonts w:hint="eastAsia" w:ascii="仿宋_GB2312" w:hAnsi="仿宋_GB2312" w:eastAsia="仿宋_GB2312" w:cs="仿宋_GB2312"/>
          <w:b/>
          <w:bCs/>
          <w:sz w:val="21"/>
          <w:szCs w:val="21"/>
          <w:highlight w:val="none"/>
        </w:rPr>
        <w:fldChar w:fldCharType="begin"/>
      </w:r>
      <w:r>
        <w:rPr>
          <w:rFonts w:hint="eastAsia" w:ascii="仿宋_GB2312" w:hAnsi="仿宋_GB2312" w:eastAsia="仿宋_GB2312" w:cs="仿宋_GB2312"/>
          <w:b/>
          <w:bCs/>
          <w:sz w:val="21"/>
          <w:szCs w:val="21"/>
          <w:highlight w:val="none"/>
        </w:rPr>
        <w:instrText xml:space="preserve"> HYPERLINK \l _Toc3988 </w:instrText>
      </w:r>
      <w:r>
        <w:rPr>
          <w:rFonts w:hint="eastAsia" w:ascii="仿宋_GB2312" w:hAnsi="仿宋_GB2312" w:eastAsia="仿宋_GB2312" w:cs="仿宋_GB2312"/>
          <w:b/>
          <w:bCs/>
          <w:sz w:val="21"/>
          <w:szCs w:val="21"/>
          <w:highlight w:val="none"/>
        </w:rPr>
        <w:fldChar w:fldCharType="separate"/>
      </w:r>
      <w:r>
        <w:rPr>
          <w:rFonts w:hint="eastAsia" w:ascii="仿宋_GB2312" w:hAnsi="仿宋_GB2312" w:eastAsia="仿宋_GB2312" w:cs="仿宋_GB2312"/>
          <w:b/>
          <w:bCs/>
          <w:sz w:val="21"/>
          <w:szCs w:val="21"/>
          <w:highlight w:val="none"/>
        </w:rPr>
        <w:t>2、供应商授权合法的人员参加投标全过程</w:t>
      </w:r>
      <w:r>
        <w:rPr>
          <w:rFonts w:hint="eastAsia" w:ascii="仿宋_GB2312" w:hAnsi="仿宋_GB2312" w:eastAsia="仿宋_GB2312" w:cs="仿宋_GB2312"/>
          <w:b/>
          <w:bCs/>
          <w:sz w:val="21"/>
          <w:szCs w:val="21"/>
          <w:highlight w:val="none"/>
        </w:rPr>
        <w:fldChar w:fldCharType="end"/>
      </w:r>
      <w:bookmarkEnd w:id="3"/>
    </w:p>
    <w:p w14:paraId="5B792B14">
      <w:pPr>
        <w:pStyle w:val="23"/>
        <w:pageBreakBefore w:val="0"/>
        <w:kinsoku/>
        <w:overflowPunct/>
        <w:bidi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b/>
          <w:bCs/>
          <w:sz w:val="21"/>
          <w:szCs w:val="21"/>
          <w:highlight w:val="none"/>
        </w:rPr>
        <w:t>2.1法定代表人身份证明书</w:t>
      </w:r>
    </w:p>
    <w:p w14:paraId="24E017AD">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 </w:t>
      </w:r>
    </w:p>
    <w:p w14:paraId="3E587940">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单位性质：</w:t>
      </w:r>
      <w:r>
        <w:rPr>
          <w:rFonts w:hint="eastAsia" w:ascii="仿宋_GB2312" w:hAnsi="仿宋_GB2312" w:eastAsia="仿宋_GB2312" w:cs="仿宋_GB2312"/>
          <w:sz w:val="21"/>
          <w:szCs w:val="21"/>
          <w:highlight w:val="none"/>
          <w:u w:val="single"/>
        </w:rPr>
        <w:t xml:space="preserve">                                  . </w:t>
      </w:r>
    </w:p>
    <w:p w14:paraId="32FF2678">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    址：</w:t>
      </w:r>
      <w:r>
        <w:rPr>
          <w:rFonts w:hint="eastAsia" w:ascii="仿宋_GB2312" w:hAnsi="仿宋_GB2312" w:eastAsia="仿宋_GB2312" w:cs="仿宋_GB2312"/>
          <w:sz w:val="21"/>
          <w:szCs w:val="21"/>
          <w:highlight w:val="none"/>
          <w:u w:val="single"/>
        </w:rPr>
        <w:t xml:space="preserve">                                  . </w:t>
      </w:r>
    </w:p>
    <w:p w14:paraId="0A6F54F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成立时间：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42BCAC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经营期限：</w:t>
      </w:r>
      <w:r>
        <w:rPr>
          <w:rFonts w:hint="eastAsia" w:ascii="仿宋_GB2312" w:hAnsi="仿宋_GB2312" w:eastAsia="仿宋_GB2312" w:cs="仿宋_GB2312"/>
          <w:sz w:val="21"/>
          <w:szCs w:val="21"/>
          <w:highlight w:val="none"/>
          <w:u w:val="single"/>
        </w:rPr>
        <w:t xml:space="preserve">       .</w:t>
      </w:r>
    </w:p>
    <w:p w14:paraId="76E32F1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 xml:space="preserve"> 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职务：</w:t>
      </w:r>
      <w:r>
        <w:rPr>
          <w:rFonts w:hint="eastAsia" w:ascii="仿宋_GB2312" w:hAnsi="仿宋_GB2312" w:eastAsia="仿宋_GB2312" w:cs="仿宋_GB2312"/>
          <w:sz w:val="21"/>
          <w:szCs w:val="21"/>
          <w:highlight w:val="none"/>
          <w:u w:val="single"/>
        </w:rPr>
        <w:t xml:space="preserve">        .         </w:t>
      </w:r>
    </w:p>
    <w:p w14:paraId="43AE3C21">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系</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的法定代表人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p>
    <w:p w14:paraId="5AE03AD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5A3627A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特此证明</w:t>
      </w:r>
    </w:p>
    <w:p w14:paraId="12AB81D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4A594EAD">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正反面</w:t>
            </w:r>
          </w:p>
        </w:tc>
      </w:tr>
    </w:tbl>
    <w:p w14:paraId="0AD6BF0D">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4151FAD4">
      <w:pPr>
        <w:pStyle w:val="23"/>
        <w:pageBreakBefore w:val="0"/>
        <w:kinsoku/>
        <w:overflowPunct/>
        <w:bidi w:val="0"/>
        <w:spacing w:line="500" w:lineRule="exact"/>
        <w:jc w:val="righ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（公章）</w:t>
      </w:r>
    </w:p>
    <w:p w14:paraId="507D52E9">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1663BCCC">
      <w:pPr>
        <w:pageBreakBefore w:val="0"/>
        <w:kinsoku/>
        <w:overflowPunct/>
        <w:bidi w:val="0"/>
        <w:spacing w:line="500" w:lineRule="exact"/>
        <w:jc w:val="right"/>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 xml:space="preserve"> </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6AD64C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720549C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49E796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82C55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06642D0">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注册于</w:t>
      </w:r>
      <w:r>
        <w:rPr>
          <w:rFonts w:hint="eastAsia" w:ascii="仿宋_GB2312" w:hAnsi="仿宋_GB2312" w:eastAsia="仿宋_GB2312" w:cs="仿宋_GB2312"/>
          <w:sz w:val="21"/>
          <w:szCs w:val="21"/>
          <w:highlight w:val="none"/>
          <w:u w:val="single"/>
        </w:rPr>
        <w:t>（工商行政管理局名称）</w:t>
      </w:r>
      <w:r>
        <w:rPr>
          <w:rFonts w:hint="eastAsia" w:ascii="仿宋_GB2312" w:hAnsi="仿宋_GB2312" w:eastAsia="仿宋_GB2312" w:cs="仿宋_GB2312"/>
          <w:sz w:val="21"/>
          <w:szCs w:val="21"/>
          <w:highlight w:val="none"/>
        </w:rPr>
        <w:t>之</w:t>
      </w:r>
      <w:r>
        <w:rPr>
          <w:rFonts w:hint="eastAsia" w:ascii="仿宋_GB2312" w:hAnsi="仿宋_GB2312" w:eastAsia="仿宋_GB2312" w:cs="仿宋_GB2312"/>
          <w:sz w:val="21"/>
          <w:szCs w:val="21"/>
          <w:highlight w:val="none"/>
          <w:u w:val="single"/>
        </w:rPr>
        <w:t>（供应商全称）</w:t>
      </w: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u w:val="single"/>
        </w:rPr>
        <w:t>（姓名、职务）</w:t>
      </w:r>
      <w:r>
        <w:rPr>
          <w:rFonts w:hint="eastAsia" w:ascii="仿宋_GB2312" w:hAnsi="仿宋_GB2312" w:eastAsia="仿宋_GB2312" w:cs="仿宋_GB2312"/>
          <w:sz w:val="21"/>
          <w:szCs w:val="21"/>
          <w:highlight w:val="none"/>
        </w:rPr>
        <w:t>授权</w:t>
      </w:r>
      <w:r>
        <w:rPr>
          <w:rFonts w:hint="eastAsia" w:ascii="仿宋_GB2312" w:hAnsi="仿宋_GB2312" w:eastAsia="仿宋_GB2312" w:cs="仿宋_GB2312"/>
          <w:sz w:val="21"/>
          <w:szCs w:val="21"/>
          <w:highlight w:val="none"/>
          <w:u w:val="single"/>
        </w:rPr>
        <w:t>（被授权委托人姓名、职务）</w:t>
      </w:r>
      <w:r>
        <w:rPr>
          <w:rFonts w:hint="eastAsia" w:ascii="仿宋_GB2312" w:hAnsi="仿宋_GB2312" w:eastAsia="仿宋_GB2312" w:cs="仿宋_GB2312"/>
          <w:sz w:val="21"/>
          <w:szCs w:val="21"/>
          <w:highlight w:val="none"/>
        </w:rPr>
        <w:t>为本公司的合法代理人，就</w:t>
      </w:r>
      <w:r>
        <w:rPr>
          <w:rFonts w:hint="eastAsia" w:ascii="仿宋_GB2312" w:hAnsi="仿宋_GB2312" w:eastAsia="仿宋_GB2312" w:cs="仿宋_GB2312"/>
          <w:sz w:val="21"/>
          <w:szCs w:val="21"/>
          <w:highlight w:val="none"/>
          <w:u w:val="single"/>
        </w:rPr>
        <w:t>（项目名称）</w:t>
      </w:r>
      <w:r>
        <w:rPr>
          <w:rFonts w:hint="eastAsia" w:ascii="仿宋_GB2312" w:hAnsi="仿宋_GB2312" w:eastAsia="仿宋_GB2312" w:cs="仿宋_GB2312"/>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附：被授权委托人姓名：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职    务：</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身份证号码：</w:t>
      </w:r>
      <w:r>
        <w:rPr>
          <w:rFonts w:hint="eastAsia" w:ascii="仿宋_GB2312" w:hAnsi="仿宋_GB2312" w:eastAsia="仿宋_GB2312" w:cs="仿宋_GB2312"/>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通讯地址：</w:t>
      </w:r>
      <w:r>
        <w:rPr>
          <w:rFonts w:hint="eastAsia" w:ascii="仿宋_GB2312" w:hAnsi="仿宋_GB2312" w:eastAsia="仿宋_GB2312" w:cs="仿宋_GB2312"/>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邮政编码：</w:t>
      </w:r>
      <w:r>
        <w:rPr>
          <w:rFonts w:hint="eastAsia" w:ascii="仿宋_GB2312" w:hAnsi="仿宋_GB2312" w:eastAsia="仿宋_GB2312" w:cs="仿宋_GB2312"/>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电    话：</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传真：</w:t>
      </w:r>
      <w:r>
        <w:rPr>
          <w:rFonts w:hint="eastAsia" w:ascii="仿宋_GB2312" w:hAnsi="仿宋_GB2312" w:eastAsia="仿宋_GB2312" w:cs="仿宋_GB2312"/>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16188BB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、被授权委托人身份证复印件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0D158C93">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rPr>
      </w:pPr>
    </w:p>
    <w:p w14:paraId="77E5AA0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      章）</w:t>
      </w:r>
    </w:p>
    <w:p w14:paraId="7BEC8B6E">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      字）</w:t>
      </w:r>
    </w:p>
    <w:p w14:paraId="409D6310">
      <w:pPr>
        <w:pageBreakBefore w:val="0"/>
        <w:kinsoku/>
        <w:overflowPunct/>
        <w:bidi w:val="0"/>
        <w:spacing w:line="500" w:lineRule="exact"/>
        <w:ind w:firstLine="420" w:firstLineChars="200"/>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 xml:space="preserve">          授权日期：</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E79B4DA">
      <w:pPr>
        <w:pageBreakBefore w:val="0"/>
        <w:kinsoku/>
        <w:overflowPunct/>
        <w:bidi w:val="0"/>
        <w:spacing w:line="500" w:lineRule="exact"/>
        <w:rPr>
          <w:rFonts w:hint="eastAsia" w:ascii="仿宋_GB2312" w:hAnsi="仿宋_GB2312" w:eastAsia="仿宋_GB2312" w:cs="仿宋_GB2312"/>
          <w:sz w:val="21"/>
          <w:szCs w:val="21"/>
          <w:highlight w:val="none"/>
        </w:rPr>
      </w:pPr>
    </w:p>
    <w:p w14:paraId="133764CF">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F0556DA">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666365A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918899">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4" w:name="_Toc3610"/>
      <w:r>
        <w:rPr>
          <w:rFonts w:hint="eastAsia" w:ascii="仿宋_GB2312" w:hAnsi="仿宋_GB2312" w:eastAsia="仿宋_GB2312" w:cs="仿宋_GB2312"/>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提供2024年度或2025年度财务审计报告（成立时间至提交响应文件截止时间不足一年的可提供开标前一个月内其基本存款账户开户银行出具的资信证明及基本存款账户开户证明资料）。</w:t>
      </w:r>
    </w:p>
    <w:p w14:paraId="56F9AE7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DC93A0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723DA98">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1E3FBC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AAC302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77D796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92D67C1">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2BF63CE">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F80809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44B6D9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7297524">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A52F1B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5B0A1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152B6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3C25A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A17BFA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2C55EF">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E46CD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99C3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52939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C62947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6DE18CD">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7F0D76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1D0097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15202B3">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5" w:name="_Toc9068"/>
      <w:r>
        <w:rPr>
          <w:rFonts w:hint="eastAsia" w:ascii="仿宋_GB2312" w:hAnsi="仿宋_GB2312" w:eastAsia="仿宋_GB2312" w:cs="仿宋_GB2312"/>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D1AD7F2">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9DF444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7C2E4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080B79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5421DE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3D8AF8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DBE1B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F43BF8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CB2818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6CB1C3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85C8F3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5B8E0A">
      <w:pP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br w:type="page"/>
      </w:r>
    </w:p>
    <w:p w14:paraId="26091AC1">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5</w:t>
      </w:r>
      <w:r>
        <w:rPr>
          <w:rFonts w:hint="eastAsia" w:ascii="仿宋_GB2312" w:hAnsi="仿宋_GB2312" w:eastAsia="仿宋_GB2312" w:cs="仿宋_GB2312"/>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75474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F2B3B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E268CF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2163AA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63F5CC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B8AD8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6B1BB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4FE08A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7FE44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8F657D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F5210AA">
      <w:pPr>
        <w:rPr>
          <w:rFonts w:hint="eastAsia" w:ascii="仿宋_GB2312" w:hAnsi="仿宋_GB2312" w:eastAsia="仿宋_GB2312" w:cs="仿宋_GB2312"/>
          <w:b/>
          <w:bCs/>
          <w:sz w:val="21"/>
          <w:szCs w:val="21"/>
          <w:highlight w:val="none"/>
          <w:lang w:val="en-US" w:eastAsia="zh-CN"/>
        </w:rPr>
      </w:pPr>
      <w:bookmarkStart w:id="6" w:name="_Toc19127"/>
      <w:r>
        <w:rPr>
          <w:rFonts w:hint="eastAsia" w:ascii="仿宋_GB2312" w:hAnsi="仿宋_GB2312" w:eastAsia="仿宋_GB2312" w:cs="仿宋_GB2312"/>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6</w:t>
      </w:r>
      <w:r>
        <w:rPr>
          <w:rFonts w:hint="eastAsia" w:ascii="仿宋_GB2312" w:hAnsi="仿宋_GB2312" w:eastAsia="仿宋_GB2312" w:cs="仿宋_GB2312"/>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提供具有履行合同所必需的设备和专业技术能力的承诺</w:t>
      </w:r>
      <w:r>
        <w:rPr>
          <w:rFonts w:hint="eastAsia" w:ascii="仿宋_GB2312" w:hAnsi="仿宋_GB2312" w:eastAsia="仿宋_GB2312" w:cs="仿宋_GB2312"/>
          <w:sz w:val="21"/>
          <w:szCs w:val="21"/>
          <w:highlight w:val="none"/>
        </w:rPr>
        <w:t>。</w:t>
      </w:r>
    </w:p>
    <w:p w14:paraId="36BAA371">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5AC48A1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0354079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6997120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4C69A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45A04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7533A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CAD0A7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C1A35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632720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5D499D1">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3DE77F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42E9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A20D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1C029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7327AF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CB335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926211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37ADED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0F7870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265A9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5BDFDB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FE42B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2F415D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2DFE7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6FCAF7">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7" w:name="_Toc3271"/>
      <w:r>
        <w:rPr>
          <w:rFonts w:hint="eastAsia" w:ascii="仿宋_GB2312" w:hAnsi="仿宋_GB2312" w:eastAsia="仿宋_GB2312" w:cs="仿宋_GB2312"/>
          <w:b/>
          <w:bCs/>
          <w:sz w:val="21"/>
          <w:szCs w:val="21"/>
          <w:highlight w:val="none"/>
          <w:lang w:val="en-US" w:eastAsia="zh-CN"/>
        </w:rPr>
        <w:t>7</w:t>
      </w:r>
      <w:r>
        <w:rPr>
          <w:rFonts w:hint="eastAsia" w:ascii="仿宋_GB2312" w:hAnsi="仿宋_GB2312" w:eastAsia="仿宋_GB2312" w:cs="仿宋_GB2312"/>
          <w:b/>
          <w:bCs/>
          <w:sz w:val="21"/>
          <w:szCs w:val="21"/>
          <w:highlight w:val="none"/>
        </w:rPr>
        <w:t>、供应商参加政府采购活动前三年内，在经营活动中没有重大违法记录</w:t>
      </w:r>
      <w:bookmarkEnd w:id="7"/>
    </w:p>
    <w:p w14:paraId="730B4661">
      <w:pPr>
        <w:pStyle w:val="12"/>
        <w:pageBreakBefore w:val="0"/>
        <w:tabs>
          <w:tab w:val="right" w:leader="dot" w:pos="9460"/>
        </w:tabs>
        <w:kinsoku/>
        <w:overflowPunct/>
        <w:bidi w:val="0"/>
        <w:spacing w:line="500" w:lineRule="exact"/>
        <w:ind w:left="0" w:leftChars="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提供参加政府采购活动前3年内在经营活动中没有重大违法记录的书面声明。</w:t>
      </w:r>
    </w:p>
    <w:p w14:paraId="65BC590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B9B795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1B385DB">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A333A8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8191C7D">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0DFBB43">
      <w:pP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br w:type="page"/>
      </w:r>
    </w:p>
    <w:p w14:paraId="53A8A501">
      <w:pPr>
        <w:pStyle w:val="11"/>
        <w:pageBreakBefore w:val="0"/>
        <w:kinsoku/>
        <w:overflowPunct/>
        <w:bidi w:val="0"/>
        <w:spacing w:line="500" w:lineRule="exact"/>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47FD8733">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A00AA0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943107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918F28A">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52921D2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A2DD04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3D8FC08">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0C8D2A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8B83402">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0A7BCFB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993CA0">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80D8D1">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B9EFD76">
      <w:pPr>
        <w:pStyle w:val="11"/>
        <w:pageBreakBefore w:val="0"/>
        <w:kinsoku/>
        <w:overflowPunct/>
        <w:bidi w:val="0"/>
        <w:spacing w:line="500" w:lineRule="exact"/>
        <w:ind w:left="0" w:leftChars="0" w:firstLine="0" w:firstLineChars="0"/>
        <w:rPr>
          <w:rFonts w:hint="eastAsia" w:ascii="仿宋_GB2312" w:hAnsi="仿宋_GB2312" w:eastAsia="仿宋_GB2312" w:cs="仿宋_GB2312"/>
          <w:sz w:val="21"/>
          <w:szCs w:val="21"/>
          <w:highlight w:val="none"/>
        </w:rPr>
      </w:pPr>
    </w:p>
    <w:p w14:paraId="711819FB">
      <w:pPr>
        <w:pStyle w:val="11"/>
        <w:ind w:left="0" w:leftChars="0"/>
        <w:jc w:val="center"/>
        <w:outlineLvl w:val="3"/>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bCs/>
          <w:sz w:val="21"/>
          <w:szCs w:val="21"/>
          <w:highlight w:val="none"/>
        </w:rPr>
        <w:br w:type="page"/>
      </w:r>
      <w:bookmarkStart w:id="8" w:name="_Toc5555"/>
      <w:r>
        <w:rPr>
          <w:rFonts w:hint="eastAsia" w:ascii="仿宋_GB2312" w:hAnsi="仿宋_GB2312" w:eastAsia="仿宋_GB2312" w:cs="仿宋_GB2312"/>
          <w:b/>
          <w:bCs/>
          <w:kern w:val="2"/>
          <w:sz w:val="21"/>
          <w:szCs w:val="21"/>
          <w:highlight w:val="none"/>
          <w:lang w:val="en-US" w:eastAsia="zh-CN"/>
        </w:rPr>
        <w:t>9、投标承诺</w:t>
      </w:r>
    </w:p>
    <w:p w14:paraId="67CED2A3">
      <w:pPr>
        <w:pStyle w:val="12"/>
        <w:pageBreakBefore w:val="0"/>
        <w:tabs>
          <w:tab w:val="right" w:leader="dot" w:pos="9460"/>
        </w:tabs>
        <w:kinsoku/>
        <w:overflowPunct/>
        <w:bidi w:val="0"/>
        <w:spacing w:line="500" w:lineRule="exact"/>
        <w:ind w:left="0" w:leftChars="0" w:firstLine="420" w:firstLineChars="200"/>
        <w:jc w:val="left"/>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7C5ED48">
      <w:pPr>
        <w:rPr>
          <w:rFonts w:hint="eastAsia" w:ascii="仿宋_GB2312" w:hAnsi="仿宋_GB2312" w:eastAsia="仿宋_GB2312" w:cs="仿宋_GB2312"/>
          <w:sz w:val="21"/>
          <w:szCs w:val="21"/>
          <w:highlight w:val="none"/>
          <w:lang w:val="en-US" w:eastAsia="zh-CN"/>
        </w:rPr>
      </w:pPr>
    </w:p>
    <w:p w14:paraId="2BA6E1EB">
      <w:pPr>
        <w:rPr>
          <w:rFonts w:hint="eastAsia" w:ascii="仿宋_GB2312" w:hAnsi="仿宋_GB2312" w:eastAsia="仿宋_GB2312" w:cs="仿宋_GB2312"/>
          <w:sz w:val="21"/>
          <w:szCs w:val="21"/>
          <w:highlight w:val="none"/>
          <w:lang w:val="en-US" w:eastAsia="zh-CN"/>
        </w:rPr>
      </w:pPr>
    </w:p>
    <w:p w14:paraId="10504A62">
      <w:pPr>
        <w:rPr>
          <w:rFonts w:hint="eastAsia" w:ascii="仿宋_GB2312" w:hAnsi="仿宋_GB2312" w:eastAsia="仿宋_GB2312" w:cs="仿宋_GB2312"/>
          <w:sz w:val="21"/>
          <w:szCs w:val="21"/>
          <w:highlight w:val="none"/>
          <w:lang w:val="en-US" w:eastAsia="zh-CN"/>
        </w:rPr>
      </w:pPr>
    </w:p>
    <w:p w14:paraId="7010174A">
      <w:pPr>
        <w:rPr>
          <w:rFonts w:hint="eastAsia" w:ascii="仿宋_GB2312" w:hAnsi="仿宋_GB2312" w:eastAsia="仿宋_GB2312" w:cs="仿宋_GB2312"/>
          <w:sz w:val="21"/>
          <w:szCs w:val="21"/>
          <w:highlight w:val="none"/>
          <w:lang w:val="en-US" w:eastAsia="zh-CN"/>
        </w:rPr>
      </w:pPr>
    </w:p>
    <w:p w14:paraId="17544080">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5A51AE7D">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10.供应商资质</w:t>
      </w:r>
    </w:p>
    <w:p w14:paraId="4286765D">
      <w:pPr>
        <w:rPr>
          <w:rFonts w:hint="default" w:ascii="仿宋_GB2312" w:hAnsi="仿宋_GB2312" w:eastAsia="仿宋_GB2312" w:cs="仿宋_GB2312"/>
          <w:sz w:val="21"/>
          <w:szCs w:val="21"/>
          <w:highlight w:val="none"/>
          <w:lang w:val="en-US" w:eastAsia="zh-CN"/>
        </w:rPr>
      </w:pPr>
      <w:r>
        <w:rPr>
          <w:rFonts w:hint="default" w:ascii="仿宋_GB2312" w:hAnsi="仿宋_GB2312" w:eastAsia="仿宋_GB2312" w:cs="仿宋_GB2312"/>
          <w:sz w:val="21"/>
          <w:szCs w:val="21"/>
          <w:highlight w:val="none"/>
          <w:lang w:val="en-US" w:eastAsia="zh-CN"/>
        </w:rPr>
        <w:t>供应商须具备地质灾害评估和治理工程勘查设计乙级及以</w:t>
      </w:r>
      <w:bookmarkStart w:id="18" w:name="_GoBack"/>
      <w:bookmarkEnd w:id="18"/>
      <w:r>
        <w:rPr>
          <w:rFonts w:hint="default" w:ascii="仿宋_GB2312" w:hAnsi="仿宋_GB2312" w:eastAsia="仿宋_GB2312" w:cs="仿宋_GB2312"/>
          <w:sz w:val="21"/>
          <w:szCs w:val="21"/>
          <w:highlight w:val="none"/>
          <w:lang w:val="en-US" w:eastAsia="zh-CN"/>
        </w:rPr>
        <w:t>上资质和土地规划乙级及以上资质，项目负责人具备相关专业高级工程师资格。</w:t>
      </w:r>
    </w:p>
    <w:p w14:paraId="3F2F907A">
      <w:pPr>
        <w:rPr>
          <w:rFonts w:hint="default" w:ascii="仿宋_GB2312" w:hAnsi="仿宋_GB2312" w:eastAsia="仿宋_GB2312" w:cs="仿宋_GB2312"/>
          <w:sz w:val="21"/>
          <w:szCs w:val="21"/>
          <w:highlight w:val="none"/>
          <w:lang w:val="en-US" w:eastAsia="zh-CN"/>
        </w:rPr>
      </w:pPr>
    </w:p>
    <w:p w14:paraId="5267719E">
      <w:pPr>
        <w:rPr>
          <w:rFonts w:hint="eastAsia" w:ascii="仿宋_GB2312" w:hAnsi="仿宋_GB2312" w:eastAsia="仿宋_GB2312" w:cs="仿宋_GB2312"/>
          <w:sz w:val="21"/>
          <w:szCs w:val="21"/>
          <w:highlight w:val="none"/>
          <w:lang w:val="en-US" w:eastAsia="zh-CN"/>
        </w:rPr>
      </w:pPr>
    </w:p>
    <w:p w14:paraId="44CA7064">
      <w:pPr>
        <w:rPr>
          <w:rFonts w:hint="eastAsia" w:ascii="仿宋_GB2312" w:hAnsi="仿宋_GB2312" w:eastAsia="仿宋_GB2312" w:cs="仿宋_GB2312"/>
          <w:sz w:val="21"/>
          <w:szCs w:val="21"/>
          <w:highlight w:val="none"/>
          <w:lang w:val="en-US" w:eastAsia="zh-CN"/>
        </w:rPr>
      </w:pPr>
    </w:p>
    <w:p w14:paraId="798BD1A3">
      <w:pPr>
        <w:rPr>
          <w:rFonts w:hint="eastAsia" w:ascii="仿宋_GB2312" w:hAnsi="仿宋_GB2312" w:eastAsia="仿宋_GB2312" w:cs="仿宋_GB2312"/>
          <w:sz w:val="21"/>
          <w:szCs w:val="21"/>
          <w:highlight w:val="none"/>
          <w:lang w:val="en-US" w:eastAsia="zh-CN"/>
        </w:rPr>
      </w:pPr>
    </w:p>
    <w:bookmarkEnd w:id="8"/>
    <w:p w14:paraId="77B11DDF">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994B022">
      <w:pPr>
        <w:pStyle w:val="3"/>
        <w:spacing w:line="360" w:lineRule="auto"/>
        <w:jc w:val="center"/>
        <w:rPr>
          <w:rFonts w:hint="eastAsia" w:ascii="仿宋_GB2312" w:hAnsi="仿宋_GB2312" w:eastAsia="仿宋_GB2312" w:cs="仿宋_GB2312"/>
          <w:sz w:val="21"/>
          <w:szCs w:val="21"/>
        </w:rPr>
      </w:pPr>
      <w:bookmarkStart w:id="9" w:name="_Toc20047"/>
      <w:bookmarkStart w:id="10" w:name="_Toc28836"/>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435777821"/>
      <w:bookmarkStart w:id="12" w:name="_Toc437425973"/>
      <w:bookmarkStart w:id="13" w:name="_Toc28167"/>
      <w:bookmarkStart w:id="14" w:name="_Toc438541326"/>
      <w:bookmarkStart w:id="15" w:name="_Toc437247481"/>
      <w:r>
        <w:rPr>
          <w:rFonts w:hint="eastAsia" w:ascii="仿宋_GB2312" w:hAnsi="仿宋_GB2312" w:eastAsia="仿宋_GB2312" w:cs="仿宋_GB2312"/>
          <w:b/>
          <w:bCs/>
          <w:sz w:val="21"/>
          <w:szCs w:val="21"/>
          <w:highlight w:val="none"/>
        </w:rPr>
        <w:t>领域</w:t>
      </w:r>
      <w:bookmarkStart w:id="16" w:name="_Toc435776434"/>
      <w:bookmarkStart w:id="17" w:name="_Toc435777721"/>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不向采购人、采购代理机构和政府采购磋商小组进行任何形式的商业贿赂以谋取交易机会。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不与采购人、采购代理机构、政府采购磋商小组或其它供应商恶意串通，进行质疑和投诉，维护政府采购市场秩序。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26AB4C78">
      <w:pPr>
        <w:rPr>
          <w:rFonts w:hint="eastAsia" w:ascii="仿宋_GB2312" w:hAnsi="仿宋_GB2312" w:eastAsia="仿宋_GB2312" w:cs="仿宋_GB2312"/>
          <w:sz w:val="21"/>
          <w:szCs w:val="21"/>
        </w:rPr>
      </w:pPr>
    </w:p>
    <w:p w14:paraId="030E8F05">
      <w:pPr>
        <w:pStyle w:val="7"/>
        <w:rPr>
          <w:rFonts w:hint="eastAsia" w:ascii="仿宋_GB2312" w:hAnsi="仿宋_GB2312" w:eastAsia="仿宋_GB2312" w:cs="仿宋_GB2312"/>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45792E"/>
    <w:rsid w:val="03013AE9"/>
    <w:rsid w:val="057A1CA9"/>
    <w:rsid w:val="05874A01"/>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0F8C4540"/>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F85F9F"/>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076370"/>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5F4489D"/>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19"/>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w:basedOn w:val="1"/>
    <w:next w:val="1"/>
    <w:link w:val="20"/>
    <w:qFormat/>
    <w:uiPriority w:val="0"/>
    <w:rPr>
      <w:rFonts w:asciiTheme="minorAscii" w:hAnsiTheme="minorAscii" w:eastAsiaTheme="minorEastAsia" w:cstheme="minorBidi"/>
      <w:sz w:val="28"/>
      <w:szCs w:val="22"/>
    </w:rPr>
  </w:style>
  <w:style w:type="paragraph" w:styleId="8">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7"/>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8"/>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5"/>
    <w:qFormat/>
    <w:uiPriority w:val="0"/>
    <w:rPr>
      <w:rFonts w:ascii="Arial" w:hAnsi="Arial" w:eastAsia="黑体" w:cs="Arial"/>
      <w:b/>
      <w:sz w:val="28"/>
      <w:szCs w:val="28"/>
      <w:lang w:bidi="ar-SA"/>
    </w:rPr>
  </w:style>
  <w:style w:type="character" w:customStyle="1" w:styleId="20">
    <w:name w:val="正文文本 Char"/>
    <w:link w:val="7"/>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2124</Words>
  <Characters>2180</Characters>
  <Lines>0</Lines>
  <Paragraphs>0</Paragraphs>
  <TotalTime>0</TotalTime>
  <ScaleCrop>false</ScaleCrop>
  <LinksUpToDate>false</LinksUpToDate>
  <CharactersWithSpaces>3009</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2026-05-13T08:16:40Z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