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版本号：SZT2026-SN-SC-ZC-HW-069420260825001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智能建造安全巡检机器人综合实验平台采购项目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SZT2026-SN-SC-ZC-HW-0694</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智能建造安全巡检机器人综合实验平台采购项目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SZT2026-SN-SC-ZC-HW-0694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智能建造安全巡检机器人综合实验平台采购项目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智能建造安全巡检机器人综合实验平台采购项目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1、法定代表人授权书：非法定代表人参加谈判的，须提供法定代表人委托授权书及被授权人身份证复印件，法定代表人参加谈判时,只需提供法定代表人身份证复印件</w:t>
      </w:r>
    </w:p>
    <w:p>
      <w:pPr>
        <w:pStyle w:val="null3"/>
      </w:pPr>
      <w:r>
        <w:rPr>
          <w:rFonts w:ascii="仿宋_GB2312" w:hAnsi="仿宋_GB2312" w:cs="仿宋_GB2312" w:eastAsia="仿宋_GB2312"/>
        </w:rPr>
        <w:t>2、本项目不接受联合体谈判：非联合体谈判声明函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陈璐、赵倩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029-87304306、029-87304326、029-88364979转857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采购包1保证金金额：45,000.00元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100万元及以下部分全额计取，超出部分按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智能建造安全巡检机器人综合实验平台</w:t>
      </w:r>
      <w:r>
        <w:rPr>
          <w:rFonts w:ascii="仿宋_GB2312" w:hAnsi="仿宋_GB2312" w:cs="仿宋_GB2312" w:eastAsia="仿宋_GB2312"/>
          <w:sz w:val="24"/>
        </w:rPr>
        <w:t>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2,270,000.00</w:t>
      </w:r>
    </w:p>
    <w:p>
      <w:pPr>
        <w:pStyle w:val="null3"/>
      </w:pPr>
      <w:r>
        <w:rPr>
          <w:rFonts w:ascii="仿宋_GB2312" w:hAnsi="仿宋_GB2312" w:cs="仿宋_GB2312" w:eastAsia="仿宋_GB2312"/>
        </w:rPr>
        <w:t>采购包最高限价（元）: 2,134,000.00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智能建造安全巡检机器人综合实验平台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标的名称：智能建造安全巡检机器人综合实验平台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① 智能安全巡检机器人</w:t>
            </w:r>
          </w:p>
          <w:tbl>
            <w:tblPr>
              <w:tblInd w:type="dxa" w:w="120"/>
              <w:tblBorders>
                <w:top w:val="none" w:color="000000" w:sz="4"/>
                <w:left w:val="none" w:color="000000" w:sz="4"/>
                <w:bottom w:val="none" w:color="000000" w:sz="4"/>
                <w:right w:val="none" w:color="000000" w:sz="4"/>
                <w:insideH w:val="none"/>
                <w:insideV w:val="none"/>
              </w:tblBorders>
            </w:tblPr>
            <w:tblGrid>
              <w:gridCol w:w="233"/>
              <w:gridCol w:w="417"/>
              <w:gridCol w:w="1038"/>
              <w:gridCol w:w="586"/>
              <w:gridCol w:w="278"/>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技术标准</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配置要求</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机器人线控底盘</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四轮独立驱动</w:t>
                  </w:r>
                  <w:r>
                    <w:rPr>
                      <w:rFonts w:ascii="仿宋_GB2312" w:hAnsi="仿宋_GB2312" w:cs="仿宋_GB2312" w:eastAsia="仿宋_GB2312"/>
                      <w:sz w:val="24"/>
                    </w:rPr>
                    <w:t>/差速转向，可原地自旋，外形尺寸约为900×700×360mm，越障能力≥150mm ，载重≥ 40kg， 24V/60Ah 锂电池，行程≥15km，支持ROS二次开发部署，提供开发资料。</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充电器</w:t>
                  </w:r>
                  <w:r>
                    <w:rPr>
                      <w:rFonts w:ascii="仿宋_GB2312" w:hAnsi="仿宋_GB2312" w:cs="仿宋_GB2312" w:eastAsia="仿宋_GB2312"/>
                      <w:sz w:val="24"/>
                    </w:rPr>
                    <w:t>AC 220V 独立充电器</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四足机器人研究平台</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搭载</w:t>
                  </w:r>
                  <w:r>
                    <w:rPr>
                      <w:rFonts w:ascii="仿宋_GB2312" w:hAnsi="仿宋_GB2312" w:cs="仿宋_GB2312" w:eastAsia="仿宋_GB2312"/>
                      <w:sz w:val="24"/>
                    </w:rPr>
                    <w:t>100TOPS</w:t>
                  </w:r>
                  <w:r>
                    <w:rPr>
                      <w:rFonts w:ascii="仿宋_GB2312" w:hAnsi="仿宋_GB2312" w:cs="仿宋_GB2312" w:eastAsia="仿宋_GB2312"/>
                      <w:sz w:val="24"/>
                    </w:rPr>
                    <w:t>及以上算力模组，</w:t>
                  </w:r>
                </w:p>
                <w:p>
                  <w:pPr>
                    <w:pStyle w:val="null3"/>
                  </w:pPr>
                  <w:r>
                    <w:rPr>
                      <w:rFonts w:ascii="仿宋_GB2312" w:hAnsi="仿宋_GB2312" w:cs="仿宋_GB2312" w:eastAsia="仿宋_GB2312"/>
                      <w:sz w:val="24"/>
                    </w:rPr>
                    <w:t>站立尺寸</w:t>
                  </w:r>
                  <w:r>
                    <w:rPr>
                      <w:rFonts w:ascii="仿宋_GB2312" w:hAnsi="仿宋_GB2312" w:cs="仿宋_GB2312" w:eastAsia="仿宋_GB2312"/>
                      <w:sz w:val="24"/>
                    </w:rPr>
                    <w:t>≥90×45×60cm，</w:t>
                  </w:r>
                </w:p>
                <w:p>
                  <w:pPr>
                    <w:pStyle w:val="null3"/>
                  </w:pPr>
                  <w:r>
                    <w:rPr>
                      <w:rFonts w:ascii="仿宋_GB2312" w:hAnsi="仿宋_GB2312" w:cs="仿宋_GB2312" w:eastAsia="仿宋_GB2312"/>
                      <w:sz w:val="24"/>
                      <w:b/>
                    </w:rPr>
                    <w:t>※</w:t>
                  </w:r>
                  <w:r>
                    <w:rPr>
                      <w:rFonts w:ascii="仿宋_GB2312" w:hAnsi="仿宋_GB2312" w:cs="仿宋_GB2312" w:eastAsia="仿宋_GB2312"/>
                      <w:sz w:val="24"/>
                    </w:rPr>
                    <w:t>额定行走负载</w:t>
                  </w:r>
                  <w:r>
                    <w:rPr>
                      <w:rFonts w:ascii="仿宋_GB2312" w:hAnsi="仿宋_GB2312" w:cs="仿宋_GB2312" w:eastAsia="仿宋_GB2312"/>
                      <w:sz w:val="24"/>
                    </w:rPr>
                    <w:t>≥30kg，</w:t>
                  </w:r>
                </w:p>
                <w:p>
                  <w:pPr>
                    <w:pStyle w:val="null3"/>
                  </w:pPr>
                  <w:r>
                    <w:rPr>
                      <w:rFonts w:ascii="仿宋_GB2312" w:hAnsi="仿宋_GB2312" w:cs="仿宋_GB2312" w:eastAsia="仿宋_GB2312"/>
                      <w:sz w:val="24"/>
                      <w:b/>
                    </w:rPr>
                    <w:t>※</w:t>
                  </w:r>
                  <w:r>
                    <w:rPr>
                      <w:rFonts w:ascii="仿宋_GB2312" w:hAnsi="仿宋_GB2312" w:cs="仿宋_GB2312" w:eastAsia="仿宋_GB2312"/>
                      <w:sz w:val="24"/>
                    </w:rPr>
                    <w:t>最大爬坡</w:t>
                  </w:r>
                  <w:r>
                    <w:rPr>
                      <w:rFonts w:ascii="仿宋_GB2312" w:hAnsi="仿宋_GB2312" w:cs="仿宋_GB2312" w:eastAsia="仿宋_GB2312"/>
                      <w:sz w:val="24"/>
                    </w:rPr>
                    <w:t>≥30°，</w:t>
                  </w:r>
                </w:p>
                <w:p>
                  <w:pPr>
                    <w:pStyle w:val="null3"/>
                  </w:pPr>
                  <w:r>
                    <w:rPr>
                      <w:rFonts w:ascii="仿宋_GB2312" w:hAnsi="仿宋_GB2312" w:cs="仿宋_GB2312" w:eastAsia="仿宋_GB2312"/>
                      <w:sz w:val="24"/>
                      <w:b/>
                    </w:rPr>
                    <w:t>※</w:t>
                  </w:r>
                  <w:r>
                    <w:rPr>
                      <w:rFonts w:ascii="仿宋_GB2312" w:hAnsi="仿宋_GB2312" w:cs="仿宋_GB2312" w:eastAsia="仿宋_GB2312"/>
                      <w:sz w:val="24"/>
                    </w:rPr>
                    <w:t>额定负载下单次续航</w:t>
                  </w:r>
                  <w:r>
                    <w:rPr>
                      <w:rFonts w:ascii="仿宋_GB2312" w:hAnsi="仿宋_GB2312" w:cs="仿宋_GB2312" w:eastAsia="仿宋_GB2312"/>
                      <w:sz w:val="24"/>
                    </w:rPr>
                    <w:t>≥4h，</w:t>
                  </w:r>
                </w:p>
                <w:p>
                  <w:pPr>
                    <w:pStyle w:val="null3"/>
                  </w:pPr>
                  <w:r>
                    <w:rPr>
                      <w:rFonts w:ascii="仿宋_GB2312" w:hAnsi="仿宋_GB2312" w:cs="仿宋_GB2312" w:eastAsia="仿宋_GB2312"/>
                      <w:sz w:val="24"/>
                    </w:rPr>
                    <w:t>集成多传感器融合套件，支持二次开发，提供开发资料。</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附带充电器，电池</w:t>
                  </w:r>
                  <w:r>
                    <w:rPr>
                      <w:rFonts w:ascii="仿宋_GB2312" w:hAnsi="仿宋_GB2312" w:cs="仿宋_GB2312" w:eastAsia="仿宋_GB2312"/>
                      <w:sz w:val="24"/>
                    </w:rPr>
                    <w:t xml:space="preserve">≥2块（容量≥2250Wh）和替换轮足，激光雷达≥32线, 光学相机成像分辨率≥720p   </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b/>
              </w:rPr>
              <w:t>② 三维空间障碍物感知系统</w:t>
            </w:r>
          </w:p>
          <w:tbl>
            <w:tblPr>
              <w:tblInd w:type="dxa" w:w="120"/>
              <w:tblBorders>
                <w:top w:val="none" w:color="000000" w:sz="4"/>
                <w:left w:val="none" w:color="000000" w:sz="4"/>
                <w:bottom w:val="none" w:color="000000" w:sz="4"/>
                <w:right w:val="none" w:color="000000" w:sz="4"/>
                <w:insideH w:val="none"/>
                <w:insideV w:val="none"/>
              </w:tblBorders>
            </w:tblPr>
            <w:tblGrid>
              <w:gridCol w:w="242"/>
              <w:gridCol w:w="406"/>
              <w:gridCol w:w="1206"/>
              <w:gridCol w:w="377"/>
              <w:gridCol w:w="305"/>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技术标准</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配置要求</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具身立体双目相机</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≥1.0MP全局快门，水平/垂直/对角视场角≥200°，基线距离≥25mm，USB 接口，帧率≥30FPS，分辨率≥1856×800@30FPS、928×400@ 30FPS/60FPS适配立体视觉感知与三维重建。</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激光雷达</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≥32线，测距范围：0.5m</w:t>
                  </w:r>
                  <w:r>
                    <w:rPr>
                      <w:rFonts w:ascii="仿宋_GB2312" w:hAnsi="仿宋_GB2312" w:cs="仿宋_GB2312" w:eastAsia="仿宋_GB2312"/>
                      <w:sz w:val="24"/>
                    </w:rPr>
                    <w:t>~</w:t>
                  </w:r>
                  <w:r>
                    <w:rPr>
                      <w:rFonts w:ascii="仿宋_GB2312" w:hAnsi="仿宋_GB2312" w:cs="仿宋_GB2312" w:eastAsia="仿宋_GB2312"/>
                      <w:sz w:val="24"/>
                    </w:rPr>
                    <w:t>150m，测距精度：±1cm，水平360°全向视场，防护等级IP67。</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组合惯导</w:t>
                  </w:r>
                  <w:r>
                    <w:rPr>
                      <w:rFonts w:ascii="仿宋_GB2312" w:hAnsi="仿宋_GB2312" w:cs="仿宋_GB2312" w:eastAsia="仿宋_GB2312"/>
                      <w:sz w:val="24"/>
                    </w:rPr>
                    <w:t>RTK</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RTK模式水平定位精度≤10mm 、垂直≤20mm ，姿态精度横滚/俯仰≤0.05°、航向≤0.1°，数据更新率≥100Hz，工作温度范围-40℃</w:t>
                  </w:r>
                  <w:r>
                    <w:rPr>
                      <w:rFonts w:ascii="仿宋_GB2312" w:hAnsi="仿宋_GB2312" w:cs="仿宋_GB2312" w:eastAsia="仿宋_GB2312"/>
                      <w:sz w:val="24"/>
                    </w:rPr>
                    <w:t>~</w:t>
                  </w:r>
                  <w:r>
                    <w:rPr>
                      <w:rFonts w:ascii="仿宋_GB2312" w:hAnsi="仿宋_GB2312" w:cs="仿宋_GB2312" w:eastAsia="仿宋_GB2312"/>
                      <w:sz w:val="24"/>
                    </w:rPr>
                    <w:t>85℃。</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声波热成像仪</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热成像分辨率</w:t>
                  </w:r>
                  <w:r>
                    <w:rPr>
                      <w:rFonts w:ascii="仿宋_GB2312" w:hAnsi="仿宋_GB2312" w:cs="仿宋_GB2312" w:eastAsia="仿宋_GB2312"/>
                      <w:sz w:val="24"/>
                    </w:rPr>
                    <w:t>≥320×240，测温范围：-20℃~650℃，测温精度：±2℃，声波检测频率：20kHz~100kHz，电池续航≥6h，防护等级IP54。</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提供配套分析软件和可拆卸锂电池</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全景拼接云台巡检摄像头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360°全景云台，图像分辨率≥3200万像素，水平视场≥180°，垂直视角≥90°，彩色低照度≤0.01lux，防护等级IP67。</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DC12V支持PoE供电</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b/>
              </w:rPr>
              <w:t>③ 三维扫描系统</w:t>
            </w:r>
          </w:p>
          <w:tbl>
            <w:tblPr>
              <w:tblInd w:type="dxa" w:w="120"/>
              <w:tblBorders>
                <w:top w:val="none" w:color="000000" w:sz="4"/>
                <w:left w:val="none" w:color="000000" w:sz="4"/>
                <w:bottom w:val="none" w:color="000000" w:sz="4"/>
                <w:right w:val="none" w:color="000000" w:sz="4"/>
                <w:insideH w:val="none"/>
                <w:insideV w:val="none"/>
              </w:tblBorders>
            </w:tblPr>
            <w:tblGrid>
              <w:gridCol w:w="314"/>
              <w:gridCol w:w="402"/>
              <w:gridCol w:w="1051"/>
              <w:gridCol w:w="547"/>
              <w:gridCol w:w="227"/>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技术标准</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配置要求</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三维空间扫描仪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扫描精度</w:t>
                  </w:r>
                  <w:r>
                    <w:rPr>
                      <w:rFonts w:ascii="仿宋_GB2312" w:hAnsi="仿宋_GB2312" w:cs="仿宋_GB2312" w:eastAsia="仿宋_GB2312"/>
                      <w:sz w:val="24"/>
                    </w:rPr>
                    <w:t>≤10mm，扫描距离 0.5m</w:t>
                  </w:r>
                  <w:r>
                    <w:rPr>
                      <w:rFonts w:ascii="仿宋_GB2312" w:hAnsi="仿宋_GB2312" w:cs="仿宋_GB2312" w:eastAsia="仿宋_GB2312"/>
                      <w:sz w:val="24"/>
                    </w:rPr>
                    <w:t>~</w:t>
                  </w:r>
                  <w:r>
                    <w:rPr>
                      <w:rFonts w:ascii="仿宋_GB2312" w:hAnsi="仿宋_GB2312" w:cs="仿宋_GB2312" w:eastAsia="仿宋_GB2312"/>
                      <w:sz w:val="24"/>
                    </w:rPr>
                    <w:t>10m，扫描帧率≥10fps，点云分辨率≤0.5mm/pix，全景图像分辨率≥ 4800万像素，支持 PLY/LAS/OBJ等格式输出，防护等级IP54，适配建造现场空间结构数字化重建。</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激光雷达单元</w:t>
                  </w:r>
                  <w:r>
                    <w:rPr>
                      <w:rFonts w:ascii="仿宋_GB2312" w:hAnsi="仿宋_GB2312" w:cs="仿宋_GB2312" w:eastAsia="仿宋_GB2312"/>
                      <w:sz w:val="24"/>
                    </w:rPr>
                    <w:t>≥16 线，提供配套软件和可拆卸锂电池。</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b/>
              </w:rPr>
              <w:t>④ 无线通信系统</w:t>
            </w:r>
          </w:p>
          <w:tbl>
            <w:tblPr>
              <w:tblInd w:type="dxa" w:w="120"/>
              <w:tblBorders>
                <w:top w:val="none" w:color="000000" w:sz="4"/>
                <w:left w:val="none" w:color="000000" w:sz="4"/>
                <w:bottom w:val="none" w:color="000000" w:sz="4"/>
                <w:right w:val="none" w:color="000000" w:sz="4"/>
                <w:insideH w:val="none"/>
                <w:insideV w:val="none"/>
              </w:tblBorders>
            </w:tblPr>
            <w:tblGrid>
              <w:gridCol w:w="314"/>
              <w:gridCol w:w="460"/>
              <w:gridCol w:w="867"/>
              <w:gridCol w:w="595"/>
              <w:gridCol w:w="305"/>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技术标准</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配置要求</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AI推理工作站</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CPU≥24核32线程（基础频率 ≥3.2 GHz），内存≥64G DDR5，SSD≥1TB；机械硬盘≥4TB，独立显卡（显存 ≥ 48G GDDR7，cuda核心数 ≥ 14000个，FP32精度 ≥ 60 TFLOPS）。</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Wi-Fi 6 无线网卡，电源额定功率 ≥ 750W，显示器≥32寸4k，预装正版双系统</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工控机</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CPU≥8核16线程，基础频率≥2.90 GHz，内存 ≥ 16GB DDR4, SSD≥1TB, 2 路及以上千兆网口，4 路及以上 RS232/485 可切换串口，防护等级IP40。</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配套显示器</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sz w:val="24"/>
                    </w:rPr>
                    <w:t>15.6寸1080p</w:t>
                  </w:r>
                  <w:r>
                    <w:rPr>
                      <w:rFonts w:ascii="仿宋_GB2312" w:hAnsi="仿宋_GB2312" w:cs="仿宋_GB2312" w:eastAsia="仿宋_GB2312"/>
                      <w:sz w:val="24"/>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自主导航控制器</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INT8算力≥275TOPS，CPU≥12核12线程，基础频率≥2.2 GHz, 内存 ≥ 32GB LPDDR5, eMMC ≥ 64G，SSD ≥ 1T， 支持Wi-Fi 6/蓝牙5.2。</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bl>
          <w:p>
            <w:pPr>
              <w:pStyle w:val="null3"/>
              <w:jc w:val="both"/>
            </w:pPr>
            <w:r>
              <w:rPr>
                <w:rFonts w:ascii="仿宋_GB2312" w:hAnsi="仿宋_GB2312" w:cs="仿宋_GB2312" w:eastAsia="仿宋_GB2312"/>
                <w:sz w:val="24"/>
                <w:b/>
              </w:rPr>
              <w:t>⑤ 位姿追踪系统</w:t>
            </w:r>
          </w:p>
          <w:tbl>
            <w:tblPr>
              <w:tblInd w:type="dxa" w:w="120"/>
              <w:tblBorders>
                <w:top w:val="none" w:color="000000" w:sz="4"/>
                <w:left w:val="none" w:color="000000" w:sz="4"/>
                <w:bottom w:val="none" w:color="000000" w:sz="4"/>
                <w:right w:val="none" w:color="000000" w:sz="4"/>
                <w:insideH w:val="none"/>
                <w:insideV w:val="none"/>
              </w:tblBorders>
            </w:tblPr>
            <w:tblGrid>
              <w:gridCol w:w="313"/>
              <w:gridCol w:w="458"/>
              <w:gridCol w:w="897"/>
              <w:gridCol w:w="637"/>
              <w:gridCol w:w="236"/>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技术标准</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配置要求</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激光跟踪仪</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测量范围半径</w:t>
                  </w:r>
                  <w:r>
                    <w:rPr>
                      <w:rFonts w:ascii="仿宋_GB2312" w:hAnsi="仿宋_GB2312" w:cs="仿宋_GB2312" w:eastAsia="仿宋_GB2312"/>
                      <w:sz w:val="24"/>
                    </w:rPr>
                    <w:t>≥30m且目标自动锁定距离≥30m，基准空间测量精度≤15μm，测量误差≤6μm/m，跟踪速度≥3m/s，跟踪仪水平旋转角度≥320°，垂直方向旋转角度≥60°。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数据传输方式</w:t>
                  </w:r>
                  <w:r>
                    <w:rPr>
                      <w:rFonts w:ascii="仿宋_GB2312" w:hAnsi="仿宋_GB2312" w:cs="仿宋_GB2312" w:eastAsia="仿宋_GB2312"/>
                      <w:sz w:val="24"/>
                    </w:rPr>
                    <w:t>:网线、WiFi、USB，提供配套软件</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注：以上技术参数与性能指标标</w:t>
            </w:r>
            <w:r>
              <w:rPr>
                <w:rFonts w:ascii="仿宋_GB2312" w:hAnsi="仿宋_GB2312" w:cs="仿宋_GB2312" w:eastAsia="仿宋_GB2312"/>
                <w:sz w:val="24"/>
              </w:rPr>
              <w:t>★（3.3技术要求序号1）不允许负偏离，任意⼀项负偏离按⽆效谈判处理。（其中（1）标“※”项：需提供佐证材料：①指标项有明确要求的：须按照指标项要求提供对应证明材料；②指标要求未做说明的，佐证材料不限于产品彩⻚、检测报告、官⽹功能截图、⽣产⼚家加盖公章的技术参数与性能指标证明材料等，未提供或提供的证明材料低于⽂件规定的相应技术参数时视为负偏离；（2）⾮标“※”项：响应情况以技术指标偏差表响应为准，未响应或低于⽂件规定的相应技术参数时视为负偏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提供产品使用寿命承诺书</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需提供设备操作培训、系统运维培训、二次开发接口与</w:t>
            </w:r>
            <w:r>
              <w:rPr>
                <w:rFonts w:ascii="仿宋_GB2312" w:hAnsi="仿宋_GB2312" w:cs="仿宋_GB2312" w:eastAsia="仿宋_GB2312"/>
                <w:sz w:val="24"/>
              </w:rPr>
              <w:t>SDK 使用培训，提供全套技术手册、驱动程序、开发示例代码与实验指导文档，满足科研实验与功能拓展需求。维保期内提供全系统上门运维服务，核心硬件严格执行原厂质保政策。</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合同签订之日起60个日历日内完成交付、安装及调试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西安建筑科技大学草堂校区人工智能楼303实验室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2、设备及附件应采用适合精密仪器运输的防震、防潮、防尘包装，关键部件、标准传感器、测量单元、控制单元、线缆及易损件应分别固定包装并做好标识，确保运输过程中不发生碰撞、受潮、松动或损坏</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1、项目质保期：整机质保期不少于3年，自设备最终验收合格之日起计算。质保期内因设备设计、制造、材料、软件或安装调试原因造成的故障，供货方应免费维修或更换相关部件。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1、核心产品：四足机器人研究平台 2、中标（成交）结果发布后，中标（成交）供应商在2个工作日内向采购代理机构提供2套（和上传文件保持一致的）纸质投标（响应）文件用于备案及档案保存。3、谈判保证金以电子保函形式递交需在谈判截止时间前发送一份扫描件至526159856@qq.com。4、因系统原因，最终签订合同的付款方式是：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7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7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02-资格要求证明资料.docx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02-资格要求证明资料.docx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非法定代表人参加谈判的，须提供法定代表人委托授权书及被授权人身份证复印件，法定代表人参加谈判时,只需提供法定代表人身份证复印件</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非联合体谈判声明函</w:t>
            </w:r>
          </w:p>
        </w:tc>
        <w:tc>
          <w:tcPr>
            <w:tcW w:type="dxa" w:w="1661"/>
          </w:tcPr>
          <w:p>
            <w:pPr>
              <w:pStyle w:val="null3"/>
            </w:pPr>
            <w:r>
              <w:rPr>
                <w:rFonts w:ascii="仿宋_GB2312" w:hAnsi="仿宋_GB2312" w:cs="仿宋_GB2312" w:eastAsia="仿宋_GB2312"/>
              </w:rPr>
              <w:t>02-资格要求证明资料.docx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审查环节审查）</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响应文件封面 03-诚信承诺书.docx 06-技术指标偏差表.docx 04-分项报价表.docx 08-拒绝商业贿赂承诺书.docx 02-资格要求证明资料.docx 09-商务条款响应说明.docx 10-谈判保证金.docx 05-服务承诺.docx 07-谈判响应方案说明.docx 11-产品使用寿命承诺书.docx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按照最后评审报价由低到高的顺序推荐。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详见附件：02-资格要求证明资料.docx</w:t>
      </w:r>
    </w:p>
    <w:p>
      <w:pPr>
        <w:pStyle w:val="null3"/>
        <w:ind w:firstLine="960"/>
      </w:pPr>
      <w:r>
        <w:rPr>
          <w:rFonts w:ascii="仿宋_GB2312" w:hAnsi="仿宋_GB2312" w:cs="仿宋_GB2312" w:eastAsia="仿宋_GB2312"/>
        </w:rPr>
        <w:t>详见附件：04-分项报价表.docx</w:t>
      </w:r>
    </w:p>
    <w:p>
      <w:pPr>
        <w:pStyle w:val="null3"/>
        <w:ind w:firstLine="960"/>
      </w:pPr>
      <w:r>
        <w:rPr>
          <w:rFonts w:ascii="仿宋_GB2312" w:hAnsi="仿宋_GB2312" w:cs="仿宋_GB2312" w:eastAsia="仿宋_GB2312"/>
        </w:rPr>
        <w:t>详见附件：03-诚信承诺书.docx</w:t>
      </w:r>
    </w:p>
    <w:p>
      <w:pPr>
        <w:pStyle w:val="null3"/>
        <w:ind w:firstLine="960"/>
      </w:pPr>
      <w:r>
        <w:rPr>
          <w:rFonts w:ascii="仿宋_GB2312" w:hAnsi="仿宋_GB2312" w:cs="仿宋_GB2312" w:eastAsia="仿宋_GB2312"/>
        </w:rPr>
        <w:t>详见附件：05-服务承诺.docx</w:t>
      </w:r>
    </w:p>
    <w:p>
      <w:pPr>
        <w:pStyle w:val="null3"/>
        <w:ind w:firstLine="960"/>
      </w:pPr>
      <w:r>
        <w:rPr>
          <w:rFonts w:ascii="仿宋_GB2312" w:hAnsi="仿宋_GB2312" w:cs="仿宋_GB2312" w:eastAsia="仿宋_GB2312"/>
        </w:rPr>
        <w:t>详见附件：06-技术指标偏差表.docx</w:t>
      </w:r>
    </w:p>
    <w:p>
      <w:pPr>
        <w:pStyle w:val="null3"/>
        <w:ind w:firstLine="960"/>
      </w:pPr>
      <w:r>
        <w:rPr>
          <w:rFonts w:ascii="仿宋_GB2312" w:hAnsi="仿宋_GB2312" w:cs="仿宋_GB2312" w:eastAsia="仿宋_GB2312"/>
        </w:rPr>
        <w:t>详见附件：07-谈判响应方案说明.docx</w:t>
      </w:r>
    </w:p>
    <w:p>
      <w:pPr>
        <w:pStyle w:val="null3"/>
        <w:ind w:firstLine="960"/>
      </w:pPr>
      <w:r>
        <w:rPr>
          <w:rFonts w:ascii="仿宋_GB2312" w:hAnsi="仿宋_GB2312" w:cs="仿宋_GB2312" w:eastAsia="仿宋_GB2312"/>
        </w:rPr>
        <w:t>详见附件：08-拒绝商业贿赂承诺书.docx</w:t>
      </w:r>
    </w:p>
    <w:p>
      <w:pPr>
        <w:pStyle w:val="null3"/>
        <w:ind w:firstLine="960"/>
      </w:pPr>
      <w:r>
        <w:rPr>
          <w:rFonts w:ascii="仿宋_GB2312" w:hAnsi="仿宋_GB2312" w:cs="仿宋_GB2312" w:eastAsia="仿宋_GB2312"/>
        </w:rPr>
        <w:t>详见附件：09-商务条款响应说明.docx</w:t>
      </w:r>
    </w:p>
    <w:p>
      <w:pPr>
        <w:pStyle w:val="null3"/>
        <w:ind w:firstLine="960"/>
      </w:pPr>
      <w:r>
        <w:rPr>
          <w:rFonts w:ascii="仿宋_GB2312" w:hAnsi="仿宋_GB2312" w:cs="仿宋_GB2312" w:eastAsia="仿宋_GB2312"/>
        </w:rPr>
        <w:t>详见附件：10-谈判保证金.docx</w:t>
      </w:r>
    </w:p>
    <w:p>
      <w:pPr>
        <w:pStyle w:val="null3"/>
        <w:ind w:firstLine="960"/>
      </w:pPr>
      <w:r>
        <w:rPr>
          <w:rFonts w:ascii="仿宋_GB2312" w:hAnsi="仿宋_GB2312" w:cs="仿宋_GB2312" w:eastAsia="仿宋_GB2312"/>
        </w:rPr>
        <w:t>详见附件：11-产品使用寿命承诺书.docx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