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版本号：NBC-2026-ZFCS-G-6320260611001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后院改造工程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NBC-2026-ZFCS-G-63</w:t>
      </w:r>
      <w:r>
        <w:br/>
      </w:r>
      <w:r>
        <w:br/>
      </w:r>
      <w:r>
        <w:br/>
      </w:r>
    </w:p>
    <w:p>
      <w:pPr>
        <w:pStyle w:val="null3"/>
        <w:jc w:val="center"/>
        <w:outlineLvl w:val="2"/>
      </w:pPr>
      <w:r>
        <w:rPr>
          <w:rFonts w:ascii="仿宋_GB2312" w:hAnsi="仿宋_GB2312" w:cs="仿宋_GB2312" w:eastAsia="仿宋_GB2312"/>
          <w:sz w:val="28"/>
          <w:b/>
        </w:rPr>
        <w:t>西安市雁塔区第十幼儿园</w:t>
      </w:r>
    </w:p>
    <w:p>
      <w:pPr>
        <w:pStyle w:val="null3"/>
        <w:jc w:val="center"/>
        <w:outlineLvl w:val="2"/>
      </w:pPr>
      <w:r>
        <w:rPr>
          <w:rFonts w:ascii="仿宋_GB2312" w:hAnsi="仿宋_GB2312" w:cs="仿宋_GB2312" w:eastAsia="仿宋_GB2312"/>
          <w:sz w:val="28"/>
          <w:b/>
        </w:rPr>
        <w:t>纳百川项目管理咨询有限公司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纳百川项目管理咨询有限公司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西安市雁塔区第十幼儿园</w:t>
      </w:r>
      <w:r>
        <w:rPr>
          <w:rFonts w:ascii="仿宋_GB2312" w:hAnsi="仿宋_GB2312" w:cs="仿宋_GB2312" w:eastAsia="仿宋_GB2312"/>
        </w:rPr>
        <w:t>委托，拟对</w:t>
      </w:r>
      <w:r>
        <w:rPr>
          <w:rFonts w:ascii="仿宋_GB2312" w:hAnsi="仿宋_GB2312" w:cs="仿宋_GB2312" w:eastAsia="仿宋_GB2312"/>
        </w:rPr>
        <w:t>后院改造工程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NBC-2026-ZFCS-G-63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后院改造工程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后院改造工程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采购包1（后院改造工程）：属于专门面向中小企业采购。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拟派项目负责人和专业要求：拟投入的项目经理须提供二级（含二级）以上建筑工程专业注册建造师证书及安全生产考核合格证（B证）；在本单位注册，且无在建工程、无不良记录（提供无在建工程、无不良记录承诺书）。供应商需在项目电子化交易系统中按要求上传相应证明文件并进行电子签章。</w:t>
      </w:r>
    </w:p>
    <w:p>
      <w:pPr>
        <w:pStyle w:val="null3"/>
      </w:pPr>
      <w:r>
        <w:rPr>
          <w:rFonts w:ascii="仿宋_GB2312" w:hAnsi="仿宋_GB2312" w:cs="仿宋_GB2312" w:eastAsia="仿宋_GB2312"/>
        </w:rPr>
        <w:t>2、施工资质：具有建筑工程施工总承包三级以上（含三级）资质。同时具有建设行政主管部门颁发的有效的安全生产许可证。供应商需在项目电子化交易系统中按要求上传相应证明文件并进行电子签章。</w:t>
      </w:r>
    </w:p>
    <w:p>
      <w:pPr>
        <w:pStyle w:val="null3"/>
      </w:pPr>
      <w:r>
        <w:rPr>
          <w:rFonts w:ascii="仿宋_GB2312" w:hAnsi="仿宋_GB2312" w:cs="仿宋_GB2312" w:eastAsia="仿宋_GB2312"/>
        </w:rPr>
        <w:t>3、授权合法的人员参加磋商全过程：法定代表人授权委托书：法定代表人参加磋商的，须提供身份证；法定代表人授权他人参加磋商的，须提供法定代表人授权委托书及被授权人身份证。供应商需在项目电子化交易系统中按要求上传相应证明文件并进行电子签章。</w:t>
      </w:r>
    </w:p>
    <w:p>
      <w:pPr>
        <w:pStyle w:val="null3"/>
      </w:pPr>
      <w:r>
        <w:rPr>
          <w:rFonts w:ascii="仿宋_GB2312" w:hAnsi="仿宋_GB2312" w:cs="仿宋_GB2312" w:eastAsia="仿宋_GB2312"/>
        </w:rPr>
        <w:t>4、其他：供应商企业基本信息及拟派项目经理基本信息需在陕西省住房和城乡建设厅（http://js.shaanxi.gov.cn/）网站可查询（提供网站截图）。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西安市雁塔区第十幼儿园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西安市光华路东段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029-88381479转8001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纳百川项目管理咨询有限公司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陕西省西安市曲江新区南三环辅路以南曲江文创中心7幢1单元 1701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18091758455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代理服务费收费标准：定额收取5000元整</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西安市雁塔区第十幼儿园</w:t>
      </w:r>
      <w:r>
        <w:rPr>
          <w:rFonts w:ascii="仿宋_GB2312" w:hAnsi="仿宋_GB2312" w:cs="仿宋_GB2312" w:eastAsia="仿宋_GB2312"/>
        </w:rPr>
        <w:t>和</w:t>
      </w:r>
      <w:r>
        <w:rPr>
          <w:rFonts w:ascii="仿宋_GB2312" w:hAnsi="仿宋_GB2312" w:cs="仿宋_GB2312" w:eastAsia="仿宋_GB2312"/>
        </w:rPr>
        <w:t>纳百川项目管理咨询有限公司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西安市雁塔区第十幼儿园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纳百川项目管理咨询有限公司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西安市雁塔区第十幼儿园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纳百川项目管理咨询有限公司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根据磋商文件及合同约定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联系人：赵静</w:t>
      </w:r>
    </w:p>
    <w:p>
      <w:pPr>
        <w:pStyle w:val="null3"/>
      </w:pPr>
      <w:r>
        <w:rPr>
          <w:rFonts w:ascii="仿宋_GB2312" w:hAnsi="仿宋_GB2312" w:cs="仿宋_GB2312" w:eastAsia="仿宋_GB2312"/>
        </w:rPr>
        <w:t>联系电话：18091758455</w:t>
      </w:r>
    </w:p>
    <w:p>
      <w:pPr>
        <w:pStyle w:val="null3"/>
      </w:pPr>
      <w:r>
        <w:rPr>
          <w:rFonts w:ascii="仿宋_GB2312" w:hAnsi="仿宋_GB2312" w:cs="仿宋_GB2312" w:eastAsia="仿宋_GB2312"/>
        </w:rPr>
        <w:t>地址：陕西省西安市曲江新区南三环辅路以南曲江文创中心7幢1单元 1701 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175,688.65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后院改造工程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180,000.00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标的名称：后院改造工程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工程量清单：详见工程量清单附件</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640"/>
              <w:jc w:val="both"/>
            </w:pPr>
            <w:r>
              <w:rPr>
                <w:rFonts w:ascii="仿宋_GB2312" w:hAnsi="仿宋_GB2312" w:cs="仿宋_GB2312" w:eastAsia="仿宋_GB2312"/>
                <w:sz w:val="21"/>
              </w:rPr>
              <w:t>1.计划工期：自进场之日起30个日历日内竣工；</w:t>
            </w:r>
          </w:p>
          <w:p>
            <w:pPr>
              <w:pStyle w:val="null3"/>
            </w:pPr>
            <w:r>
              <w:rPr>
                <w:rFonts w:ascii="仿宋_GB2312" w:hAnsi="仿宋_GB2312" w:cs="仿宋_GB2312" w:eastAsia="仿宋_GB2312"/>
                <w:sz w:val="21"/>
              </w:rPr>
              <w:t>2.缺陷责任期：自竣工验收合格之日起满1年；</w:t>
            </w:r>
          </w:p>
          <w:p>
            <w:pPr>
              <w:pStyle w:val="null3"/>
            </w:pPr>
            <w:r>
              <w:rPr>
                <w:rFonts w:ascii="仿宋_GB2312" w:hAnsi="仿宋_GB2312" w:cs="仿宋_GB2312" w:eastAsia="仿宋_GB2312"/>
                <w:sz w:val="21"/>
              </w:rPr>
              <w:t>3.质量保修期：自竣工验收合格之日起满1年。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结算方式： (1)合同签订后10个工作日内支付合同总价款40%作为预付款； (2)工程竣工、验收合格后15个工作日内支付至结算审计总价； (3)付款前供应商须需前向甲方提供足额发票。</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3.3.1质量验收标准或规范 依据现行的国家标准或国家行政部门颁布的法律法规、规章制度作为项目验收的重要依据。没有国家标准的，可以参考行业标准。 3.3.2违约责任 （1）乙方工程质量不符合合同规定的，负责无偿修理或返工。由于修理返工造成逾期交付的，按合同总价的10%偿付逾期违约金，并赔偿甲方实际损失。 （2）乙方工程交付时间不符合规定，乙方按合同总价的10%偿付逾期违约金。 （3）甲方未能按照合同的规定履行自己应负的责任，除竣工日期得以顺延外，还应赔偿乙方因此发生的实际损失。 （4）甲方未能按照该合同第九条支付工程价款，逾期支付货款部分，除应及时付足货款外，应向乙方每天支付欠款总额1‰的滞纳金;但累计滞纳金总额不超过欠款总额的1%。 3.3.3施工要求 在施工期间，成交应商必须注意院内人员安全，加强安全措施，并对施工人员进行安全教育。施工人员必须持证上岗。因采购人工作的特殊性，要求成交供应商在施工中做到封闭性施工。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2、具有履行合同所必需的设备和专业技术能力的书面声明（格式详见附件）； 3、有依法缴纳税收和社会保障资金的良好记录（提供开标前12个月内任一月份的社保和缴纳税收的证明，依法不需要缴纳社会保障资金、免税或无须缴纳税款的供应商，应提供相关证明文件)；4、参加政府采购活动前 3 年内在经营活动中没有重大违法记录的书面声明（格式详见附件）。</w:t>
            </w:r>
          </w:p>
        </w:tc>
        <w:tc>
          <w:tcPr>
            <w:tcW w:type="dxa" w:w="1661"/>
          </w:tcPr>
          <w:p>
            <w:pPr>
              <w:pStyle w:val="null3"/>
            </w:pPr>
            <w:r>
              <w:rPr>
                <w:rFonts w:ascii="仿宋_GB2312" w:hAnsi="仿宋_GB2312" w:cs="仿宋_GB2312" w:eastAsia="仿宋_GB2312"/>
              </w:rPr>
              <w:t>响应函 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的有效的2024年度或2025年度审计报告（审计报告须具有注册会计师行业统一监管平台https://acc.mof.gov.cn赋予的验证码）（成立时间至提交响应文件截止时间不足一年的可提供成立后任意时段的资产负债表），或提交自开标前六个月以来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拟派项目负责人和专业要求</w:t>
            </w:r>
          </w:p>
        </w:tc>
        <w:tc>
          <w:tcPr>
            <w:tcW w:type="dxa" w:w="3322"/>
          </w:tcPr>
          <w:p>
            <w:pPr>
              <w:pStyle w:val="null3"/>
            </w:pPr>
            <w:r>
              <w:rPr>
                <w:rFonts w:ascii="仿宋_GB2312" w:hAnsi="仿宋_GB2312" w:cs="仿宋_GB2312" w:eastAsia="仿宋_GB2312"/>
              </w:rPr>
              <w:t>拟投入的项目经理须提供二级（含二级）以上建筑工程专业注册建造师证书及安全生产考核合格证（B证）；在本单位注册，且无在建工程、无不良记录（提供无在建工程、无不良记录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施工资质</w:t>
            </w:r>
          </w:p>
        </w:tc>
        <w:tc>
          <w:tcPr>
            <w:tcW w:type="dxa" w:w="3322"/>
          </w:tcPr>
          <w:p>
            <w:pPr>
              <w:pStyle w:val="null3"/>
            </w:pPr>
            <w:r>
              <w:rPr>
                <w:rFonts w:ascii="仿宋_GB2312" w:hAnsi="仿宋_GB2312" w:cs="仿宋_GB2312" w:eastAsia="仿宋_GB2312"/>
              </w:rPr>
              <w:t>具有建筑工程施工总承包三级以上（含三级）资质。同时具有建设行政主管部门颁发的有效的安全生产许可证。供应商需在项目电子化交易系统中按要求上传相应证明文件并进行电子签章。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授权合法的人员参加磋商全过程</w:t>
            </w:r>
          </w:p>
        </w:tc>
        <w:tc>
          <w:tcPr>
            <w:tcW w:type="dxa" w:w="3322"/>
          </w:tcPr>
          <w:p>
            <w:pPr>
              <w:pStyle w:val="null3"/>
            </w:pPr>
            <w:r>
              <w:rPr>
                <w:rFonts w:ascii="仿宋_GB2312" w:hAnsi="仿宋_GB2312" w:cs="仿宋_GB2312" w:eastAsia="仿宋_GB2312"/>
              </w:rPr>
              <w:t>法定代表人授权委托书：法定代表人参加磋商的，须提供身份证；法定代表人授权他人参加磋商的，须提供法定代表人授权委托书及被授权人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供应商企业基本信息及拟派项目经理基本信息需在陕西省住房和城乡建设厅（http://js.shaanxi.gov.cn/）网站可查询（提供网站截图）。供应商需在项目电子化交易系统中按要求上传相应证明文件并进行电子签章。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法定代表人或其授权代表人的签字齐全并加盖公章。</w:t>
            </w:r>
          </w:p>
        </w:tc>
        <w:tc>
          <w:tcPr>
            <w:tcW w:type="dxa" w:w="1661"/>
          </w:tcPr>
          <w:p>
            <w:pPr>
              <w:pStyle w:val="null3"/>
            </w:pPr>
            <w:r>
              <w:rPr>
                <w:rFonts w:ascii="仿宋_GB2312" w:hAnsi="仿宋_GB2312" w:cs="仿宋_GB2312" w:eastAsia="仿宋_GB2312"/>
              </w:rPr>
              <w:t>响应文件封面 已标价工程量清单 类似项目业绩一览表.docx 中小企业声明函 残疾人福利性单位声明函 报价函 标的清单 技术、商务响应说明.docx 响应函 相关资格证明材料.docx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 已标价工程量清单 类似项目业绩一览表.docx 中小企业声明函 残疾人福利性单位声明函 报价函 标的清单 技术、商务响应说明.docx 响应函 相关资格证明材料.docx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按磋商文件要求报价，不得提交选择性报价，且每轮报价不超过最高限价。</w:t>
            </w:r>
          </w:p>
        </w:tc>
        <w:tc>
          <w:tcPr>
            <w:tcW w:type="dxa" w:w="1661"/>
          </w:tcPr>
          <w:p>
            <w:pPr>
              <w:pStyle w:val="null3"/>
            </w:pPr>
            <w:r>
              <w:rPr>
                <w:rFonts w:ascii="仿宋_GB2312" w:hAnsi="仿宋_GB2312" w:cs="仿宋_GB2312" w:eastAsia="仿宋_GB2312"/>
              </w:rPr>
              <w:t>已标价工程量清单 报价函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已标价工程量清单 类似项目业绩一览表.docx 中小企业声明函 残疾人福利性单位声明函 报价函 标的清单 技术、商务响应说明.docx 响应函 相关资格证明材料.docx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响应文件封面 已标价工程量清单 类似项目业绩一览表.docx 中小企业声明函 残疾人福利性单位声明函 报价函 标的清单 技术、商务响应说明.docx 响应函 相关资格证明材料.docx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已标价工程量清单 类似项目业绩一览表.docx 中小企业声明函 残疾人福利性单位声明函 报价函 标的清单 技术、商务响应说明.docx 响应函 相关资格证明材料.docx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不存在法律、法规和磋商文件规定的其他无效磋商情形。</w:t>
            </w:r>
          </w:p>
        </w:tc>
        <w:tc>
          <w:tcPr>
            <w:tcW w:type="dxa" w:w="1661"/>
          </w:tcPr>
          <w:p>
            <w:pPr>
              <w:pStyle w:val="null3"/>
            </w:pPr>
            <w:r>
              <w:rPr>
                <w:rFonts w:ascii="仿宋_GB2312" w:hAnsi="仿宋_GB2312" w:cs="仿宋_GB2312" w:eastAsia="仿宋_GB2312"/>
              </w:rPr>
              <w:t>响应文件封面 已标价工程量清单 类似项目业绩一览表.docx 中小企业声明函 残疾人福利性单位声明函 报价函 标的清单 技术、商务响应说明.docx 响应函 相关资格证明材料.docx 服务方案.docx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详细评审40.00分</w:t>
            </w:r>
          </w:p>
          <w:p>
            <w:pPr>
              <w:pStyle w:val="null3"/>
            </w:pPr>
            <w:r>
              <w:rPr>
                <w:rFonts w:ascii="仿宋_GB2312" w:hAnsi="仿宋_GB2312" w:cs="仿宋_GB2312" w:eastAsia="仿宋_GB2312"/>
              </w:rPr>
              <w:t>报价得分60.00分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 ①施工进度计划横道图 ②进度计划保证措施 ③工期保证措施。 二、评审标准 1、完整性：方案必须全面，对评审内容中的各项要求有详细描述； 2、可实施性：切合本项目实际情况，提出步骤清晰、合理的方案； 3、针对性：方案能够紧扣项目实际情况，内容科学合理。 三、赋分标准（满分6分） ①施工进度计划横道图：每完全满足一个评审标准得0.5分，满分1.5分； ②进度计划保证措施：每完全满足一个评审标准得1分，满分3分； ③工期保证措施：每完全满足一个评审标准得0.5分，满分1.5分。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 ①施工质量的检验制度②确保质量的技术组织措施③施工质量控制措施 二、评审标准 1、完整性：方案必须全面，对评审内容中的各项要求有详细描述； 2、可实施性：切合本项目实际情况，提出步骤清晰、合理的方案； 3、针对性：方案能够紧扣项目实际情况，内容科学合理。 三、赋分标准（满分6分） ①施工质量检验制度：每完全满足一个评审标准得0.5分，满分1.5分； ②确保质量的技术组织措施：每完全满足一个评审标准得1分，满分3分； ③施工质量控制措施：每完全满足一个评审标准得0.5分，满分1.5分；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供应商针对本项目编制完整的安全施工措施，内容包含：①安全生产管理制度②安全施工措施③安全应急预案④安全生产教育。 二、评审标准 1、完整性：方案必须全面，对评审内容中的各项要求有详细描述；2、可实施性：切合本项目实际情况，提出步骤清晰、合理的方案；3、针对性：方案能够紧扣项目实际情况，内容科学合理。 三、赋分标准（满分6分） ①安全生产管理制度：每完全满足一个评审标准得0.5分，满分1.5分； ②安全施工措施：每完全满足一个评审标准得0.5分，满分1.5分； ③安全应急预案：每完全满足一个评审标准得0.5分，满分1.5分； ④安全生产教育：每完全满足一个评审标准得0.5分，满分1.5分。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 供应商针对本项目编制主要管理措施，内容包含：①成品保护措施 ②季节性施工措施③消防保卫措施④环境保护措施。 二、评审标准 1、完整性：方案必须全面，对评审内容中的各项要求有详细描述； 2、可实施性：切合本项目实际情况，提出步骤清晰、合理的方案； 3、针对性：方案能够紧扣项目实际情况，内容科学合理。 三、赋分标准（满分6分） ①成品保护措施：每完全满足一个评审标准得0.5分，满分1.5分； ②季节性施工措施：每完全满足一个评审标准得0.5分，满分1.5分； ③消防保卫措施：每完全满足一个评审标准得0.5分，满分1.5分； ④环境保护措施：每完全满足一个评审标准得0.5分，满分1.5分。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 供应商针对本项目编制完善的分部分项工程施工方案，内容包含：①工程重难点及解决措施 ②分部分项工程施工方法 ③施工质量通病防治措施。 二、评审标准 1、完整性：方案必须全面，对评审内容中的各项要求有详细描述；2、可实施性：切合本项目实际情况，提出步骤清晰、合理的方案； 3、针对性：方案能够紧扣项目实际情况，内容科学合理。 三、赋分标准（满分6分） ①工程重难点及解决措施：每完全满足一个评审标准得1分，满分3分； ②分部分项工程施工方法：每完全满足一个评审标准得0.5分，满分1.5分； ③施工质量通病防治措施：每完全满足一个评审标准得0.5分，满分1.5分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供应商针对本项目编制科学的项目管理机构，内容包含：①管理机构的配备计划②组织机构的岗位职责。 二、评审标准 1、完整性：方案必须全面，对评审内容中的各项要求有详细描述； 2、可实施性：切合本项目实际情况，提出步骤清晰、合理的方案； 3、针对性：方案能够紧扣项目实际情况，内容科学合理。 三、赋分标准（满分6分） ①管理机构的配备计划：每完全满足一个评审标准得1分，满分3分； ②组织机构的岗位职责：每完全满足一个评审标准得1分，满分3分。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供应商提供自2023年1月1日（以合同签订时间为准）至今类似项目业绩，每份得2分，满分4分。(提供合同复印件或扫描件并加盖公章)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评审值（注：满足磋商文件要求且响应价格最低的响应报价为评标基准价。）最低报价不是成交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60.0000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详见附件：技术、商务响应说明.docx</w:t>
      </w:r>
    </w:p>
    <w:p>
      <w:pPr>
        <w:pStyle w:val="null3"/>
        <w:ind w:firstLine="960"/>
      </w:pPr>
      <w:r>
        <w:rPr>
          <w:rFonts w:ascii="仿宋_GB2312" w:hAnsi="仿宋_GB2312" w:cs="仿宋_GB2312" w:eastAsia="仿宋_GB2312"/>
        </w:rPr>
        <w:t>详见附件：相关资格证明材料.docx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详见附件：合同-西安市雁塔区第十幼儿园后院改造工程.docx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