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6FBC0">
      <w:pPr>
        <w:numPr>
          <w:ilvl w:val="2"/>
          <w:numId w:val="0"/>
        </w:numPr>
        <w:jc w:val="center"/>
        <w:outlineLvl w:val="9"/>
        <w:rPr>
          <w:rFonts w:hint="eastAsia" w:ascii="宋体" w:hAnsi="宋体" w:eastAsia="宋体" w:cs="宋体"/>
          <w:b w:val="0"/>
          <w:bCs w:val="0"/>
          <w:sz w:val="32"/>
          <w:szCs w:val="32"/>
        </w:rPr>
      </w:pPr>
      <w:r>
        <w:rPr>
          <w:rFonts w:hint="eastAsia" w:ascii="宋体" w:hAnsi="宋体" w:eastAsia="宋体" w:cs="宋体"/>
          <w:bCs w:val="0"/>
          <w:sz w:val="32"/>
          <w:szCs w:val="32"/>
        </w:rPr>
        <w:t>商务应答表</w:t>
      </w:r>
    </w:p>
    <w:p w14:paraId="6660C7F2">
      <w:pPr>
        <w:spacing w:line="360" w:lineRule="auto"/>
        <w:ind w:left="1532" w:hanging="1532" w:hangingChars="545"/>
        <w:rPr>
          <w:rFonts w:hint="eastAsia" w:ascii="宋体" w:hAnsi="宋体" w:eastAsia="宋体" w:cs="宋体"/>
          <w:b/>
          <w:bCs/>
          <w:sz w:val="28"/>
          <w:szCs w:val="28"/>
        </w:rPr>
      </w:pPr>
      <w:r>
        <w:rPr>
          <w:rFonts w:hint="eastAsia" w:ascii="宋体" w:hAnsi="宋体" w:eastAsia="宋体" w:cs="宋体"/>
          <w:b/>
          <w:bCs/>
          <w:sz w:val="28"/>
          <w:szCs w:val="28"/>
        </w:rPr>
        <w:t>采购项目名称：</w:t>
      </w:r>
      <w:r>
        <w:rPr>
          <w:rFonts w:hint="eastAsia" w:ascii="宋体" w:hAnsi="宋体" w:eastAsia="宋体" w:cs="宋体"/>
          <w:sz w:val="28"/>
          <w:szCs w:val="28"/>
        </w:rPr>
        <w:t>{请填写</w:t>
      </w:r>
      <w:r>
        <w:rPr>
          <w:rFonts w:hint="eastAsia" w:ascii="宋体" w:hAnsi="宋体" w:eastAsia="宋体" w:cs="宋体"/>
          <w:sz w:val="28"/>
          <w:szCs w:val="28"/>
          <w:lang w:eastAsia="zh-Hans"/>
        </w:rPr>
        <w:t>采购项目名称</w:t>
      </w:r>
      <w:r>
        <w:rPr>
          <w:rFonts w:hint="eastAsia" w:ascii="宋体" w:hAnsi="宋体" w:eastAsia="宋体" w:cs="宋体"/>
          <w:sz w:val="28"/>
          <w:szCs w:val="28"/>
        </w:rPr>
        <w:t>}</w:t>
      </w:r>
    </w:p>
    <w:p w14:paraId="7EDC9DE5">
      <w:pPr>
        <w:spacing w:line="360" w:lineRule="auto"/>
        <w:rPr>
          <w:rFonts w:hint="eastAsia" w:ascii="宋体" w:hAnsi="宋体" w:eastAsia="宋体" w:cs="宋体"/>
          <w:sz w:val="28"/>
          <w:szCs w:val="28"/>
          <w:highlight w:val="yellow"/>
        </w:rPr>
      </w:pPr>
      <w:r>
        <w:rPr>
          <w:rFonts w:hint="eastAsia" w:ascii="宋体" w:hAnsi="宋体" w:eastAsia="宋体" w:cs="宋体"/>
          <w:b/>
          <w:bCs/>
          <w:sz w:val="28"/>
          <w:szCs w:val="28"/>
        </w:rPr>
        <w:t>采购项目编号：</w:t>
      </w:r>
      <w:r>
        <w:rPr>
          <w:rFonts w:hint="eastAsia" w:ascii="宋体" w:hAnsi="宋体" w:eastAsia="宋体" w:cs="宋体"/>
          <w:sz w:val="28"/>
          <w:szCs w:val="28"/>
        </w:rPr>
        <w:t>{请填写</w:t>
      </w:r>
      <w:r>
        <w:rPr>
          <w:rFonts w:hint="eastAsia" w:ascii="宋体" w:hAnsi="宋体" w:eastAsia="宋体" w:cs="宋体"/>
          <w:sz w:val="28"/>
          <w:szCs w:val="28"/>
          <w:lang w:eastAsia="zh-Hans"/>
        </w:rPr>
        <w:t>采购项目编号</w:t>
      </w:r>
      <w:r>
        <w:rPr>
          <w:rFonts w:hint="eastAsia" w:ascii="宋体" w:hAnsi="宋体" w:eastAsia="宋体" w:cs="宋体"/>
          <w:sz w:val="28"/>
          <w:szCs w:val="28"/>
        </w:rPr>
        <w:t>}</w:t>
      </w:r>
    </w:p>
    <w:p w14:paraId="265393B6">
      <w:pPr>
        <w:spacing w:line="360" w:lineRule="auto"/>
        <w:rPr>
          <w:rFonts w:hint="eastAsia" w:ascii="宋体" w:hAnsi="宋体" w:eastAsia="宋体" w:cs="宋体"/>
          <w:sz w:val="28"/>
          <w:szCs w:val="28"/>
        </w:rPr>
      </w:pPr>
      <w:r>
        <w:rPr>
          <w:rFonts w:hint="eastAsia" w:ascii="宋体" w:hAnsi="宋体" w:eastAsia="宋体" w:cs="宋体"/>
          <w:b/>
          <w:bCs/>
          <w:sz w:val="28"/>
          <w:szCs w:val="28"/>
        </w:rPr>
        <w:t>采购</w:t>
      </w:r>
      <w:r>
        <w:rPr>
          <w:rFonts w:hint="eastAsia" w:ascii="宋体" w:hAnsi="宋体" w:eastAsia="宋体" w:cs="宋体"/>
          <w:b/>
          <w:bCs/>
          <w:sz w:val="28"/>
          <w:szCs w:val="28"/>
          <w:lang w:eastAsia="zh-Hans"/>
        </w:rPr>
        <w:t>包号：</w:t>
      </w:r>
      <w:r>
        <w:rPr>
          <w:rFonts w:hint="eastAsia" w:ascii="宋体" w:hAnsi="宋体" w:eastAsia="宋体" w:cs="宋体"/>
          <w:sz w:val="28"/>
          <w:szCs w:val="28"/>
        </w:rPr>
        <w:t>{请填写采购包</w:t>
      </w:r>
      <w:r>
        <w:rPr>
          <w:rFonts w:hint="eastAsia" w:ascii="宋体" w:hAnsi="宋体" w:eastAsia="宋体" w:cs="宋体"/>
          <w:sz w:val="28"/>
          <w:szCs w:val="28"/>
          <w:lang w:eastAsia="zh-Hans"/>
        </w:rPr>
        <w:t>编号</w:t>
      </w:r>
      <w:r>
        <w:rPr>
          <w:rFonts w:hint="eastAsia" w:ascii="宋体" w:hAnsi="宋体" w:eastAsia="宋体" w:cs="宋体"/>
          <w:sz w:val="28"/>
          <w:szCs w:val="28"/>
        </w:rPr>
        <w:t xml:space="preserve">}                                             </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3369"/>
        <w:gridCol w:w="4209"/>
      </w:tblGrid>
      <w:tr w14:paraId="1F29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552" w:type="pct"/>
            <w:vAlign w:val="center"/>
          </w:tcPr>
          <w:p w14:paraId="242E20F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77" w:type="pct"/>
            <w:vAlign w:val="center"/>
          </w:tcPr>
          <w:p w14:paraId="5CBCC152">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采购</w:t>
            </w:r>
            <w:r>
              <w:rPr>
                <w:rFonts w:hint="eastAsia" w:ascii="宋体" w:hAnsi="宋体" w:eastAsia="宋体" w:cs="宋体"/>
                <w:sz w:val="24"/>
                <w:szCs w:val="24"/>
              </w:rPr>
              <w:t>文件要求</w:t>
            </w:r>
          </w:p>
        </w:tc>
        <w:tc>
          <w:tcPr>
            <w:tcW w:w="2470" w:type="pct"/>
            <w:vAlign w:val="center"/>
          </w:tcPr>
          <w:p w14:paraId="46A847FB">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响应</w:t>
            </w:r>
            <w:r>
              <w:rPr>
                <w:rFonts w:hint="eastAsia" w:ascii="宋体" w:hAnsi="宋体" w:eastAsia="宋体" w:cs="宋体"/>
                <w:sz w:val="24"/>
                <w:szCs w:val="24"/>
              </w:rPr>
              <w:t>文件应答</w:t>
            </w:r>
          </w:p>
        </w:tc>
      </w:tr>
      <w:tr w14:paraId="4A60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7993506A">
            <w:pPr>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1977" w:type="pct"/>
            <w:vAlign w:val="center"/>
          </w:tcPr>
          <w:p w14:paraId="413F522A">
            <w:pPr>
              <w:pStyle w:val="5"/>
              <w:outlineLvl w:val="3"/>
              <w:rPr>
                <w:sz w:val="24"/>
                <w:szCs w:val="24"/>
              </w:rPr>
            </w:pPr>
            <w:r>
              <w:rPr>
                <w:rFonts w:ascii="仿宋_GB2312" w:hAnsi="仿宋_GB2312" w:eastAsia="仿宋_GB2312" w:cs="仿宋_GB2312"/>
                <w:b/>
                <w:sz w:val="24"/>
                <w:szCs w:val="24"/>
              </w:rPr>
              <w:t>3.4.1交货时间</w:t>
            </w:r>
          </w:p>
          <w:p w14:paraId="627C7828">
            <w:pPr>
              <w:pStyle w:val="5"/>
              <w:rPr>
                <w:sz w:val="24"/>
                <w:szCs w:val="24"/>
              </w:rPr>
            </w:pPr>
            <w:r>
              <w:rPr>
                <w:rFonts w:ascii="仿宋_GB2312" w:hAnsi="仿宋_GB2312" w:eastAsia="仿宋_GB2312" w:cs="仿宋_GB2312"/>
                <w:sz w:val="24"/>
                <w:szCs w:val="24"/>
              </w:rPr>
              <w:t>采购包1：</w:t>
            </w:r>
          </w:p>
          <w:p w14:paraId="5F471E50">
            <w:pPr>
              <w:spacing w:line="360" w:lineRule="auto"/>
              <w:jc w:val="both"/>
              <w:rPr>
                <w:rFonts w:hint="eastAsia" w:ascii="宋体" w:hAnsi="宋体" w:eastAsia="宋体" w:cs="宋体"/>
                <w:sz w:val="24"/>
                <w:szCs w:val="24"/>
              </w:rPr>
            </w:pPr>
            <w:r>
              <w:rPr>
                <w:rFonts w:hint="eastAsia" w:ascii="仿宋_GB2312" w:hAnsi="仿宋_GB2312" w:eastAsia="仿宋_GB2312" w:cs="仿宋_GB2312"/>
                <w:kern w:val="0"/>
                <w:sz w:val="24"/>
                <w:szCs w:val="24"/>
                <w:lang w:val="en-US" w:eastAsia="zh-Hans"/>
              </w:rPr>
              <w:t>合同签订后自甲方通知90日内完成全部项目内容，并交付采购人验收合格。</w:t>
            </w:r>
          </w:p>
        </w:tc>
        <w:tc>
          <w:tcPr>
            <w:tcW w:w="2470" w:type="pct"/>
          </w:tcPr>
          <w:p w14:paraId="283773E6">
            <w:pPr>
              <w:spacing w:line="360" w:lineRule="auto"/>
              <w:ind w:firstLine="470" w:firstLineChars="196"/>
              <w:rPr>
                <w:rFonts w:hint="eastAsia" w:ascii="宋体" w:hAnsi="宋体" w:eastAsia="宋体" w:cs="宋体"/>
                <w:sz w:val="24"/>
                <w:szCs w:val="24"/>
              </w:rPr>
            </w:pPr>
          </w:p>
        </w:tc>
      </w:tr>
      <w:tr w14:paraId="33F8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173AE39F">
            <w:pPr>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1977" w:type="pct"/>
            <w:vAlign w:val="center"/>
          </w:tcPr>
          <w:p w14:paraId="4EF57FF1">
            <w:pPr>
              <w:pStyle w:val="5"/>
              <w:outlineLvl w:val="3"/>
              <w:rPr>
                <w:sz w:val="24"/>
                <w:szCs w:val="24"/>
              </w:rPr>
            </w:pPr>
            <w:r>
              <w:rPr>
                <w:rFonts w:ascii="仿宋_GB2312" w:hAnsi="仿宋_GB2312" w:eastAsia="仿宋_GB2312" w:cs="仿宋_GB2312"/>
                <w:b/>
                <w:sz w:val="24"/>
                <w:szCs w:val="24"/>
              </w:rPr>
              <w:t>3.4.2交货地点和方式</w:t>
            </w:r>
          </w:p>
          <w:p w14:paraId="1F6AD88D">
            <w:pPr>
              <w:pStyle w:val="5"/>
              <w:rPr>
                <w:sz w:val="24"/>
                <w:szCs w:val="24"/>
              </w:rPr>
            </w:pPr>
            <w:r>
              <w:rPr>
                <w:rFonts w:ascii="仿宋_GB2312" w:hAnsi="仿宋_GB2312" w:eastAsia="仿宋_GB2312" w:cs="仿宋_GB2312"/>
                <w:sz w:val="24"/>
                <w:szCs w:val="24"/>
              </w:rPr>
              <w:t>采购包1：</w:t>
            </w:r>
          </w:p>
          <w:p w14:paraId="0E09CD9B">
            <w:pPr>
              <w:pStyle w:val="5"/>
              <w:rPr>
                <w:rFonts w:hint="eastAsia" w:ascii="宋体" w:hAnsi="宋体" w:eastAsia="宋体" w:cs="宋体"/>
                <w:sz w:val="24"/>
                <w:szCs w:val="24"/>
              </w:rPr>
            </w:pPr>
            <w:r>
              <w:rPr>
                <w:rFonts w:hint="eastAsia" w:ascii="仿宋_GB2312" w:hAnsi="仿宋_GB2312" w:eastAsia="仿宋_GB2312" w:cs="仿宋_GB2312"/>
                <w:sz w:val="24"/>
                <w:szCs w:val="24"/>
              </w:rPr>
              <w:t>甲方指定地点</w:t>
            </w:r>
          </w:p>
        </w:tc>
        <w:tc>
          <w:tcPr>
            <w:tcW w:w="2470" w:type="pct"/>
          </w:tcPr>
          <w:p w14:paraId="1E07EA5D">
            <w:pPr>
              <w:spacing w:line="360" w:lineRule="auto"/>
              <w:ind w:firstLine="470" w:firstLineChars="196"/>
              <w:rPr>
                <w:rFonts w:hint="eastAsia" w:ascii="宋体" w:hAnsi="宋体" w:eastAsia="宋体" w:cs="宋体"/>
                <w:sz w:val="24"/>
                <w:szCs w:val="24"/>
              </w:rPr>
            </w:pPr>
          </w:p>
        </w:tc>
      </w:tr>
      <w:tr w14:paraId="30490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64A22E17">
            <w:pPr>
              <w:spacing w:line="360" w:lineRule="auto"/>
              <w:rPr>
                <w:rFonts w:hint="eastAsia" w:ascii="宋体" w:hAnsi="宋体" w:eastAsia="宋体" w:cs="宋体"/>
                <w:sz w:val="24"/>
                <w:szCs w:val="24"/>
              </w:rPr>
            </w:pPr>
            <w:r>
              <w:rPr>
                <w:rFonts w:hint="eastAsia" w:ascii="宋体" w:hAnsi="宋体" w:eastAsia="宋体" w:cs="宋体"/>
                <w:sz w:val="24"/>
                <w:szCs w:val="24"/>
              </w:rPr>
              <w:t>3</w:t>
            </w:r>
          </w:p>
        </w:tc>
        <w:tc>
          <w:tcPr>
            <w:tcW w:w="1977" w:type="pct"/>
            <w:vAlign w:val="center"/>
          </w:tcPr>
          <w:p w14:paraId="3CA841C7">
            <w:pPr>
              <w:pStyle w:val="5"/>
              <w:outlineLvl w:val="3"/>
              <w:rPr>
                <w:sz w:val="24"/>
                <w:szCs w:val="24"/>
              </w:rPr>
            </w:pPr>
            <w:r>
              <w:rPr>
                <w:rFonts w:ascii="仿宋_GB2312" w:hAnsi="仿宋_GB2312" w:eastAsia="仿宋_GB2312" w:cs="仿宋_GB2312"/>
                <w:b/>
                <w:sz w:val="24"/>
                <w:szCs w:val="24"/>
              </w:rPr>
              <w:t>3.4.3支付方式</w:t>
            </w:r>
          </w:p>
          <w:p w14:paraId="1312C7D3">
            <w:pPr>
              <w:pStyle w:val="5"/>
              <w:rPr>
                <w:sz w:val="24"/>
                <w:szCs w:val="24"/>
              </w:rPr>
            </w:pPr>
            <w:r>
              <w:rPr>
                <w:rFonts w:ascii="仿宋_GB2312" w:hAnsi="仿宋_GB2312" w:eastAsia="仿宋_GB2312" w:cs="仿宋_GB2312"/>
                <w:sz w:val="24"/>
                <w:szCs w:val="24"/>
              </w:rPr>
              <w:t>采购包1：</w:t>
            </w:r>
          </w:p>
          <w:p w14:paraId="6BA4BBCC">
            <w:pPr>
              <w:pStyle w:val="5"/>
              <w:rPr>
                <w:rFonts w:hint="eastAsia" w:ascii="宋体" w:hAnsi="宋体" w:eastAsia="宋体" w:cs="宋体"/>
                <w:sz w:val="24"/>
                <w:szCs w:val="24"/>
              </w:rPr>
            </w:pPr>
            <w:r>
              <w:rPr>
                <w:rFonts w:ascii="仿宋_GB2312" w:hAnsi="仿宋_GB2312" w:eastAsia="仿宋_GB2312" w:cs="仿宋_GB2312"/>
                <w:sz w:val="24"/>
                <w:szCs w:val="24"/>
              </w:rPr>
              <w:t>分期付款</w:t>
            </w:r>
          </w:p>
        </w:tc>
        <w:tc>
          <w:tcPr>
            <w:tcW w:w="2470" w:type="pct"/>
          </w:tcPr>
          <w:p w14:paraId="23329F96">
            <w:pPr>
              <w:spacing w:line="360" w:lineRule="auto"/>
              <w:ind w:firstLine="470" w:firstLineChars="196"/>
              <w:rPr>
                <w:rFonts w:hint="eastAsia" w:ascii="宋体" w:hAnsi="宋体" w:eastAsia="宋体" w:cs="宋体"/>
                <w:sz w:val="24"/>
                <w:szCs w:val="24"/>
              </w:rPr>
            </w:pPr>
          </w:p>
        </w:tc>
      </w:tr>
      <w:tr w14:paraId="2631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52" w:type="pct"/>
            <w:vAlign w:val="center"/>
          </w:tcPr>
          <w:p w14:paraId="0117592B">
            <w:pPr>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1977" w:type="pct"/>
            <w:vAlign w:val="center"/>
          </w:tcPr>
          <w:p w14:paraId="521C7151">
            <w:pPr>
              <w:pStyle w:val="5"/>
              <w:outlineLvl w:val="3"/>
              <w:rPr>
                <w:sz w:val="24"/>
                <w:szCs w:val="24"/>
              </w:rPr>
            </w:pPr>
            <w:r>
              <w:rPr>
                <w:rFonts w:ascii="仿宋_GB2312" w:hAnsi="仿宋_GB2312" w:eastAsia="仿宋_GB2312" w:cs="仿宋_GB2312"/>
                <w:b/>
                <w:sz w:val="24"/>
                <w:szCs w:val="24"/>
              </w:rPr>
              <w:t>3.4.4支付约定</w:t>
            </w:r>
          </w:p>
          <w:p w14:paraId="2A35D7D9">
            <w:pPr>
              <w:pStyle w:val="5"/>
              <w:rPr>
                <w:rFonts w:hint="eastAsia" w:ascii="仿宋_GB2312" w:hAnsi="仿宋_GB2312" w:eastAsia="仿宋_GB2312" w:cs="仿宋_GB2312"/>
                <w:sz w:val="24"/>
                <w:szCs w:val="24"/>
              </w:rPr>
            </w:pPr>
            <w:r>
              <w:rPr>
                <w:rFonts w:ascii="仿宋_GB2312" w:hAnsi="仿宋_GB2312" w:eastAsia="仿宋_GB2312" w:cs="仿宋_GB2312"/>
                <w:sz w:val="24"/>
                <w:szCs w:val="24"/>
              </w:rPr>
              <w:t>采购包1：</w:t>
            </w:r>
            <w:r>
              <w:rPr>
                <w:rFonts w:hint="eastAsia" w:ascii="仿宋_GB2312" w:hAnsi="仿宋_GB2312" w:eastAsia="仿宋_GB2312" w:cs="仿宋_GB2312"/>
                <w:sz w:val="24"/>
                <w:szCs w:val="24"/>
              </w:rPr>
              <w:t>1、进度款，无预付款，所有货物到达甲方指定地点，安装、调试完毕、提供国家或行业标准的合格验收证明以及出具所有设备生产厂家提供的叁年质量保证书等，乙方完成自检合格后，提交甲方进行第一次验收，甲方自第一次验收合格且收到发票之日，达到付款条件起10日内，支付验收合格产品对应金额总价95%。，达到付款条件起10个工作日内，支付合同总金额的95.0%</w:t>
            </w:r>
          </w:p>
          <w:p w14:paraId="729422D6">
            <w:pPr>
              <w:pStyle w:val="5"/>
              <w:rPr>
                <w:rFonts w:hint="eastAsia" w:ascii="宋体" w:hAnsi="宋体" w:eastAsia="宋体" w:cs="宋体"/>
                <w:sz w:val="24"/>
                <w:szCs w:val="24"/>
              </w:rPr>
            </w:pPr>
            <w:r>
              <w:rPr>
                <w:rFonts w:hint="eastAsia" w:ascii="仿宋_GB2312" w:hAnsi="仿宋_GB2312" w:eastAsia="仿宋_GB2312" w:cs="仿宋_GB2312"/>
                <w:sz w:val="24"/>
                <w:szCs w:val="24"/>
              </w:rPr>
              <w:t>2、进度款，货物第一次验收合格满36个月后，进行二次验收，验收合格后达到付款条件起10日内，支付合同总金额的5%。，达到付款条件起10个工作日内，支付合同总金额的5.0%</w:t>
            </w:r>
          </w:p>
        </w:tc>
        <w:tc>
          <w:tcPr>
            <w:tcW w:w="2470" w:type="pct"/>
          </w:tcPr>
          <w:p w14:paraId="1974CE97">
            <w:pPr>
              <w:spacing w:line="360" w:lineRule="auto"/>
              <w:ind w:firstLine="470" w:firstLineChars="196"/>
              <w:rPr>
                <w:rFonts w:hint="eastAsia" w:ascii="宋体" w:hAnsi="宋体" w:eastAsia="宋体" w:cs="宋体"/>
                <w:sz w:val="24"/>
                <w:szCs w:val="24"/>
              </w:rPr>
            </w:pPr>
          </w:p>
        </w:tc>
      </w:tr>
      <w:tr w14:paraId="6088F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0894CA1C">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1977" w:type="pct"/>
            <w:vAlign w:val="center"/>
          </w:tcPr>
          <w:p w14:paraId="662152A6">
            <w:pPr>
              <w:pStyle w:val="5"/>
              <w:outlineLvl w:val="3"/>
              <w:rPr>
                <w:sz w:val="24"/>
                <w:szCs w:val="24"/>
              </w:rPr>
            </w:pPr>
            <w:r>
              <w:rPr>
                <w:rFonts w:ascii="仿宋_GB2312" w:hAnsi="仿宋_GB2312" w:eastAsia="仿宋_GB2312" w:cs="仿宋_GB2312"/>
                <w:b/>
                <w:sz w:val="24"/>
                <w:szCs w:val="24"/>
              </w:rPr>
              <w:t>3.4.5验收标准和方法</w:t>
            </w:r>
          </w:p>
          <w:p w14:paraId="644BCB8C">
            <w:pPr>
              <w:pStyle w:val="5"/>
              <w:rPr>
                <w:sz w:val="24"/>
                <w:szCs w:val="24"/>
              </w:rPr>
            </w:pPr>
            <w:r>
              <w:rPr>
                <w:rFonts w:ascii="仿宋_GB2312" w:hAnsi="仿宋_GB2312" w:eastAsia="仿宋_GB2312" w:cs="仿宋_GB2312"/>
                <w:sz w:val="24"/>
                <w:szCs w:val="24"/>
              </w:rPr>
              <w:t>采购包1：</w:t>
            </w:r>
          </w:p>
          <w:p w14:paraId="0889B5AF">
            <w:pPr>
              <w:pStyle w:val="5"/>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仿宋_GB2312" w:hAnsi="仿宋_GB2312" w:eastAsia="仿宋_GB2312" w:cs="仿宋_GB2312"/>
                <w:sz w:val="24"/>
                <w:szCs w:val="24"/>
                <w:lang w:val="en-US" w:eastAsia="zh-CN"/>
              </w:rPr>
              <w:t xml:space="preserve">、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2、验收时如发现所交付的货物有缺项、次品、损坏或其它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 </w:t>
            </w:r>
          </w:p>
        </w:tc>
        <w:tc>
          <w:tcPr>
            <w:tcW w:w="2470" w:type="pct"/>
          </w:tcPr>
          <w:p w14:paraId="6B6587FE">
            <w:pPr>
              <w:spacing w:line="360" w:lineRule="auto"/>
              <w:ind w:firstLine="470" w:firstLineChars="196"/>
              <w:rPr>
                <w:rFonts w:hint="eastAsia" w:ascii="宋体" w:hAnsi="宋体" w:eastAsia="宋体" w:cs="宋体"/>
                <w:sz w:val="24"/>
                <w:szCs w:val="24"/>
              </w:rPr>
            </w:pPr>
          </w:p>
        </w:tc>
      </w:tr>
      <w:tr w14:paraId="34B4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4C9DB67F">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6</w:t>
            </w:r>
          </w:p>
        </w:tc>
        <w:tc>
          <w:tcPr>
            <w:tcW w:w="1977" w:type="pct"/>
            <w:vAlign w:val="center"/>
          </w:tcPr>
          <w:p w14:paraId="7A03FE9A">
            <w:pPr>
              <w:pStyle w:val="5"/>
              <w:outlineLvl w:val="3"/>
              <w:rPr>
                <w:sz w:val="24"/>
                <w:szCs w:val="24"/>
              </w:rPr>
            </w:pPr>
            <w:r>
              <w:rPr>
                <w:rFonts w:ascii="仿宋_GB2312" w:hAnsi="仿宋_GB2312" w:eastAsia="仿宋_GB2312" w:cs="仿宋_GB2312"/>
                <w:b/>
                <w:sz w:val="24"/>
                <w:szCs w:val="24"/>
              </w:rPr>
              <w:t>3.4.6包装方式及运输</w:t>
            </w:r>
          </w:p>
          <w:p w14:paraId="653C4C7A">
            <w:pPr>
              <w:pStyle w:val="5"/>
              <w:rPr>
                <w:sz w:val="24"/>
                <w:szCs w:val="24"/>
              </w:rPr>
            </w:pPr>
            <w:r>
              <w:rPr>
                <w:rFonts w:ascii="仿宋_GB2312" w:hAnsi="仿宋_GB2312" w:eastAsia="仿宋_GB2312" w:cs="仿宋_GB2312"/>
                <w:sz w:val="24"/>
                <w:szCs w:val="24"/>
              </w:rPr>
              <w:t>采购包1：</w:t>
            </w:r>
          </w:p>
          <w:p w14:paraId="3A314112">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涉及的商品包装和快递包装，均应符合《商品包装政府采购需求标准（试行）》《快递包装政府采购需求标准（试行）》的要求，包装应适应于远距离运输、防潮、防震、防锈和防野蛮装卸，以确保货物安全无损运抵指定地点。</w:t>
            </w:r>
            <w:r>
              <w:rPr>
                <w:rFonts w:ascii="仿宋_GB2312" w:hAnsi="仿宋_GB2312" w:eastAsia="仿宋_GB2312" w:cs="仿宋_GB2312"/>
                <w:sz w:val="24"/>
                <w:szCs w:val="24"/>
                <w:lang w:val="en-US" w:eastAsia="zh-CN"/>
              </w:rPr>
              <w:t xml:space="preserve"> </w:t>
            </w:r>
          </w:p>
        </w:tc>
        <w:tc>
          <w:tcPr>
            <w:tcW w:w="2470" w:type="pct"/>
          </w:tcPr>
          <w:p w14:paraId="66A78D2D">
            <w:pPr>
              <w:spacing w:line="360" w:lineRule="auto"/>
              <w:ind w:firstLine="470" w:firstLineChars="196"/>
              <w:rPr>
                <w:rFonts w:hint="eastAsia" w:ascii="宋体" w:hAnsi="宋体" w:eastAsia="宋体" w:cs="宋体"/>
                <w:sz w:val="24"/>
                <w:szCs w:val="24"/>
              </w:rPr>
            </w:pPr>
          </w:p>
        </w:tc>
      </w:tr>
      <w:tr w14:paraId="472A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2B7F9CB0">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1977" w:type="pct"/>
            <w:vAlign w:val="center"/>
          </w:tcPr>
          <w:p w14:paraId="5F260694">
            <w:pPr>
              <w:pStyle w:val="5"/>
              <w:outlineLvl w:val="3"/>
              <w:rPr>
                <w:sz w:val="24"/>
                <w:szCs w:val="24"/>
              </w:rPr>
            </w:pPr>
            <w:r>
              <w:rPr>
                <w:rFonts w:ascii="仿宋_GB2312" w:hAnsi="仿宋_GB2312" w:eastAsia="仿宋_GB2312" w:cs="仿宋_GB2312"/>
                <w:b/>
                <w:sz w:val="24"/>
                <w:szCs w:val="24"/>
              </w:rPr>
              <w:t>3.4.7质量保修范围和保修期</w:t>
            </w:r>
          </w:p>
          <w:p w14:paraId="4DB92B7E">
            <w:pPr>
              <w:pStyle w:val="5"/>
              <w:rPr>
                <w:sz w:val="24"/>
                <w:szCs w:val="24"/>
              </w:rPr>
            </w:pPr>
            <w:r>
              <w:rPr>
                <w:rFonts w:ascii="仿宋_GB2312" w:hAnsi="仿宋_GB2312" w:eastAsia="仿宋_GB2312" w:cs="仿宋_GB2312"/>
                <w:sz w:val="24"/>
                <w:szCs w:val="24"/>
              </w:rPr>
              <w:t>采购包1：</w:t>
            </w:r>
          </w:p>
          <w:p w14:paraId="4EDBDA25">
            <w:pPr>
              <w:pStyle w:val="5"/>
              <w:rPr>
                <w:rFonts w:ascii="仿宋_GB2312" w:hAnsi="仿宋_GB2312" w:eastAsia="仿宋_GB2312" w:cs="仿宋_GB2312"/>
                <w:sz w:val="24"/>
                <w:szCs w:val="24"/>
              </w:rPr>
            </w:pPr>
            <w:r>
              <w:rPr>
                <w:rFonts w:ascii="仿宋_GB2312" w:hAnsi="仿宋_GB2312" w:eastAsia="仿宋_GB2312" w:cs="仿宋_GB2312"/>
                <w:sz w:val="24"/>
                <w:szCs w:val="24"/>
                <w:lang w:val="en-US" w:eastAsia="zh-CN"/>
              </w:rPr>
              <w:t xml:space="preserve">整机免费保修期为叁年（含消耗性配件），（从验收合格之日起开始计算）,根据《医疗器械监督管理条例》要求，免费保修期截止至设备报废，免费提供设备维护、软件升级的技术支持和指导，配合医院完成设备维修、保养相关工作。免费保修期内，同一主要部件出现质量问题经过两次维修后仍无法正常使用，可以更换同型号、同规格的全新产品，服务响应时间不超过2小时，对问题较大短期内暂不能解决的，为不影响甲方正常工作，乙方在2日内免费提供替代产品，确保正常运行，由此产生的费用由乙方承担。 </w:t>
            </w:r>
          </w:p>
        </w:tc>
        <w:tc>
          <w:tcPr>
            <w:tcW w:w="2470" w:type="pct"/>
          </w:tcPr>
          <w:p w14:paraId="61988762">
            <w:pPr>
              <w:spacing w:line="360" w:lineRule="auto"/>
              <w:ind w:firstLine="470" w:firstLineChars="196"/>
              <w:rPr>
                <w:rFonts w:hint="eastAsia" w:ascii="宋体" w:hAnsi="宋体" w:eastAsia="宋体" w:cs="宋体"/>
                <w:sz w:val="24"/>
                <w:szCs w:val="24"/>
              </w:rPr>
            </w:pPr>
          </w:p>
        </w:tc>
      </w:tr>
      <w:tr w14:paraId="68FC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0276878F">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8</w:t>
            </w:r>
          </w:p>
        </w:tc>
        <w:tc>
          <w:tcPr>
            <w:tcW w:w="1977" w:type="pct"/>
            <w:vAlign w:val="center"/>
          </w:tcPr>
          <w:p w14:paraId="37927B81">
            <w:pPr>
              <w:pStyle w:val="5"/>
              <w:outlineLvl w:val="3"/>
              <w:rPr>
                <w:sz w:val="24"/>
                <w:szCs w:val="24"/>
              </w:rPr>
            </w:pPr>
            <w:r>
              <w:rPr>
                <w:rFonts w:ascii="仿宋_GB2312" w:hAnsi="仿宋_GB2312" w:eastAsia="仿宋_GB2312" w:cs="仿宋_GB2312"/>
                <w:b/>
                <w:sz w:val="24"/>
                <w:szCs w:val="24"/>
              </w:rPr>
              <w:t>3.4.8违约责任与解决争议的方法</w:t>
            </w:r>
          </w:p>
          <w:p w14:paraId="42B25EE5">
            <w:pPr>
              <w:pStyle w:val="5"/>
              <w:rPr>
                <w:sz w:val="24"/>
                <w:szCs w:val="24"/>
              </w:rPr>
            </w:pPr>
            <w:r>
              <w:rPr>
                <w:rFonts w:ascii="仿宋_GB2312" w:hAnsi="仿宋_GB2312" w:eastAsia="仿宋_GB2312" w:cs="仿宋_GB2312"/>
                <w:sz w:val="24"/>
                <w:szCs w:val="24"/>
              </w:rPr>
              <w:t>采购包1：</w:t>
            </w:r>
          </w:p>
          <w:p w14:paraId="78BD0718">
            <w:pPr>
              <w:pStyle w:val="5"/>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w:t>
            </w:r>
          </w:p>
          <w:p w14:paraId="2FED66DC">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tc>
        <w:tc>
          <w:tcPr>
            <w:tcW w:w="2470" w:type="pct"/>
          </w:tcPr>
          <w:p w14:paraId="462F260A">
            <w:pPr>
              <w:spacing w:line="360" w:lineRule="auto"/>
              <w:ind w:firstLine="470" w:firstLineChars="196"/>
              <w:rPr>
                <w:rFonts w:hint="eastAsia" w:ascii="宋体" w:hAnsi="宋体" w:eastAsia="宋体" w:cs="宋体"/>
                <w:sz w:val="24"/>
                <w:szCs w:val="24"/>
              </w:rPr>
            </w:pPr>
          </w:p>
        </w:tc>
      </w:tr>
      <w:tr w14:paraId="5388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552" w:type="pct"/>
            <w:vAlign w:val="center"/>
          </w:tcPr>
          <w:p w14:paraId="61F3931D">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9</w:t>
            </w:r>
          </w:p>
        </w:tc>
        <w:tc>
          <w:tcPr>
            <w:tcW w:w="1977" w:type="pct"/>
            <w:vAlign w:val="center"/>
          </w:tcPr>
          <w:p w14:paraId="3B7FF1CE">
            <w:pPr>
              <w:pStyle w:val="5"/>
              <w:jc w:val="left"/>
              <w:outlineLvl w:val="2"/>
              <w:rPr>
                <w:sz w:val="24"/>
                <w:szCs w:val="24"/>
              </w:rPr>
            </w:pPr>
            <w:r>
              <w:rPr>
                <w:rFonts w:ascii="仿宋_GB2312" w:hAnsi="仿宋_GB2312" w:eastAsia="仿宋_GB2312" w:cs="仿宋_GB2312"/>
                <w:b/>
                <w:sz w:val="24"/>
                <w:szCs w:val="24"/>
              </w:rPr>
              <w:t>3.5其他要求</w:t>
            </w:r>
          </w:p>
          <w:p w14:paraId="11759393">
            <w:pPr>
              <w:pStyle w:val="5"/>
              <w:rPr>
                <w:rFonts w:ascii="仿宋_GB2312" w:hAnsi="仿宋_GB2312" w:eastAsia="仿宋_GB2312" w:cs="仿宋_GB2312"/>
                <w:sz w:val="24"/>
                <w:szCs w:val="24"/>
              </w:rPr>
            </w:pPr>
            <w:bookmarkStart w:id="0" w:name="_GoBack"/>
            <w:r>
              <w:rPr>
                <w:rFonts w:hint="eastAsia" w:ascii="仿宋_GB2312" w:hAnsi="仿宋_GB2312" w:eastAsia="仿宋_GB2312" w:cs="仿宋_GB2312"/>
                <w:sz w:val="24"/>
                <w:szCs w:val="24"/>
                <w:lang w:val="en-US" w:eastAsia="zh-CN"/>
              </w:rPr>
              <w:t>1</w:t>
            </w:r>
            <w:r>
              <w:rPr>
                <w:rFonts w:ascii="仿宋_GB2312" w:hAnsi="仿宋_GB2312" w:eastAsia="仿宋_GB2312" w:cs="仿宋_GB2312"/>
                <w:sz w:val="24"/>
                <w:szCs w:val="24"/>
              </w:rPr>
              <w:t>、进入相关部门“黑名单”的供应商以及有行贿、串标等违法违规行为并经查实的供应商不能参与本院采购项目的投标活动。对“黑名单”中供应商采取“一票否决”及“随时叫停”机制，在报名、资格审核、评审、公示、合同签订等各环节一旦发现并查实有行贿等违法违规行为的，立即取消其相关资格且终止合同签订。</w:t>
            </w:r>
            <w:bookmarkEnd w:id="0"/>
          </w:p>
        </w:tc>
        <w:tc>
          <w:tcPr>
            <w:tcW w:w="2470" w:type="pct"/>
          </w:tcPr>
          <w:p w14:paraId="086F4421">
            <w:pPr>
              <w:spacing w:line="360" w:lineRule="auto"/>
              <w:ind w:firstLine="470" w:firstLineChars="196"/>
              <w:rPr>
                <w:rFonts w:hint="eastAsia" w:ascii="宋体" w:hAnsi="宋体" w:eastAsia="宋体" w:cs="宋体"/>
                <w:sz w:val="24"/>
                <w:szCs w:val="24"/>
              </w:rPr>
            </w:pPr>
          </w:p>
        </w:tc>
      </w:tr>
    </w:tbl>
    <w:p w14:paraId="0FDEFBB5">
      <w:pPr>
        <w:spacing w:line="360" w:lineRule="auto"/>
        <w:ind w:firstLine="548" w:firstLineChars="196"/>
        <w:rPr>
          <w:rFonts w:hint="eastAsia" w:ascii="宋体" w:hAnsi="宋体" w:eastAsia="宋体" w:cs="宋体"/>
          <w:sz w:val="28"/>
          <w:szCs w:val="28"/>
        </w:rPr>
      </w:pPr>
    </w:p>
    <w:p w14:paraId="4FE5528A">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注：1.以上表格格式行、列可增减。</w:t>
      </w:r>
      <w:r>
        <w:rPr>
          <w:rFonts w:hint="eastAsia" w:ascii="宋体" w:hAnsi="宋体" w:eastAsia="宋体" w:cs="宋体"/>
          <w:b/>
          <w:bCs/>
          <w:color w:val="auto"/>
          <w:sz w:val="24"/>
          <w:szCs w:val="24"/>
          <w:highlight w:val="none"/>
          <w:lang w:val="en-US" w:eastAsia="zh-CN"/>
        </w:rPr>
        <w:t>该表中未填写条目视为完全响应。</w:t>
      </w:r>
    </w:p>
    <w:p w14:paraId="49A2F528">
      <w:pPr>
        <w:ind w:firstLine="1120" w:firstLineChars="400"/>
      </w:pPr>
      <w:r>
        <w:rPr>
          <w:rFonts w:hint="eastAsia" w:ascii="宋体" w:hAnsi="宋体" w:eastAsia="宋体" w:cs="宋体"/>
          <w:sz w:val="28"/>
          <w:szCs w:val="28"/>
        </w:rPr>
        <w:t>2.投标人根据采购项目的全部商务要求逐条填写此表。</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0713C"/>
    <w:rsid w:val="336B7854"/>
    <w:rsid w:val="5EEB3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1368</Words>
  <Characters>1444</Characters>
  <Lines>0</Lines>
  <Paragraphs>0</Paragraphs>
  <TotalTime>21</TotalTime>
  <ScaleCrop>false</ScaleCrop>
  <LinksUpToDate>false</LinksUpToDate>
  <CharactersWithSpaces>1518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2025-06-03T09:37:00Z</dcterms:created>
  <dc:creator>lenovo</dc:creator>
  <cp:lastModifiedBy>趁早</cp:lastModifiedBy>
  <dcterms:modified xsi:type="dcterms:W3CDTF">2026-05-25T06:18:06Z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2D6231B4C4DA4C67B435120D8F81DAF3_12</vt:lpwstr>
  </property>
  <property fmtid="{D5CDD505-2E9C-101B-9397-08002B2CF9AE}" pid="4" name="KSOTemplateDocerSaveRecord">
    <vt:lpwstr>eyJoZGlkIjoiYWEyODQ4ODExYzdiOGZjYzZlNzkxNDc5NmY4NGQ0MGYiLCJ1c2VySWQiOiIyNDE1Nzk0OTUifQ==</vt:lpwstr>
  </property>
</Properties>
</file>