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版本号：SCYB2026-CG—00720260902001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南郑区碑坝区域敬老院和青树护理分院房屋维修项目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SCYB2026-CG—007</w:t>
      </w:r>
      <w:r>
        <w:br/>
      </w:r>
      <w:r>
        <w:br/>
      </w:r>
      <w:r>
        <w:br/>
      </w:r>
    </w:p>
    <w:p>
      <w:pPr>
        <w:pStyle w:val="null3"/>
        <w:jc w:val="center"/>
        <w:outlineLvl w:val="2"/>
      </w:pPr>
      <w:r>
        <w:rPr>
          <w:rFonts w:ascii="仿宋_GB2312" w:hAnsi="仿宋_GB2312" w:cs="仿宋_GB2312" w:eastAsia="仿宋_GB2312"/>
          <w:sz w:val="28"/>
          <w:b/>
        </w:rPr>
        <w:t>汉中市南郑区中心敬老院</w:t>
      </w:r>
    </w:p>
    <w:p>
      <w:pPr>
        <w:pStyle w:val="null3"/>
        <w:jc w:val="center"/>
        <w:outlineLvl w:val="2"/>
      </w:pPr>
      <w:r>
        <w:rPr>
          <w:rFonts w:ascii="仿宋_GB2312" w:hAnsi="仿宋_GB2312" w:cs="仿宋_GB2312" w:eastAsia="仿宋_GB2312"/>
          <w:sz w:val="28"/>
          <w:b/>
        </w:rPr>
        <w:t>陕西顺畅义邦项目管理有限公司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陕西顺畅义邦项目管理有限公司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汉中市南郑区中心敬老院</w:t>
      </w:r>
      <w:r>
        <w:rPr>
          <w:rFonts w:ascii="仿宋_GB2312" w:hAnsi="仿宋_GB2312" w:cs="仿宋_GB2312" w:eastAsia="仿宋_GB2312"/>
        </w:rPr>
        <w:t>委托，拟对</w:t>
      </w:r>
      <w:r>
        <w:rPr>
          <w:rFonts w:ascii="仿宋_GB2312" w:hAnsi="仿宋_GB2312" w:cs="仿宋_GB2312" w:eastAsia="仿宋_GB2312"/>
        </w:rPr>
        <w:t>南郑区碑坝区域敬老院和青树护理分院房屋维修项目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SCYB2026-CG—007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南郑区碑坝区域敬老院和青树护理分院房屋维修项目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南郑区碑坝区域敬老院和青树护理分院房屋维修项目，主要建设内容：对碑坝区域敬老院宿舍楼及餐厅屋面采用钢结构树脂瓦屋面维修加固790平方米；青树护理分院对门卫室、水箱及电梯屋面采用钢构塑脂瓦维修加固282平方米，并对办公楼屋面天沟、檐沟铺设防水层.具体施工内容，详见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采购包1（南郑区碑坝区域敬老院和青树护理分院房屋维修项目）：属于专门面向null采购。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营业执照：供应商应为合法注册的企业法人、事业法人、其他组织。企业法人应提供合法有效的标识有统一社会信用代码的营业执照；事业法人应提供事业单位法人证书；其他组织应提供合法登记证明文件。（评审依据：提供上述证明材料并进行电子签章）</w:t>
      </w:r>
    </w:p>
    <w:p>
      <w:pPr>
        <w:pStyle w:val="null3"/>
      </w:pPr>
      <w:r>
        <w:rPr>
          <w:rFonts w:ascii="仿宋_GB2312" w:hAnsi="仿宋_GB2312" w:cs="仿宋_GB2312" w:eastAsia="仿宋_GB2312"/>
        </w:rPr>
        <w:t>2、供应商资质要求：供应商应具备建设行政主管部门核发的钢结构工程专业承包三级及以上资质或建筑工程施工总承包三级及以上资质，且具有有效的安全生产许可证；供应商基本信息及项目负责人的基本信息应在“陕西省住房和城乡建设厅”或“全国建筑市场监管公共服务平台（四库一平台）”可查询。（评审依据：提供上述证明材料并进行电子签章）</w:t>
      </w:r>
    </w:p>
    <w:p>
      <w:pPr>
        <w:pStyle w:val="null3"/>
      </w:pPr>
      <w:r>
        <w:rPr>
          <w:rFonts w:ascii="仿宋_GB2312" w:hAnsi="仿宋_GB2312" w:cs="仿宋_GB2312" w:eastAsia="仿宋_GB2312"/>
        </w:rPr>
        <w:t>3、拟派本项目项目负责人资质和专业要求：拟派项目负责人须具备建筑工程专业二级及以上建造师资格；具备有效的安全生产考核合格证书（B 证），且无在建工程。（评审依据：提供上述证明材料并进行电子签章）</w:t>
      </w:r>
    </w:p>
    <w:p>
      <w:pPr>
        <w:pStyle w:val="null3"/>
      </w:pPr>
      <w:r>
        <w:rPr>
          <w:rFonts w:ascii="仿宋_GB2312" w:hAnsi="仿宋_GB2312" w:cs="仿宋_GB2312" w:eastAsia="仿宋_GB2312"/>
        </w:rPr>
        <w:t>4、法定代表人或委托代理人身份证明：法定代表人参加投标须提供《法定代表人身份证明》及身份证复印件；法定代表人授权他人参加投标，须提供《法定代表人授权委托书》、委托代理人身份证复印件；（评审依据：提供上述证明材料并进行电子签章，格式详见附件）</w:t>
      </w:r>
    </w:p>
    <w:p>
      <w:pPr>
        <w:pStyle w:val="null3"/>
      </w:pPr>
      <w:r>
        <w:rPr>
          <w:rFonts w:ascii="仿宋_GB2312" w:hAnsi="仿宋_GB2312" w:cs="仿宋_GB2312" w:eastAsia="仿宋_GB2312"/>
        </w:rPr>
        <w:t>5、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 w.creditchina.gov.cn)，未列入中国政府采购网“政府采购严重违法失信行为记录名单”中（w ww.ccgp.gov.cn），供应商需提供加盖公章的《汉中市政府采购供应商资格承诺函》。（评审依据：提供上述承诺函并进行电子签章，格式详见附件）</w:t>
      </w:r>
    </w:p>
    <w:p>
      <w:pPr>
        <w:pStyle w:val="null3"/>
      </w:pPr>
      <w:r>
        <w:rPr>
          <w:rFonts w:ascii="仿宋_GB2312" w:hAnsi="仿宋_GB2312" w:cs="仿宋_GB2312" w:eastAsia="仿宋_GB2312"/>
        </w:rPr>
        <w:t>6、其他要求：本项目不接受联合体投标，供应商需提供非联合体书面声明。（评审依据：提供非联合体书面声明并进行电子签章，格式自行拟定）</w:t>
      </w:r>
    </w:p>
    <w:p>
      <w:pPr>
        <w:pStyle w:val="null3"/>
      </w:pPr>
      <w:r>
        <w:rPr>
          <w:rFonts w:ascii="仿宋_GB2312" w:hAnsi="仿宋_GB2312" w:cs="仿宋_GB2312" w:eastAsia="仿宋_GB2312"/>
        </w:rPr>
        <w:t>7、本项目为专门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评审依据：供应商须提供中小企业声明函。备注：供应商如为中小微企业的，须严格按照系统给定格式提供中小企业声明函，必须加盖供应商的有效印鉴，涉及内容的真实性由供应商承担相关责任）</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汉中市南郑区阳春镇付家河村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汉中市南郑区中心敬老院经办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0916-2820699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陕西顺畅义邦项目管理有限公司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汉台区望江路远东大厦3楼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0916-8823535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采购包1：324,099.99元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开户名称：陕西顺畅义邦项目管理有限公司</w:t>
            </w:r>
          </w:p>
          <w:p>
            <w:pPr>
              <w:pStyle w:val="null3"/>
            </w:pPr>
            <w:r>
              <w:rPr>
                <w:rFonts w:ascii="仿宋_GB2312" w:hAnsi="仿宋_GB2312" w:cs="仿宋_GB2312" w:eastAsia="仿宋_GB2312"/>
              </w:rPr>
              <w:t>开户银行：中国建设银行股份有限公司汉中前进东路支行</w:t>
            </w:r>
          </w:p>
          <w:p>
            <w:pPr>
              <w:pStyle w:val="null3"/>
            </w:pPr>
            <w:r>
              <w:rPr>
                <w:rFonts w:ascii="仿宋_GB2312" w:hAnsi="仿宋_GB2312" w:cs="仿宋_GB2312" w:eastAsia="仿宋_GB2312"/>
              </w:rPr>
              <w:t>银行账号：61050165004200000387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国家计委关于印发&lt;招标代理服务收费管理暂⾏办法&gt;的通知》（计价格[2002]1980号）、发改价格〔2011〕534号⽂及《陕西省住房和城乡建设厅文件陕价行发【2014】88号》文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汉中市南郑区中心敬老院</w:t>
      </w:r>
      <w:r>
        <w:rPr>
          <w:rFonts w:ascii="仿宋_GB2312" w:hAnsi="仿宋_GB2312" w:cs="仿宋_GB2312" w:eastAsia="仿宋_GB2312"/>
        </w:rPr>
        <w:t>和</w:t>
      </w:r>
      <w:r>
        <w:rPr>
          <w:rFonts w:ascii="仿宋_GB2312" w:hAnsi="仿宋_GB2312" w:cs="仿宋_GB2312" w:eastAsia="仿宋_GB2312"/>
        </w:rPr>
        <w:t>陕西顺畅义邦项目管理有限公司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汉中市南郑区中心敬老院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陕西顺畅义邦项目管理有限公司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陕西顺畅义邦项目管理有限公司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陕西顺畅义邦项目管理有限公司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陕西顺畅义邦项目管理有限公司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陕西顺畅义邦项目管理有限公司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联系电话：0916-8823535</w:t>
      </w:r>
    </w:p>
    <w:p>
      <w:pPr>
        <w:pStyle w:val="null3"/>
      </w:pPr>
      <w:r>
        <w:rPr>
          <w:rFonts w:ascii="仿宋_GB2312" w:hAnsi="仿宋_GB2312" w:cs="仿宋_GB2312" w:eastAsia="仿宋_GB2312"/>
        </w:rPr>
        <w:t>地址：汉台区望江路远东⼤厦3楼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324,099.99</w:t>
      </w:r>
    </w:p>
    <w:p>
      <w:pPr>
        <w:pStyle w:val="null3"/>
      </w:pPr>
      <w:r>
        <w:rPr>
          <w:rFonts w:ascii="仿宋_GB2312" w:hAnsi="仿宋_GB2312" w:cs="仿宋_GB2312" w:eastAsia="仿宋_GB2312"/>
        </w:rPr>
        <w:t>采购包最高限价（元）: 324,099.99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南郑区碑坝区域敬老院和青树护理分院房屋维修项目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324,099.99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标的名称：南郑区碑坝区域敬老院和青树护理分院房屋维修项目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工期：2</w:t>
            </w:r>
            <w:r>
              <w:rPr>
                <w:rFonts w:ascii="仿宋_GB2312" w:hAnsi="仿宋_GB2312" w:cs="仿宋_GB2312" w:eastAsia="仿宋_GB2312"/>
                <w:sz w:val="21"/>
              </w:rPr>
              <w:t>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工程质量：合格，满足设计文件及相关规范要求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质保期：</w:t>
            </w:r>
            <w:r>
              <w:rPr>
                <w:rFonts w:ascii="仿宋_GB2312" w:hAnsi="仿宋_GB2312" w:cs="仿宋_GB2312" w:eastAsia="仿宋_GB2312"/>
                <w:sz w:val="21"/>
              </w:rPr>
              <w:t>2年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安全目标：项目建设期内无安全事故发生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《建设工程质量管理条例》、《建筑工程施工质量验收统一标准》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中标供应商在成交结果公示结束后5个工作日内向代理机构提供纸质版投标文件，投标文件为正本1份，副本2份、电子版1份（U盘注明单位名称，投标文件内容须与电子交易平台上传文件内容保持一致）。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本采购包专门面向中小企业项目</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供应商营业执照</w:t>
            </w:r>
          </w:p>
        </w:tc>
        <w:tc>
          <w:tcPr>
            <w:tcW w:type="dxa" w:w="3322"/>
          </w:tcPr>
          <w:p>
            <w:pPr>
              <w:pStyle w:val="null3"/>
            </w:pPr>
            <w:r>
              <w:rPr>
                <w:rFonts w:ascii="仿宋_GB2312" w:hAnsi="仿宋_GB2312" w:cs="仿宋_GB2312" w:eastAsia="仿宋_GB2312"/>
              </w:rPr>
              <w:t>供应商应为合法注册的企业法人、事业法人、其他组织。企业法人应提供合法有效的标识有统一社会信用代码的营业执照；事业法人应提供事业单位法人证书；其他组织应提供合法登记证明文件。（评审依据：提供上述证明材料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主管部门核发的钢结构工程专业承包三级及以上资质或建筑工程施工总承包三级及以上资质，且具有有效的安全生产许可证；供应商基本信息及项目负责人的基本信息应在“陕西省住房和城乡建设厅”或“全国建筑市场监管公共服务平台（四库一平台）”可查询。（评审依据：提供上述证明材料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拟派本项目项目负责人资质和专业要求</w:t>
            </w:r>
          </w:p>
        </w:tc>
        <w:tc>
          <w:tcPr>
            <w:tcW w:type="dxa" w:w="3322"/>
          </w:tcPr>
          <w:p>
            <w:pPr>
              <w:pStyle w:val="null3"/>
            </w:pPr>
            <w:r>
              <w:rPr>
                <w:rFonts w:ascii="仿宋_GB2312" w:hAnsi="仿宋_GB2312" w:cs="仿宋_GB2312" w:eastAsia="仿宋_GB2312"/>
              </w:rPr>
              <w:t>拟派项目负责人须具备建筑工程专业二级及以上建造师资格；具备有效的安全生产考核合格证书（B 证），且无在建工程。（评审依据：提供上述证明材料并进行电子签章）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评审依据：提供上述证明材料并进行电子签章，格式详见附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 w.creditchina.gov.cn)，未列入中国政府采购网“政府采购严重违法失信行为记录名单”中（w ww.ccgp.gov.cn），供应商需提供加盖公章的《汉中市政府采购供应商资格承诺函》。（评审依据：提供上述承诺函并进行电子签章，格式详见附件）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本项目不接受联合体投标，供应商需提供非联合体书面声明。（评审依据：提供非联合体书面声明并进行电子签章，格式自行拟定）</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本项目为专门面向中小企业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评审依据：供应商须提供中小企业声明函。备注：供应商如为中小微企业的，须严格按照系统给定格式提供中小企业声明函，必须加盖供应商的有效印鉴，涉及内容的真实性由供应商承担相关责任）</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响应文件是否按磋商文件要求签署、盖章的</w:t>
            </w:r>
          </w:p>
        </w:tc>
        <w:tc>
          <w:tcPr>
            <w:tcW w:type="dxa" w:w="3322"/>
          </w:tcPr>
          <w:p>
            <w:pPr>
              <w:pStyle w:val="null3"/>
            </w:pPr>
            <w:r>
              <w:rPr>
                <w:rFonts w:ascii="仿宋_GB2312" w:hAnsi="仿宋_GB2312" w:cs="仿宋_GB2312" w:eastAsia="仿宋_GB2312"/>
              </w:rPr>
              <w:t>响应文件是否按磋商文件要求签署、盖章的</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保证金格式.docx 项目实施方案.docx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磋商保证金提交的金额、形式符合磋商文件要求</w:t>
            </w:r>
          </w:p>
        </w:tc>
        <w:tc>
          <w:tcPr>
            <w:tcW w:type="dxa" w:w="1661"/>
          </w:tcPr>
          <w:p>
            <w:pPr>
              <w:pStyle w:val="null3"/>
            </w:pPr>
            <w:r>
              <w:rPr>
                <w:rFonts w:ascii="仿宋_GB2312" w:hAnsi="仿宋_GB2312" w:cs="仿宋_GB2312" w:eastAsia="仿宋_GB2312"/>
              </w:rPr>
              <w:t>保证金格式.docx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质量与工期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技术服务合同条款及其他商务要求应答表 项目实施方案.docx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响应⽂件是否含有采购⼈不能接受的附加条件的或其他情形</w:t>
            </w:r>
          </w:p>
        </w:tc>
        <w:tc>
          <w:tcPr>
            <w:tcW w:type="dxa" w:w="3322"/>
          </w:tcPr>
          <w:p>
            <w:pPr>
              <w:pStyle w:val="null3"/>
            </w:pPr>
            <w:r>
              <w:rPr>
                <w:rFonts w:ascii="仿宋_GB2312" w:hAnsi="仿宋_GB2312" w:cs="仿宋_GB2312" w:eastAsia="仿宋_GB2312"/>
              </w:rPr>
              <w:t>响应⽂件是否含有采购⼈不能接受的附加条件的或其他情形</w:t>
            </w:r>
          </w:p>
        </w:tc>
        <w:tc>
          <w:tcPr>
            <w:tcW w:type="dxa" w:w="1661"/>
          </w:tcPr>
          <w:p>
            <w:pPr>
              <w:pStyle w:val="null3"/>
            </w:pPr>
            <w:r>
              <w:rPr>
                <w:rFonts w:ascii="仿宋_GB2312" w:hAnsi="仿宋_GB2312" w:cs="仿宋_GB2312" w:eastAsia="仿宋_GB2312"/>
              </w:rPr>
              <w:t>技术服务合同条款及其他商务要求应答表 项目实施方案.docx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供应商针对本项目编制施工总体方案：包括但不限于：①施工方法（工艺）；②施工组织和施工程序；③现场平面布置；④技术组织措施。满分10分。每有一项缺项扣2.5分；每有一处内容存在缺陷，扣 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供应商针对本项目编制完善的质量保证措施，内容包含但不限于：①施工质量的检验制度；②确保质量的技术组织措施；③施工质量控制措施。满分6分。每有一项缺项扣2分；每有一处内容存在缺陷，扣 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供应商应针对本项目编制施工进度计划：包括但不限于①施工进度计划及保障措施、②交叉作业的协调方案、③工期保证措施； 满分 6 分。每有一项缺项扣 2 分；每有一处内容存在缺陷，扣 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安全生产方案</w:t>
            </w:r>
          </w:p>
        </w:tc>
        <w:tc>
          <w:tcPr>
            <w:tcW w:type="dxa" w:w="2492"/>
          </w:tcPr>
          <w:p>
            <w:pPr>
              <w:pStyle w:val="null3"/>
            </w:pPr>
            <w:r>
              <w:rPr>
                <w:rFonts w:ascii="仿宋_GB2312" w:hAnsi="仿宋_GB2312" w:cs="仿宋_GB2312" w:eastAsia="仿宋_GB2312"/>
              </w:rPr>
              <w:t>供应商应针对本项目编制安全生产方案：包括但不限于①安全生产管理制度；②配置安全组织机构；③安全隐患排查、整改制度；④应急保障预案等。 满分8 分。每有一项缺项扣 2 分；每有一处内容存在缺陷，扣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施工保修方案</w:t>
            </w:r>
          </w:p>
        </w:tc>
        <w:tc>
          <w:tcPr>
            <w:tcW w:type="dxa" w:w="2492"/>
          </w:tcPr>
          <w:p>
            <w:pPr>
              <w:pStyle w:val="null3"/>
            </w:pPr>
            <w:r>
              <w:rPr>
                <w:rFonts w:ascii="仿宋_GB2312" w:hAnsi="仿宋_GB2312" w:cs="仿宋_GB2312" w:eastAsia="仿宋_GB2312"/>
              </w:rPr>
              <w:t>供应商根据本项目编制施工保修方案，结合本项目的实际，供应商应提供详细、完善的施工保修承诺，内容包含:①保修期限及措施；②保修承诺。 满分 4分。每有一项缺项扣 2 分；每有一处内容存在缺陷，扣0.5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供应商针对本项目编制完善的资源配置计划，内容包含但不限于：①劳动力资源配置计划；②施工机械设备投入计划；③主要施工材料供应计划。 满分 6 分。每有一项缺项扣 2 分；每有一处内容存在缺陷，扣0.5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供应商针对本项目特点提供切实可行的施工安全承诺、文明施工承诺、施工质量保证承诺、工期保证承诺、施工环境承诺，保证按时按质按量完成本项目。 赋分标准：每提供一项承诺得2分，满分10分。未提供此项内容不得分。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项目所配备的施工员、质量员、安全员、材料员、资料员具有相关岗位证书（或职业资格），全部满足得10分，每缺少一人或相应人员无证书证件扣 2 分，扣完为止。（评审依据：供应商应提供相关人员证书证件复印件作为佐证材料）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提供自 2023年1月1日起至今类似工程业绩，每有1项得2.5 分，最多得5分。 评审依据：以投标人提供的中标通知书或施工合同复印件为准。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拟投入项目机械设备</w:t>
            </w:r>
          </w:p>
        </w:tc>
        <w:tc>
          <w:tcPr>
            <w:tcW w:type="dxa" w:w="2492"/>
          </w:tcPr>
          <w:p>
            <w:pPr>
              <w:pStyle w:val="null3"/>
            </w:pPr>
            <w:r>
              <w:rPr>
                <w:rFonts w:ascii="仿宋_GB2312" w:hAnsi="仿宋_GB2312" w:cs="仿宋_GB2312" w:eastAsia="仿宋_GB2312"/>
              </w:rPr>
              <w:t>机械设备配置表（5 分） ①表格编制完整，规格型号、技术参数、数量齐全，设备选型完全匹配本项目施工建设需求，得5分； ②已提供表格，仅次要设备或次要参数缺失、部分选型不匹配，不影响项目整体实施，得3分； ③已提供表格，但多数参数缺失、设备选型与项目需求不匹配，得1分； ④未提供机械设备配置表，得0分。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磋商报价得分=（磋商基准价/磋商报价）×价格权值（即30%）×100 注：1、磋商小组三分之二以上成员认为某报价有低于成本价嫌疑的，涉嫌不正当竞争的，为无效报价。 2、本项目为专门面向中小企业,不再执行价格评审优惠的扶持政策。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