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7A2B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甲方：富平县公安局交通管理大队 </w:t>
      </w:r>
    </w:p>
    <w:p w14:paraId="690FB11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乙方：________________________ </w:t>
      </w:r>
    </w:p>
    <w:p w14:paraId="360ED21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依据《中华人民共和国民法典》《中华人民共和国道路交通安全法》及相关国标、公安行业运维规范，甲方委托乙方承担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富平县公安局交通管理大队交通信号灯及电子警察维护服务项目  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服务。甲乙双方本着平等自愿、权责清晰、据实结算原则，订立本合同，共同遵照执行。</w:t>
      </w:r>
    </w:p>
    <w:p w14:paraId="416A4C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第一条 服务范围与服务内容</w:t>
      </w:r>
    </w:p>
    <w:p w14:paraId="24C77B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 运维设备范围</w:t>
      </w:r>
    </w:p>
    <w:p w14:paraId="4411BB0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交通信号灯系统：约 320 个路口、1060 套信号灯，含灯具、倒计时器、信号控制机、杆件、管线、窨井、供电、防雷接地等全部附属设施；</w:t>
      </w:r>
    </w:p>
    <w:p w14:paraId="3715B80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人行道单立杆 1700 台；</w:t>
      </w:r>
    </w:p>
    <w:p w14:paraId="54D252D1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交通技术监控设备：跟踪球 180 台、电子警察 132 套（33 个路口双向）、雷视一体机 137 台、县域全部交通诱导信息发布屏</w:t>
      </w:r>
      <w:r>
        <w:rPr>
          <w:rFonts w:hint="eastAsia"/>
          <w:color w:val="000000"/>
          <w:sz w:val="24"/>
          <w:szCs w:val="24"/>
          <w:lang w:val="en-US" w:eastAsia="zh-CN"/>
        </w:rPr>
        <w:t>约66处左右</w:t>
      </w:r>
      <w:r>
        <w:rPr>
          <w:color w:val="000000"/>
          <w:sz w:val="24"/>
          <w:szCs w:val="24"/>
        </w:rPr>
        <w:t>；</w:t>
      </w:r>
    </w:p>
    <w:p w14:paraId="241963A1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配套后台支撑系统：前端设备供电线路、网络、接入机柜、管线窨井等；</w:t>
      </w:r>
    </w:p>
    <w:p w14:paraId="439DCE3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单点及区间测速设备。</w:t>
      </w:r>
    </w:p>
    <w:p w14:paraId="1281B0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服务期内新移交、新增道路交安设施自动纳入运维范围；道路改造拆除设备同步核减，设备数量动态浮动。</w:t>
      </w:r>
    </w:p>
    <w:p w14:paraId="5E979D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注：以上数据为预估数字，实际以乙方摸底调查数据为准。</w:t>
      </w:r>
    </w:p>
    <w:p w14:paraId="2141DD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1.2 完整服务内容</w:t>
      </w:r>
    </w:p>
    <w:p w14:paraId="35B6DA6A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Style w:val="6"/>
          <w:color w:val="000000"/>
          <w:sz w:val="24"/>
          <w:szCs w:val="24"/>
        </w:rPr>
        <w:t>常态化日常巡检保养</w:t>
      </w:r>
      <w:r>
        <w:rPr>
          <w:color w:val="000000"/>
          <w:sz w:val="24"/>
          <w:szCs w:val="24"/>
        </w:rPr>
        <w:t xml:space="preserve"> 城区、</w:t>
      </w:r>
      <w:bookmarkStart w:id="0" w:name="_GoBack"/>
      <w:bookmarkEnd w:id="0"/>
      <w:r>
        <w:rPr>
          <w:rFonts w:hint="eastAsia"/>
          <w:color w:val="000000"/>
          <w:sz w:val="24"/>
          <w:szCs w:val="24"/>
          <w:lang w:val="en-US" w:eastAsia="zh-CN"/>
        </w:rPr>
        <w:t>各镇</w:t>
      </w:r>
      <w:r>
        <w:rPr>
          <w:color w:val="000000"/>
          <w:sz w:val="24"/>
          <w:szCs w:val="24"/>
        </w:rPr>
        <w:t>设备每日全覆盖巡查；定期清洁镜头、信号灯、补光灯；季度机柜除尘理线；杆件除锈防腐、清理小广告；修剪遮挡树枝；紧固所有设备固定构件，建立电子 + 纸质巡查台账定期报备甲方。</w:t>
      </w:r>
    </w:p>
    <w:p w14:paraId="378A8547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Style w:val="6"/>
          <w:color w:val="000000"/>
          <w:sz w:val="24"/>
          <w:szCs w:val="24"/>
        </w:rPr>
        <w:t>7×24 小时故障应急抢修</w:t>
      </w:r>
      <w:r>
        <w:rPr>
          <w:color w:val="000000"/>
          <w:sz w:val="24"/>
          <w:szCs w:val="24"/>
        </w:rPr>
        <w:t xml:space="preserve"> 包含信号灯、球机、电警、雷视、诱导屏、供电、网络各类故障排查、现场修复；大面积停电时主干道架设发电机、次干道摆放临时移动信号灯保障通行。</w:t>
      </w:r>
    </w:p>
    <w:p w14:paraId="00804350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Style w:val="6"/>
          <w:color w:val="000000"/>
          <w:sz w:val="24"/>
          <w:szCs w:val="24"/>
        </w:rPr>
        <w:t>专项保障运维</w:t>
      </w:r>
      <w:r>
        <w:rPr>
          <w:color w:val="000000"/>
          <w:sz w:val="24"/>
          <w:szCs w:val="24"/>
        </w:rPr>
        <w:t xml:space="preserve"> 法定节假日前全设备检测调试；重大活动、警卫任务驻场保障；暴雨、大风、冰雪、雷电恶劣天气执行分级应急巡查预案。</w:t>
      </w:r>
    </w:p>
    <w:p w14:paraId="175D1A34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Style w:val="6"/>
          <w:color w:val="000000"/>
          <w:sz w:val="24"/>
          <w:szCs w:val="24"/>
        </w:rPr>
        <w:t>设备迁移、拆除、移交验收</w:t>
      </w:r>
      <w:r>
        <w:rPr>
          <w:color w:val="000000"/>
          <w:sz w:val="24"/>
          <w:szCs w:val="24"/>
        </w:rPr>
        <w:t xml:space="preserve"> 配合新建、改扩建道路完成监控、信号灯迁改、拆除；参与新建交安设施清点、验收、问题整改；废旧设备拆除、转运、规范存放；地下管线摸排并出具改造建议。</w:t>
      </w:r>
    </w:p>
    <w:p w14:paraId="113D7321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Style w:val="6"/>
          <w:color w:val="000000"/>
          <w:sz w:val="24"/>
          <w:szCs w:val="24"/>
        </w:rPr>
        <w:t>全周期台账管理</w:t>
      </w:r>
      <w:r>
        <w:rPr>
          <w:color w:val="000000"/>
          <w:sz w:val="24"/>
          <w:szCs w:val="24"/>
        </w:rPr>
        <w:t xml:space="preserve"> 资料员驻场建立运维台账、维修记录、设备运行佐证、月度工作总结、配件出入库档案。</w:t>
      </w:r>
    </w:p>
    <w:p w14:paraId="41EDBCF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Style w:val="6"/>
          <w:color w:val="000000"/>
          <w:sz w:val="24"/>
          <w:szCs w:val="24"/>
        </w:rPr>
        <w:t>备品备件更换、设备调试</w:t>
      </w:r>
      <w:r>
        <w:rPr>
          <w:color w:val="000000"/>
          <w:sz w:val="24"/>
          <w:szCs w:val="24"/>
        </w:rPr>
        <w:t xml:space="preserve"> 故障无法现场修复时更换国标全新配件、设备，完成调试并接入公安海康运维平台；所有更换配件、主材施工据实计量结算。</w:t>
      </w:r>
    </w:p>
    <w:p w14:paraId="789ECE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1.3 执行标准</w:t>
      </w:r>
    </w:p>
    <w:p w14:paraId="61843BC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乙方全部运维作业须严格遵循招标文件列明的国家、行业标准（GB、GA/T 系列规范）、《非现场查处道路交通安全违法行为操作规程（试行）》等公安管理规定。</w:t>
      </w:r>
    </w:p>
    <w:p w14:paraId="081F9D4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第二条 服务期限</w:t>
      </w:r>
    </w:p>
    <w:p w14:paraId="77D93514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本单年度合同服务期：自______年____月____日起至______年____月____日止。</w:t>
      </w:r>
    </w:p>
    <w:p w14:paraId="7C5009C5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本项目招标三年有效，实行一年一考核、一年一签；合同期满前 30 日双方协商是否续签，任一方不再续签须提前30日书面告知对方；到期未续签则本合同自动终止。</w:t>
      </w:r>
    </w:p>
    <w:p w14:paraId="41D7D2B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第三条 人员、车辆、设备配置要求</w:t>
      </w:r>
    </w:p>
    <w:p w14:paraId="78BE0558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乙方须固定配置：项目经理 1 名（持电工证）、技术主管不少于 2 名（驻场）、持证电工技术人员不少于 5 名、驻场资料员 1 名、持证吊车司机 1 名；全部人员购买人身意外伤害保险。</w:t>
      </w:r>
    </w:p>
    <w:p w14:paraId="2E59417A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乙方自有专项运维设备：工程随车吊货车≥1 台、高空举升车≥1 台、专属巡查车≥1 台、220V 应急发电机组≥1 台，全程为本项目专用。</w:t>
      </w:r>
    </w:p>
    <w:p w14:paraId="59BF7337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甲方有权对履职不到位人员提出更换要求，乙方7日内完成人员替换。</w:t>
      </w:r>
    </w:p>
    <w:p w14:paraId="2D47F32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第四条 双方权利与义务</w:t>
      </w:r>
    </w:p>
    <w:p w14:paraId="13D1DA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 甲方权利义务</w:t>
      </w:r>
    </w:p>
    <w:p w14:paraId="557C8B6F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甲方通过电话、工作群、书面指令下发巡查、抢修、迁改、保障任务，下达提示单、整改单、督办单实施考核；</w:t>
      </w:r>
    </w:p>
    <w:p w14:paraId="09841B26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按月对乙方运维指标、抢修时效、台账资料、交办任务完成情况进行量化考核；</w:t>
      </w:r>
    </w:p>
    <w:p w14:paraId="021EDC8C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及时提供设备点位、平台账号、管线基础资料，配合乙方现场作业；</w:t>
      </w:r>
    </w:p>
    <w:p w14:paraId="383E01D9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按月核对运维台账、维修单据，审核结算资料，按合同约定支付运维及材料施工费用；</w:t>
      </w:r>
    </w:p>
    <w:p w14:paraId="6421FCEA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设备被盗、人为损坏时配合出具报案相关佐证材料。</w:t>
      </w:r>
    </w:p>
    <w:p w14:paraId="3F46DF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 乙方权利义务</w:t>
      </w:r>
    </w:p>
    <w:p w14:paraId="4917D4E2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设立 24 小时报修专线，故障响应时限：县城区域 20 分钟到场、</w:t>
      </w:r>
      <w:r>
        <w:rPr>
          <w:rFonts w:hint="eastAsia"/>
          <w:color w:val="000000"/>
          <w:sz w:val="24"/>
          <w:szCs w:val="24"/>
          <w:lang w:val="en-US" w:eastAsia="zh-CN"/>
        </w:rPr>
        <w:t>各镇</w:t>
      </w:r>
      <w:r>
        <w:rPr>
          <w:color w:val="000000"/>
          <w:sz w:val="24"/>
          <w:szCs w:val="24"/>
        </w:rPr>
        <w:t xml:space="preserve"> 30 分钟到场；复杂故障无法即时修复须第一时间书面报备甲方，采取临时保障措施；</w:t>
      </w:r>
    </w:p>
    <w:p w14:paraId="0C956CC8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单次维修更换主材、设备前，向甲方报备型号、规格、报价，经甲方书面确认后方可采购更换；更换旧配件全部回收移交甲方；</w:t>
      </w:r>
    </w:p>
    <w:p w14:paraId="2E79566A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每次维修填写《设备维修报告单》，甲乙双方现场签字确认，留存维修照片、故障记录；维修完成出具质保说明；</w:t>
      </w:r>
    </w:p>
    <w:p w14:paraId="7503F87A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严禁擅自改动设备参数、线路、抓拍配置，不得私自拆除、移位甲方在用设备；</w:t>
      </w:r>
    </w:p>
    <w:p w14:paraId="73BF224C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每周提交设备运行佐证材料，每月按时上报运维小结、巡查台账、故障汇总报表；</w:t>
      </w:r>
    </w:p>
    <w:p w14:paraId="5BB0C4E5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建立备品备件仓储台账，规范存放、出入库登记；</w:t>
      </w:r>
    </w:p>
    <w:p w14:paraId="70CCB481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严格落实安全生产规范，道路作业摆放安全警示标识；作业产生垃圾、杂物现场清理完毕；</w:t>
      </w:r>
    </w:p>
    <w:p w14:paraId="4E1779EC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妥善保管甲方公安业务数据、设备点位信息，严禁外泄、复制、带离现场，承担保密责任；</w:t>
      </w:r>
    </w:p>
    <w:p w14:paraId="711AABA9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合同到期配合甲方完整移交全部运维资料、库存备件。</w:t>
      </w:r>
    </w:p>
    <w:p w14:paraId="43BC47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000000"/>
          <w:sz w:val="24"/>
          <w:szCs w:val="24"/>
          <w:lang w:val="en-US" w:eastAsia="zh-CN"/>
        </w:rPr>
        <w:t>10.乙方应当对合同履行过程中的安全负责，对合同履行中可能发生的安全事故承担法律责任，并承担最终的、全部的事故经济赔偿责任；且对因安全事故导致包括但不限于乙方（单位）员工和任何第三人等的人身损害承担全部赔偿责任。</w:t>
      </w:r>
    </w:p>
    <w:p w14:paraId="1340E4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4.3 设备损坏、被盗责任划分</w:t>
      </w:r>
    </w:p>
    <w:p w14:paraId="3860D1DE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因第三方人为破坏、偷盗，乙方提供属地公安盖章报案材料的，设备更换费用由甲方承担；</w:t>
      </w:r>
    </w:p>
    <w:p w14:paraId="2392FA0A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因乙方巡查缺位、机箱未锁、防护缺失、维保疏漏造成被盗、损坏，即便提供报案材料，全部修复更换费用由乙方无偿承担；</w:t>
      </w:r>
    </w:p>
    <w:p w14:paraId="78A266A6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火灾损毁设备以消防鉴定报告划分责任；无报告或判定为设备自身故障、维保不到位起火，维修更换费用由乙方承担。</w:t>
      </w:r>
    </w:p>
    <w:p w14:paraId="5581CB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第五条 考核标准（月度量化考核）</w:t>
      </w:r>
    </w:p>
    <w:p w14:paraId="7A9345F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5.1 运行指标考核</w:t>
      </w:r>
    </w:p>
    <w:tbl>
      <w:tblPr>
        <w:tblStyle w:val="4"/>
        <w:tblW w:w="8438" w:type="dxa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92"/>
        <w:gridCol w:w="1025"/>
        <w:gridCol w:w="3221"/>
      </w:tblGrid>
      <w:tr w14:paraId="0908D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tblHeader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94211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考核项目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D13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达标标准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2AD5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扣罚规则</w:t>
            </w:r>
          </w:p>
        </w:tc>
      </w:tr>
      <w:tr w14:paraId="05B38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C966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信号灯月平均通电率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A4E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≥99%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1C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未达标按同比扣减当月运维费</w:t>
            </w:r>
          </w:p>
        </w:tc>
      </w:tr>
      <w:tr w14:paraId="6739B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21399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监控 / 雷视 / 球机月通电率、正常率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C70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≥98%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BEB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未达标按同比扣减当月运维费</w:t>
            </w:r>
          </w:p>
        </w:tc>
      </w:tr>
      <w:tr w14:paraId="135D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5FD9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交通诱导屏月正常显示率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B9E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≥85%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4F64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未达标按同比扣减当月运维费</w:t>
            </w:r>
          </w:p>
        </w:tc>
      </w:tr>
    </w:tbl>
    <w:p w14:paraId="656039C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道路拆除、运营商网络故障、全域停电等非乙方原因，提供甲方认可佐证可不扣罚。</w:t>
      </w:r>
    </w:p>
    <w:p w14:paraId="6420C0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 三单制扣分规则</w:t>
      </w:r>
    </w:p>
    <w:p w14:paraId="36EF924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月度考核满分 100 分，1 分 = 当月基础运维服务费的 1%。</w:t>
      </w:r>
    </w:p>
    <w:tbl>
      <w:tblPr>
        <w:tblStyle w:val="4"/>
        <w:tblW w:w="8418" w:type="dxa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5922"/>
        <w:gridCol w:w="1248"/>
      </w:tblGrid>
      <w:tr w14:paraId="5C683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tblHeader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053B7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单据类型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851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适用情形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1A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单次扣分</w:t>
            </w:r>
          </w:p>
        </w:tc>
      </w:tr>
      <w:tr w14:paraId="4FED5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74B9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提示单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F21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轻微问题，无安全隐患、无舆情，可快速整改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02C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 分</w:t>
            </w:r>
          </w:p>
        </w:tc>
      </w:tr>
      <w:tr w14:paraId="736CE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6377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整改单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410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维保不实、轻微舆情，整改后可恢复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C2C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 分</w:t>
            </w:r>
          </w:p>
        </w:tc>
      </w:tr>
      <w:tr w14:paraId="029A9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B6B2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督办单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D47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重大舆情、上级通报、存在交通安全重大隐患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13C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 分</w:t>
            </w:r>
          </w:p>
        </w:tc>
      </w:tr>
    </w:tbl>
    <w:p w14:paraId="56E20C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 考核兜底约定</w:t>
      </w:r>
    </w:p>
    <w:p w14:paraId="26A5D9F1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当月考核得分＜60 分，全额扣除当月运维服务费；</w:t>
      </w:r>
    </w:p>
    <w:p w14:paraId="064B9A69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连续两个月得分低于 60 分，甲方有权单方解除本合同；</w:t>
      </w:r>
    </w:p>
    <w:p w14:paraId="6090B1AF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乙方对考核结果有异议，可在公示 3 个工作日内提交书面复核申请。</w:t>
      </w:r>
    </w:p>
    <w:p w14:paraId="3F739CA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第六条 报价、结算及付款方式</w:t>
      </w:r>
    </w:p>
    <w:p w14:paraId="5B238C86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Style w:val="6"/>
          <w:color w:val="000000"/>
          <w:sz w:val="24"/>
          <w:szCs w:val="24"/>
        </w:rPr>
        <w:t>报价模式</w:t>
      </w:r>
      <w:r>
        <w:rPr>
          <w:color w:val="000000"/>
          <w:sz w:val="24"/>
          <w:szCs w:val="24"/>
        </w:rPr>
        <w:t>：本项目采用费率折扣报价，成交结算依据 = 项目最高限价 × 乙方成交费率（折扣），所有日常运维服务费、材料、施工费统一按该成交费率据实折算结算。</w:t>
      </w:r>
    </w:p>
    <w:p w14:paraId="511D1D57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结算周期：按月集中结算，乙方先行垫付人工、辅材、主材、施工全部费用；结算唯一依据为双方签字确认运维台账、维修报告单、验收记录。</w:t>
      </w:r>
    </w:p>
    <w:p w14:paraId="0031E63C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结算公式：当月结算费用 = 月度考核后运维服务费（费率折算）+ 当月材料及施工费（费率折算）- 考核扣分扣款 - 其他应扣款项。</w:t>
      </w:r>
    </w:p>
    <w:p w14:paraId="18E7F3E4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付款流程：乙方整理完整结算资料并开具合规增值税发票，甲方审核无误后 30 个工作日内支付至乙方对公账户。 </w:t>
      </w:r>
    </w:p>
    <w:p w14:paraId="0BDEFFC5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乙方账户信息： </w:t>
      </w:r>
    </w:p>
    <w:p w14:paraId="3CBA2E2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 w:right="0" w:rightChars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公司名称：______________________</w:t>
      </w:r>
    </w:p>
    <w:p w14:paraId="3686455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 w:right="0" w:rightChars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开户行：________________________</w:t>
      </w:r>
    </w:p>
    <w:p w14:paraId="0C071AF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 w:right="0" w:rightChars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账 号：________________________</w:t>
      </w:r>
    </w:p>
    <w:p w14:paraId="3E1869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第七条 质保约定</w:t>
      </w:r>
    </w:p>
    <w:p w14:paraId="3148B0F9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乙方更换的全部设备、配件及现场施工质保期不少于 12 个月；质保期内同一故障复发，乙方 24 小时内到场免费维修更换，对应设备质保顺延 6 个月。</w:t>
      </w:r>
    </w:p>
    <w:p w14:paraId="66298056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杆件基础、管线等隐蔽工程乙方终身承担质量责任；因施工缺陷造成灯杆倾倒、路面塌陷，乙方承担全部人身、财产赔偿责任。</w:t>
      </w:r>
    </w:p>
    <w:p w14:paraId="70848E6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第八条 安全生产责任</w:t>
      </w:r>
    </w:p>
    <w:p w14:paraId="728C059C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乙方为本项目独立作业主体，运维、抢修、拆除、迁改全过程人身安全、施工安全、第三方损害风险全部由乙方自行承担。</w:t>
      </w:r>
    </w:p>
    <w:p w14:paraId="3AA6F235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作业期间发生交通事故、人员伤亡、财产损毁、行政处罚，全部经济赔偿、法律责任由乙方独立承担；因乙方违规操作损坏甲方设施，乙方照价赔偿。</w:t>
      </w:r>
    </w:p>
    <w:p w14:paraId="5088C00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第九条 违约责任</w:t>
      </w:r>
    </w:p>
    <w:p w14:paraId="60E54F2C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乙方未按时限到场抢修、逾期整改、擅自更换配件、违规改动设备参数、拒不履行质保义务，甲方扣除当期结算金额 5% 作为违约金；造成甲方损失、行政处罚的，乙方另行补足全部实际损失。</w:t>
      </w:r>
    </w:p>
    <w:p w14:paraId="38D91D44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乙方累计 3 次无故拖延抢修、拒绝应急保障任务，或督办单下发 7 日内无整改提升，甲方有权单方解除合同并追偿损失。</w:t>
      </w:r>
    </w:p>
    <w:p w14:paraId="5F3CCA37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乙方逾期完成运维、迁改任务，每日按年度合同总价款万分之五支付违约金；累计逾期 15 天，甲方可解除合同，乙方支付合同总价款 30% 违约金。</w:t>
      </w:r>
    </w:p>
    <w:p w14:paraId="3A8F2F9A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乙方运维服务、设备配件不符合标准，承担对应服务金额 30% 违约金；甲方可委托第三方处置，产生所有费用由乙方承担。</w:t>
      </w:r>
    </w:p>
    <w:p w14:paraId="217047AB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乙方劳资纠纷造成甲方损失，逾期 30 日未妥善处理，甲方有权解约，乙方支付合同总价 10% 违约金并赔偿全部损失。</w:t>
      </w:r>
    </w:p>
    <w:p w14:paraId="234848C4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质保故障超时未处置，乙方支付合同总价款 10% 违约金，第三方维修费用全部由乙方承担。</w:t>
      </w:r>
    </w:p>
    <w:p w14:paraId="257618C3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甲方无正当理由逾期付款，每逾期一日按应付未付金额万分之零点五支付逾期利息；逾期超 30 日，按当期结算总额 5% 支付违约金。</w:t>
      </w:r>
    </w:p>
    <w:p w14:paraId="271F416F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因乙方违约引发诉讼、仲裁，律师费、诉讼费、保全费等全部合理开支由乙方承担；多项违约金可合并计算，不足以弥补损失的甲方有权继续追偿。</w:t>
      </w:r>
    </w:p>
    <w:p w14:paraId="7CB8C93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第十条 保密约定</w:t>
      </w:r>
    </w:p>
    <w:p w14:paraId="2909F76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因公安交通系统特殊性，乙方对履职过程获取的设备点位、监控数据、后台账号、业务资料严格保密；未经甲方书面许可不得对外传播、复制、带离工作现场，合同终止后仍持续承担保密义务。</w:t>
      </w:r>
    </w:p>
    <w:p w14:paraId="2554E3A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第十一条 其他约定</w:t>
      </w:r>
    </w:p>
    <w:p w14:paraId="5D19C6EA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本合同一式两份，甲乙双方各执一份，加盖公章后生效，具备同等法律效力。</w:t>
      </w:r>
    </w:p>
    <w:p w14:paraId="298641BA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合同未尽事宜双方友好协商，签订补充协议，补充协议与本合同具有同等效力。</w:t>
      </w:r>
    </w:p>
    <w:p w14:paraId="175EA9E1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双方发生争议协商不成，提交甲方所在地人民法院诉讼解决。</w:t>
      </w:r>
    </w:p>
    <w:p w14:paraId="51EC2818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招标文件、乙方投标文件、考核细则为本合同有效组成部分，与本合同冲突以本合同为准</w:t>
      </w:r>
    </w:p>
    <w:p w14:paraId="6AA7D3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593B1F"/>
    <w:multiLevelType w:val="multilevel"/>
    <w:tmpl w:val="92593B1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D60D529"/>
    <w:multiLevelType w:val="multilevel"/>
    <w:tmpl w:val="9D60D52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9D9D59FB"/>
    <w:multiLevelType w:val="multilevel"/>
    <w:tmpl w:val="9D9D59F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AF5CA918"/>
    <w:multiLevelType w:val="multilevel"/>
    <w:tmpl w:val="AF5CA91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B82EA300"/>
    <w:multiLevelType w:val="multilevel"/>
    <w:tmpl w:val="B82EA30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D7F0973B"/>
    <w:multiLevelType w:val="multilevel"/>
    <w:tmpl w:val="D7F0973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F15EC117"/>
    <w:multiLevelType w:val="multilevel"/>
    <w:tmpl w:val="F15EC11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04C8CF2B"/>
    <w:multiLevelType w:val="multilevel"/>
    <w:tmpl w:val="04C8CF2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0B85D056"/>
    <w:multiLevelType w:val="multilevel"/>
    <w:tmpl w:val="0B85D0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15F76A0D"/>
    <w:multiLevelType w:val="multilevel"/>
    <w:tmpl w:val="15F76A0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27C4A975"/>
    <w:multiLevelType w:val="multilevel"/>
    <w:tmpl w:val="27C4A97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46E55CAB"/>
    <w:multiLevelType w:val="multilevel"/>
    <w:tmpl w:val="46E55CA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757B028D"/>
    <w:multiLevelType w:val="multilevel"/>
    <w:tmpl w:val="757B028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2"/>
  </w:num>
  <w:num w:numId="5">
    <w:abstractNumId w:val="11"/>
  </w:num>
  <w:num w:numId="6">
    <w:abstractNumId w:val="1"/>
  </w:num>
  <w:num w:numId="7">
    <w:abstractNumId w:val="8"/>
  </w:num>
  <w:num w:numId="8">
    <w:abstractNumId w:val="7"/>
  </w:num>
  <w:num w:numId="9">
    <w:abstractNumId w:val="10"/>
  </w:num>
  <w:num w:numId="10">
    <w:abstractNumId w:val="5"/>
  </w:num>
  <w:num w:numId="11">
    <w:abstractNumId w:val="9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C6FB6"/>
    <w:rsid w:val="084371F0"/>
    <w:rsid w:val="2B68606F"/>
    <w:rsid w:val="312A53AC"/>
    <w:rsid w:val="429C6FB6"/>
    <w:rsid w:val="6313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3621</Words>
  <Characters>3815</Characters>
  <Lines>0</Lines>
  <Paragraphs>0</Paragraphs>
  <TotalTime>0</TotalTime>
  <ScaleCrop>false</ScaleCrop>
  <LinksUpToDate>false</LinksUpToDate>
  <CharactersWithSpaces>3946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2026-07-24T04:57:00Z</dcterms:created>
  <dc:creator>Administrator</dc:creator>
  <cp:lastModifiedBy>Administrator</cp:lastModifiedBy>
  <dcterms:modified xsi:type="dcterms:W3CDTF">2026-07-28T06:32:59Z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B4108452D70A40B5A9D72EE2499F7612_13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