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版本号：LC-ZC-2026-00120260508001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校园文化提升项目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LC-ZC-2026-001</w:t>
      </w:r>
      <w:r>
        <w:br/>
      </w:r>
      <w:r>
        <w:br/>
      </w:r>
      <w:r>
        <w:br/>
      </w:r>
    </w:p>
    <w:p>
      <w:pPr>
        <w:pStyle w:val="null3"/>
        <w:jc w:val="center"/>
        <w:outlineLvl w:val="2"/>
      </w:pPr>
      <w:r>
        <w:rPr>
          <w:rFonts w:ascii="仿宋_GB2312" w:hAnsi="仿宋_GB2312" w:cs="仿宋_GB2312" w:eastAsia="仿宋_GB2312"/>
          <w:sz w:val="28"/>
          <w:b/>
        </w:rPr>
        <w:t>西安经开第四小学</w:t>
      </w:r>
    </w:p>
    <w:p>
      <w:pPr>
        <w:pStyle w:val="null3"/>
        <w:jc w:val="center"/>
        <w:outlineLvl w:val="2"/>
      </w:pPr>
      <w:r>
        <w:rPr>
          <w:rFonts w:ascii="仿宋_GB2312" w:hAnsi="仿宋_GB2312" w:cs="仿宋_GB2312" w:eastAsia="仿宋_GB2312"/>
          <w:sz w:val="28"/>
          <w:b/>
        </w:rPr>
        <w:t>陕西龙辰全过程工程咨询有限公司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陕西龙辰全过程工程咨询有限公司</w:t>
      </w:r>
      <w:r>
        <w:rPr>
          <w:rFonts w:ascii="仿宋_GB2312" w:hAnsi="仿宋_GB2312" w:cs="仿宋_GB2312" w:eastAsia="仿宋_GB2312"/>
        </w:rPr>
        <w:t>（以下简称“代理机构”）受</w:t>
      </w:r>
      <w:r>
        <w:rPr>
          <w:rFonts w:ascii="仿宋_GB2312" w:hAnsi="仿宋_GB2312" w:cs="仿宋_GB2312" w:eastAsia="仿宋_GB2312"/>
        </w:rPr>
        <w:t>西安经开第四小学</w:t>
      </w:r>
      <w:r>
        <w:rPr>
          <w:rFonts w:ascii="仿宋_GB2312" w:hAnsi="仿宋_GB2312" w:cs="仿宋_GB2312" w:eastAsia="仿宋_GB2312"/>
        </w:rPr>
        <w:t>委托，拟对</w:t>
      </w:r>
      <w:r>
        <w:rPr>
          <w:rFonts w:ascii="仿宋_GB2312" w:hAnsi="仿宋_GB2312" w:cs="仿宋_GB2312" w:eastAsia="仿宋_GB2312"/>
        </w:rPr>
        <w:t>校园文化提升项目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LC-ZC-2026-001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校园文化提升项目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本项目主要实施内容为：学校南大门、臻晖楼一楼文化主题展厅及雨棚、体育馆前主题广场修缮工程，（主要包含墙、柱面装饰与隔断、幕墙工程、装饰雨篷面层、绿化种植等校园文化建设）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采购包1（西安经开第四小学校园文化提升项目）：属于专门面向中小企业采购。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三种形式的资料提供任何一种即可）①提供2024年或2025年财务审计报告（成立时间至磋商时间不足一年的可提供成立后任意时段的资产负债表）；②提供基本存款账户信息及磋商日期前三个月内其基本存款账户开户银行出具的资信证明；③财政部门认可的政府采购专业担保机构出具的投标担保函；（依法不需要提供财务状况的供应商应提供相关证明）</w:t>
      </w:r>
    </w:p>
    <w:p>
      <w:pPr>
        <w:pStyle w:val="null3"/>
      </w:pPr>
      <w:r>
        <w:rPr>
          <w:rFonts w:ascii="仿宋_GB2312" w:hAnsi="仿宋_GB2312" w:cs="仿宋_GB2312" w:eastAsia="仿宋_GB2312"/>
        </w:rPr>
        <w:t>3、税收缴纳证明：提供响应文件提交截止时间一年内至少一个月的纳税证明或完税证明；</w:t>
      </w:r>
    </w:p>
    <w:p>
      <w:pPr>
        <w:pStyle w:val="null3"/>
      </w:pPr>
      <w:r>
        <w:rPr>
          <w:rFonts w:ascii="仿宋_GB2312" w:hAnsi="仿宋_GB2312" w:cs="仿宋_GB2312" w:eastAsia="仿宋_GB2312"/>
        </w:rPr>
        <w:t>4、社保资金缴纳证明：提供响应文件提交截止时间一年内至少一个月的社会保障资金缴存单据或社保机构开具的社会保险参保缴费情况证明；</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6、控股管理关系：提供直接控股和管理关系清单。若与其他供应商存在单位负责人为同一人或者存在直接控股、管理关系的，则按无效响应文件处理；</w:t>
      </w:r>
    </w:p>
    <w:p>
      <w:pPr>
        <w:pStyle w:val="null3"/>
      </w:pPr>
      <w:r>
        <w:rPr>
          <w:rFonts w:ascii="仿宋_GB2312" w:hAnsi="仿宋_GB2312" w:cs="仿宋_GB2312" w:eastAsia="仿宋_GB2312"/>
        </w:rPr>
        <w:t>7、设备、技术能力书面声明：提供具有履行合同所必需的设备和专业技术能力书面声明函；</w:t>
      </w:r>
    </w:p>
    <w:p>
      <w:pPr>
        <w:pStyle w:val="null3"/>
      </w:pPr>
      <w:r>
        <w:rPr>
          <w:rFonts w:ascii="仿宋_GB2312" w:hAnsi="仿宋_GB2312" w:cs="仿宋_GB2312" w:eastAsia="仿宋_GB2312"/>
        </w:rPr>
        <w:t>8、企业资质：具有建设行政主管部门颁发的建筑装修装饰工程专业承包二级或以上资质，且具备有效的安全生产许可证；</w:t>
      </w:r>
    </w:p>
    <w:p>
      <w:pPr>
        <w:pStyle w:val="null3"/>
      </w:pPr>
      <w:r>
        <w:rPr>
          <w:rFonts w:ascii="仿宋_GB2312" w:hAnsi="仿宋_GB2312" w:cs="仿宋_GB2312" w:eastAsia="仿宋_GB2312"/>
        </w:rPr>
        <w:t>9、拟派项目经理资质：拟派项目经理具备建设行政主管部门颁发的建筑工程专业二级或以上注册建造师执业资格，具备有效的安全生产考核合格证书（B证），在本单位注册，无在建项目；</w:t>
      </w:r>
    </w:p>
    <w:p>
      <w:pPr>
        <w:pStyle w:val="null3"/>
      </w:pPr>
      <w:r>
        <w:rPr>
          <w:rFonts w:ascii="仿宋_GB2312" w:hAnsi="仿宋_GB2312" w:cs="仿宋_GB2312" w:eastAsia="仿宋_GB2312"/>
        </w:rPr>
        <w:t>10、备案：供应商及拟派项目经理的基本信息在“陕西省建筑市场监管与诚信信息发布平台”可查询，外省进陕施工企业需提供陕西省住房和城乡建设厅官网企业库外省进陕施工企业及项目经理基本信息。</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西安经开第四小学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西安市泾渭新城纬六路以南，渭原北路以西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029-86035966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陕西龙辰全过程工程咨询有限公司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陕西省西安市未央区朱宏路888号威尔佳酒店B座7楼703室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乔子霁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029-86350681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康均朝</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029-86522654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采购包1：1,476,509.86元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代理服务费收费标准：参考《招标代理服务收费管理暂行办法》（计价格[2002]1980号）文件规定收取。 代理服务费缴纳及账户信息：（转账汇款时请注明：项目编号：LC-ZC-2026-001） 开户名称：陕西龙辰全过程工程咨询有限公司 开 户 行：西安银行股份有限公司星火路支行 账 号：7080 1158 0000 2694 81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西安经开第四小学</w:t>
      </w:r>
      <w:r>
        <w:rPr>
          <w:rFonts w:ascii="仿宋_GB2312" w:hAnsi="仿宋_GB2312" w:cs="仿宋_GB2312" w:eastAsia="仿宋_GB2312"/>
        </w:rPr>
        <w:t>和</w:t>
      </w:r>
      <w:r>
        <w:rPr>
          <w:rFonts w:ascii="仿宋_GB2312" w:hAnsi="仿宋_GB2312" w:cs="仿宋_GB2312" w:eastAsia="仿宋_GB2312"/>
        </w:rPr>
        <w:t>陕西龙辰全过程工程咨询有限公司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西安经开第四小学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陕西龙辰全过程工程咨询有限公司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西安经开第四小学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陕西龙辰全过程工程咨询有限公司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联系人：乔子霁</w:t>
      </w:r>
    </w:p>
    <w:p>
      <w:pPr>
        <w:pStyle w:val="null3"/>
      </w:pPr>
      <w:r>
        <w:rPr>
          <w:rFonts w:ascii="仿宋_GB2312" w:hAnsi="仿宋_GB2312" w:cs="仿宋_GB2312" w:eastAsia="仿宋_GB2312"/>
        </w:rPr>
        <w:t>联系电话：029-86350681</w:t>
      </w:r>
    </w:p>
    <w:p>
      <w:pPr>
        <w:pStyle w:val="null3"/>
      </w:pPr>
      <w:r>
        <w:rPr>
          <w:rFonts w:ascii="仿宋_GB2312" w:hAnsi="仿宋_GB2312" w:cs="仿宋_GB2312" w:eastAsia="仿宋_GB2312"/>
        </w:rPr>
        <w:t>地址：陕西省西安市未央区朱宏路3号统建办大厦10层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1,476,509.86</w:t>
      </w:r>
    </w:p>
    <w:p>
      <w:pPr>
        <w:pStyle w:val="null3"/>
      </w:pPr>
      <w:r>
        <w:rPr>
          <w:rFonts w:ascii="仿宋_GB2312" w:hAnsi="仿宋_GB2312" w:cs="仿宋_GB2312" w:eastAsia="仿宋_GB2312"/>
        </w:rPr>
        <w:t>采购包最高限价（元）: 1,476,509.86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校园文化提升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1,476,509.86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标的名称：校园文化提升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本项目主要实施内容为：学校南大门、臻晖楼一楼文化主题展厅及雨棚、体育馆前主题广场修缮工程，（主要包含墙、柱面装饰与隔断、幕墙工程、装饰雨篷面层、绿化种植等校园文化建设）具体内容详见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18"/>
                <w:b/>
              </w:rPr>
              <w:t>工程量清单编制说明</w:t>
            </w:r>
          </w:p>
          <w:p>
            <w:pPr>
              <w:pStyle w:val="null3"/>
            </w:pPr>
            <w:r>
              <w:rPr>
                <w:rFonts w:ascii="仿宋_GB2312" w:hAnsi="仿宋_GB2312" w:cs="仿宋_GB2312" w:eastAsia="仿宋_GB2312"/>
                <w:sz w:val="20"/>
              </w:rPr>
              <w:t>一、工程概况</w:t>
            </w:r>
          </w:p>
          <w:p>
            <w:pPr>
              <w:pStyle w:val="null3"/>
            </w:pPr>
            <w:r>
              <w:rPr>
                <w:rFonts w:ascii="仿宋_GB2312" w:hAnsi="仿宋_GB2312" w:cs="仿宋_GB2312" w:eastAsia="仿宋_GB2312"/>
                <w:sz w:val="20"/>
              </w:rPr>
              <w:t>1</w:t>
            </w:r>
            <w:r>
              <w:rPr>
                <w:rFonts w:ascii="仿宋_GB2312" w:hAnsi="仿宋_GB2312" w:cs="仿宋_GB2312" w:eastAsia="仿宋_GB2312"/>
                <w:sz w:val="20"/>
              </w:rPr>
              <w:t>、项目名称：西安经开第四小学校园文化提升项目</w:t>
            </w:r>
          </w:p>
          <w:p>
            <w:pPr>
              <w:pStyle w:val="null3"/>
            </w:pPr>
            <w:r>
              <w:rPr>
                <w:rFonts w:ascii="仿宋_GB2312" w:hAnsi="仿宋_GB2312" w:cs="仿宋_GB2312" w:eastAsia="仿宋_GB2312"/>
                <w:sz w:val="20"/>
              </w:rPr>
              <w:t>2</w:t>
            </w:r>
            <w:r>
              <w:rPr>
                <w:rFonts w:ascii="仿宋_GB2312" w:hAnsi="仿宋_GB2312" w:cs="仿宋_GB2312" w:eastAsia="仿宋_GB2312"/>
                <w:sz w:val="20"/>
              </w:rPr>
              <w:t>、主要包括：臻晖楼大厅及雨棚改造、体育馆及体育馆前广场改造、学校大门及门房改造等。</w:t>
            </w:r>
          </w:p>
          <w:p>
            <w:pPr>
              <w:pStyle w:val="null3"/>
            </w:pPr>
            <w:r>
              <w:rPr>
                <w:rFonts w:ascii="仿宋_GB2312" w:hAnsi="仿宋_GB2312" w:cs="仿宋_GB2312" w:eastAsia="仿宋_GB2312"/>
                <w:sz w:val="20"/>
              </w:rPr>
              <w:t>二、编制依据</w:t>
            </w:r>
          </w:p>
          <w:p>
            <w:pPr>
              <w:pStyle w:val="null3"/>
            </w:pPr>
            <w:r>
              <w:rPr>
                <w:rFonts w:ascii="仿宋_GB2312" w:hAnsi="仿宋_GB2312" w:cs="仿宋_GB2312" w:eastAsia="仿宋_GB2312"/>
                <w:sz w:val="20"/>
              </w:rPr>
              <w:t>1</w:t>
            </w:r>
            <w:r>
              <w:rPr>
                <w:rFonts w:ascii="仿宋_GB2312" w:hAnsi="仿宋_GB2312" w:cs="仿宋_GB2312" w:eastAsia="仿宋_GB2312"/>
                <w:sz w:val="20"/>
              </w:rPr>
              <w:t>、陕西省建设工程工程量清单计价计算标准</w:t>
            </w:r>
            <w:r>
              <w:rPr>
                <w:rFonts w:ascii="仿宋_GB2312" w:hAnsi="仿宋_GB2312" w:cs="仿宋_GB2312" w:eastAsia="仿宋_GB2312"/>
                <w:sz w:val="20"/>
              </w:rPr>
              <w:t>(2025)</w:t>
            </w:r>
            <w:r>
              <w:rPr>
                <w:rFonts w:ascii="仿宋_GB2312" w:hAnsi="仿宋_GB2312" w:cs="仿宋_GB2312" w:eastAsia="仿宋_GB2312"/>
                <w:sz w:val="20"/>
              </w:rPr>
              <w:t>；</w:t>
            </w:r>
          </w:p>
          <w:p>
            <w:pPr>
              <w:pStyle w:val="null3"/>
            </w:pPr>
            <w:r>
              <w:rPr>
                <w:rFonts w:ascii="仿宋_GB2312" w:hAnsi="仿宋_GB2312" w:cs="仿宋_GB2312" w:eastAsia="仿宋_GB2312"/>
                <w:sz w:val="20"/>
              </w:rPr>
              <w:t>2</w:t>
            </w:r>
            <w:r>
              <w:rPr>
                <w:rFonts w:ascii="仿宋_GB2312" w:hAnsi="仿宋_GB2312" w:cs="仿宋_GB2312" w:eastAsia="仿宋_GB2312"/>
                <w:sz w:val="20"/>
              </w:rPr>
              <w:t>、施工图、常规方案等。</w:t>
            </w:r>
          </w:p>
          <w:p>
            <w:pPr>
              <w:pStyle w:val="null3"/>
            </w:pPr>
            <w:r>
              <w:rPr>
                <w:rFonts w:ascii="仿宋_GB2312" w:hAnsi="仿宋_GB2312" w:cs="仿宋_GB2312" w:eastAsia="仿宋_GB2312"/>
                <w:sz w:val="20"/>
              </w:rPr>
              <w:t>三、计价依据</w:t>
            </w:r>
          </w:p>
          <w:p>
            <w:pPr>
              <w:pStyle w:val="null3"/>
            </w:pPr>
            <w:r>
              <w:rPr>
                <w:rFonts w:ascii="仿宋_GB2312" w:hAnsi="仿宋_GB2312" w:cs="仿宋_GB2312" w:eastAsia="仿宋_GB2312"/>
                <w:sz w:val="20"/>
              </w:rPr>
              <w:t>1</w:t>
            </w:r>
            <w:r>
              <w:rPr>
                <w:rFonts w:ascii="仿宋_GB2312" w:hAnsi="仿宋_GB2312" w:cs="仿宋_GB2312" w:eastAsia="仿宋_GB2312"/>
                <w:sz w:val="20"/>
              </w:rPr>
              <w:t>、执行陕建发</w:t>
            </w:r>
            <w:r>
              <w:rPr>
                <w:rFonts w:ascii="仿宋_GB2312" w:hAnsi="仿宋_GB2312" w:cs="仿宋_GB2312" w:eastAsia="仿宋_GB2312"/>
                <w:sz w:val="20"/>
              </w:rPr>
              <w:t>[2025]10</w:t>
            </w:r>
            <w:r>
              <w:rPr>
                <w:rFonts w:ascii="仿宋_GB2312" w:hAnsi="仿宋_GB2312" w:cs="仿宋_GB2312" w:eastAsia="仿宋_GB2312"/>
                <w:sz w:val="20"/>
              </w:rPr>
              <w:t>号文；</w:t>
            </w:r>
          </w:p>
          <w:p>
            <w:pPr>
              <w:pStyle w:val="null3"/>
            </w:pPr>
            <w:r>
              <w:rPr>
                <w:rFonts w:ascii="仿宋_GB2312" w:hAnsi="仿宋_GB2312" w:cs="仿宋_GB2312" w:eastAsia="仿宋_GB2312"/>
                <w:sz w:val="20"/>
              </w:rPr>
              <w:t>2</w:t>
            </w:r>
            <w:r>
              <w:rPr>
                <w:rFonts w:ascii="仿宋_GB2312" w:hAnsi="仿宋_GB2312" w:cs="仿宋_GB2312" w:eastAsia="仿宋_GB2312"/>
                <w:sz w:val="20"/>
              </w:rPr>
              <w:t>、税金按照《关于调整我省建设工程计价依据的通知》（陕建发</w:t>
            </w:r>
            <w:r>
              <w:rPr>
                <w:rFonts w:ascii="仿宋_GB2312" w:hAnsi="仿宋_GB2312" w:cs="仿宋_GB2312" w:eastAsia="仿宋_GB2312"/>
                <w:sz w:val="20"/>
              </w:rPr>
              <w:t>[2019]45</w:t>
            </w:r>
            <w:r>
              <w:rPr>
                <w:rFonts w:ascii="仿宋_GB2312" w:hAnsi="仿宋_GB2312" w:cs="仿宋_GB2312" w:eastAsia="仿宋_GB2312"/>
                <w:sz w:val="20"/>
              </w:rPr>
              <w:t>号）计入；</w:t>
            </w:r>
          </w:p>
          <w:p>
            <w:pPr>
              <w:pStyle w:val="null3"/>
            </w:pPr>
            <w:r>
              <w:rPr>
                <w:rFonts w:ascii="仿宋_GB2312" w:hAnsi="仿宋_GB2312" w:cs="仿宋_GB2312" w:eastAsia="仿宋_GB2312"/>
                <w:sz w:val="20"/>
              </w:rPr>
              <w:t>3</w:t>
            </w:r>
            <w:r>
              <w:rPr>
                <w:rFonts w:ascii="仿宋_GB2312" w:hAnsi="仿宋_GB2312" w:cs="仿宋_GB2312" w:eastAsia="仿宋_GB2312"/>
                <w:sz w:val="20"/>
              </w:rPr>
              <w:t>、编制软件为广联达云计价平台</w:t>
            </w:r>
            <w:r>
              <w:rPr>
                <w:rFonts w:ascii="仿宋_GB2312" w:hAnsi="仿宋_GB2312" w:cs="仿宋_GB2312" w:eastAsia="仿宋_GB2312"/>
                <w:sz w:val="20"/>
              </w:rPr>
              <w:t>7.0-</w:t>
            </w:r>
            <w:r>
              <w:rPr>
                <w:rFonts w:ascii="仿宋_GB2312" w:hAnsi="仿宋_GB2312" w:cs="仿宋_GB2312" w:eastAsia="仿宋_GB2312"/>
                <w:sz w:val="20"/>
              </w:rPr>
              <w:t>陕西</w:t>
            </w:r>
            <w:r>
              <w:rPr>
                <w:rFonts w:ascii="仿宋_GB2312" w:hAnsi="仿宋_GB2312" w:cs="仿宋_GB2312" w:eastAsia="仿宋_GB2312"/>
                <w:sz w:val="20"/>
              </w:rPr>
              <w:t>-64</w:t>
            </w:r>
            <w:r>
              <w:rPr>
                <w:rFonts w:ascii="仿宋_GB2312" w:hAnsi="仿宋_GB2312" w:cs="仿宋_GB2312" w:eastAsia="仿宋_GB2312"/>
                <w:sz w:val="20"/>
              </w:rPr>
              <w:t>位，版本号</w:t>
            </w:r>
            <w:r>
              <w:rPr>
                <w:rFonts w:ascii="仿宋_GB2312" w:hAnsi="仿宋_GB2312" w:cs="仿宋_GB2312" w:eastAsia="仿宋_GB2312"/>
                <w:sz w:val="20"/>
              </w:rPr>
              <w:t>: 7.5000.23.2</w:t>
            </w:r>
            <w:r>
              <w:rPr>
                <w:rFonts w:ascii="仿宋_GB2312" w:hAnsi="仿宋_GB2312" w:cs="仿宋_GB2312" w:eastAsia="仿宋_GB2312"/>
                <w:sz w:val="20"/>
              </w:rPr>
              <w:t>；</w:t>
            </w:r>
          </w:p>
          <w:p>
            <w:pPr>
              <w:pStyle w:val="null3"/>
              <w:spacing w:before="180" w:after="180"/>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18"/>
                <w:b/>
              </w:rPr>
              <w:t>一、其他说明</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、本工程量清单所提供工程项目特征仅表达了主要工程做法，组价时应依据方案、相关图集，结合磋商文件，合同条款，技术规范、答疑纪要等进行组价。</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供应商需根据现场现有情况和相关要求计价，清单未列明且可能发生或工程量的变化所产生的费用，需在报价中进行综合考虑，包含解决施工用水水源费用、解决施工用电电源费用及完成本工程所需要的全部费用。</w:t>
            </w:r>
          </w:p>
          <w:p>
            <w:pPr>
              <w:pStyle w:val="null3"/>
              <w:jc w:val="both"/>
            </w:pPr>
            <w:r>
              <w:rPr>
                <w:rFonts w:ascii="仿宋_GB2312" w:hAnsi="仿宋_GB2312" w:cs="仿宋_GB2312" w:eastAsia="仿宋_GB2312"/>
                <w:sz w:val="18"/>
                <w:b/>
              </w:rPr>
              <w:t>二、商务条款</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、工期：</w:t>
            </w:r>
            <w:r>
              <w:rPr>
                <w:rFonts w:ascii="仿宋_GB2312" w:hAnsi="仿宋_GB2312" w:cs="仿宋_GB2312" w:eastAsia="仿宋_GB2312"/>
                <w:sz w:val="18"/>
              </w:rPr>
              <w:t>60</w:t>
            </w:r>
            <w:r>
              <w:rPr>
                <w:rFonts w:ascii="仿宋_GB2312" w:hAnsi="仿宋_GB2312" w:cs="仿宋_GB2312" w:eastAsia="仿宋_GB2312"/>
                <w:sz w:val="18"/>
              </w:rPr>
              <w:t>日历天</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、质量要求：符合工程质量验收标准规定，验收合格。</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保修期：</w:t>
            </w:r>
            <w:r>
              <w:rPr>
                <w:rFonts w:ascii="仿宋_GB2312" w:hAnsi="仿宋_GB2312" w:cs="仿宋_GB2312" w:eastAsia="仿宋_GB2312"/>
                <w:sz w:val="18"/>
              </w:rPr>
              <w:t>1</w:t>
            </w:r>
            <w:r>
              <w:rPr>
                <w:rFonts w:ascii="仿宋_GB2312" w:hAnsi="仿宋_GB2312" w:cs="仿宋_GB2312" w:eastAsia="仿宋_GB2312"/>
                <w:sz w:val="18"/>
              </w:rPr>
              <w:t>年</w:t>
            </w:r>
          </w:p>
          <w:p>
            <w:pPr>
              <w:pStyle w:val="null3"/>
            </w:pPr>
            <w:r>
              <w:rPr>
                <w:rFonts w:ascii="仿宋_GB2312" w:hAnsi="仿宋_GB2312" w:cs="仿宋_GB2312" w:eastAsia="仿宋_GB2312"/>
                <w:sz w:val="18"/>
              </w:rPr>
              <w:t>4</w:t>
            </w:r>
            <w:r>
              <w:rPr>
                <w:rFonts w:ascii="仿宋_GB2312" w:hAnsi="仿宋_GB2312" w:cs="仿宋_GB2312" w:eastAsia="仿宋_GB2312"/>
                <w:sz w:val="18"/>
              </w:rPr>
              <w:t>、付款方式：</w:t>
            </w:r>
          </w:p>
          <w:p>
            <w:pPr>
              <w:pStyle w:val="null3"/>
            </w:pPr>
            <w:r>
              <w:rPr>
                <w:rFonts w:ascii="仿宋_GB2312" w:hAnsi="仿宋_GB2312" w:cs="仿宋_GB2312" w:eastAsia="仿宋_GB2312"/>
                <w:sz w:val="18"/>
              </w:rPr>
              <w:t>①</w:t>
            </w:r>
            <w:r>
              <w:rPr>
                <w:rFonts w:ascii="仿宋_GB2312" w:hAnsi="仿宋_GB2312" w:cs="仿宋_GB2312" w:eastAsia="仿宋_GB2312"/>
                <w:sz w:val="18"/>
              </w:rPr>
              <w:t>工程竣工完成并经采购人验收合格后 ，达到付款条件起 15 日内，支付合同总金额的 97.00%</w:t>
            </w:r>
          </w:p>
          <w:p>
            <w:pPr>
              <w:pStyle w:val="null3"/>
              <w:jc w:val="both"/>
            </w:pPr>
            <w:r>
              <w:rPr>
                <w:rFonts w:ascii="仿宋_GB2312" w:hAnsi="仿宋_GB2312" w:cs="仿宋_GB2312" w:eastAsia="仿宋_GB2312"/>
                <w:sz w:val="18"/>
              </w:rPr>
              <w:t>②</w:t>
            </w:r>
            <w:r>
              <w:rPr>
                <w:rFonts w:ascii="仿宋_GB2312" w:hAnsi="仿宋_GB2312" w:cs="仿宋_GB2312" w:eastAsia="仿宋_GB2312"/>
                <w:sz w:val="18"/>
              </w:rPr>
              <w:t>待工程保修期结束后 ，达到付款条件起 15 日内，支付合同总金额的 3.00%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3.3.1合格供应商少于3家的处理 3.3.1.1评审过程中，若出现合格供应商只有2家时，符合《政府采购竞争性磋商采购方式管理暂行办法》第3条第4项情形的，或者本项目为政府购买服务指导性目录中的，可以继续进行；只有1家时，采购人应依法重新组织采购活动。 3.3.1.2评审过程中，除符合第3.3.1.1条条款规定情形外，若出现合格供应商少于3家时，采购人应依法重新组织采购活动。 3.3.2本项目需要落实的政府采购政策：（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 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2025〕34号；（16）如有最新颁布的政府采购政策，按最新的文件执行。 3.3.3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叁套，纸质响应文件应通过专用制作软件直接打印，确保与项目电子化交易系统中的电子响应文件保持一致，不允许修改和补充。3.3.4异常低价处理：（一）政府采购评审中出现下列情形之一的，磋商小组应当启动异常低价响应审查程序：1.响应报价低于全部通过符合性审查供应商响应报价平均值50%的，即响应报价&lt;全部通过符合性审查供应商响应报价平均值×50%；2.响应报价低于通过符合性审查的次低报价供应商响应报价50%的，即响应报价&lt;通过符合性审查的次低报价供应商响应报价×50%；3.响应报价低于采购项目最高限价45%的，即响应报价&lt;采购项目最高限价×45%；4.磋商小组基于专业判断，认为供应商报价过低，有可能影响产品质量或者不能诚信履约的其他情形。 （二）磋商小组启动异常低价响应审查后，相关供应商在评审现场合理的时间内对响应价格作出解释，提供项目具体成本测算等与报价合理性相关的书面说明及必要的证明材料，包括但不限于原材料成本、人工成本、制造费用等。 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三种形式的资料提供任何一种即可）①提供2024年或2025年财务审计报告（成立时间至磋商时间不足一年的可提供成立后任意时段的资产负债表）；②提供基本存款账户信息及磋商日期前三个月内其基本存款账户开户银行出具的资信证明；③财政部门认可的政府采购专业担保机构出具的投标担保函；（依法不需要提供财务状况的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提供响应文件提交截止时间一年内至少一个月的纳税证明或完税证明；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提供直接控股和管理关系清单。若与其他供应商存在单位负责人为同一人或者存在直接控股、管理关系的，则按无效响应文件处理；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具有建设行政主管部门颁发的建筑装修装饰工程专业承包二级或以上资质，且具备有效的安全生产许可证；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拟派项目经理资质</w:t>
            </w:r>
          </w:p>
        </w:tc>
        <w:tc>
          <w:tcPr>
            <w:tcW w:type="dxa" w:w="3322"/>
          </w:tcPr>
          <w:p>
            <w:pPr>
              <w:pStyle w:val="null3"/>
            </w:pPr>
            <w:r>
              <w:rPr>
                <w:rFonts w:ascii="仿宋_GB2312" w:hAnsi="仿宋_GB2312" w:cs="仿宋_GB2312" w:eastAsia="仿宋_GB2312"/>
              </w:rPr>
              <w:t>拟派项目经理具备建设行政主管部门颁发的建筑工程专业二级或以上注册建造师执业资格，具备有效的安全生产考核合格证书（B证），在本单位注册，无在建项目；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备案</w:t>
            </w:r>
          </w:p>
        </w:tc>
        <w:tc>
          <w:tcPr>
            <w:tcW w:type="dxa" w:w="3322"/>
          </w:tcPr>
          <w:p>
            <w:pPr>
              <w:pStyle w:val="null3"/>
            </w:pPr>
            <w:r>
              <w:rPr>
                <w:rFonts w:ascii="仿宋_GB2312" w:hAnsi="仿宋_GB2312" w:cs="仿宋_GB2312" w:eastAsia="仿宋_GB2312"/>
              </w:rPr>
              <w:t>供应商及拟派项目经理的基本信息在“陕西省建筑市场监管与诚信信息发布平台”可查询，外省进陕施工企业需提供陕西省住房和城乡建设厅官网企业库外省进陕施工企业及项目经理基本信息。</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磋商的，须出具法定代表人（负责人）身份证明书及身份证正反两面扫描件或护照资料页扫描件；法定代表人（负责人）授权委托代理人参加磋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（1）响应文件封面 （2）响应函 （3）法定代表人（负责人）委托授权书</w:t>
            </w:r>
          </w:p>
        </w:tc>
        <w:tc>
          <w:tcPr>
            <w:tcW w:type="dxa" w:w="1661"/>
          </w:tcPr>
          <w:p>
            <w:pPr>
              <w:pStyle w:val="null3"/>
            </w:pPr>
            <w:r>
              <w:rPr>
                <w:rFonts w:ascii="仿宋_GB2312" w:hAnsi="仿宋_GB2312" w:cs="仿宋_GB2312" w:eastAsia="仿宋_GB2312"/>
              </w:rPr>
              <w:t>响应文件封面 法定代表人身份证明书及授权委托书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响应文件完整且编排有序，响应内容基本完整，无重大错漏；</w:t>
            </w:r>
          </w:p>
        </w:tc>
        <w:tc>
          <w:tcPr>
            <w:tcW w:type="dxa" w:w="1661"/>
          </w:tcPr>
          <w:p>
            <w:pPr>
              <w:pStyle w:val="null3"/>
            </w:pPr>
            <w:r>
              <w:rPr>
                <w:rFonts w:ascii="仿宋_GB2312" w:hAnsi="仿宋_GB2312" w:cs="仿宋_GB2312" w:eastAsia="仿宋_GB2312"/>
              </w:rPr>
              <w:t>响应文件封面 法定代表人身份证明书及授权委托书 技术服务合同条款应答表 已标价工程量清单 施工组织设计 其他商务要求应答表 中小企业声明函 残疾人福利性单位声明函 供应商应提交的相关资格证明材料 响应函 监狱企业的证明文件 强制优先采购产品承诺函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（1）货币单位符合磋商文件要求（2）未超出采购预算或最高限价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完全理解并响应磋商文件合同及其它条款的要求，且未含有采购人不能接受的附加条件的。</w:t>
            </w:r>
          </w:p>
        </w:tc>
        <w:tc>
          <w:tcPr>
            <w:tcW w:type="dxa" w:w="1661"/>
          </w:tcPr>
          <w:p>
            <w:pPr>
              <w:pStyle w:val="null3"/>
            </w:pPr>
            <w:r>
              <w:rPr>
                <w:rFonts w:ascii="仿宋_GB2312" w:hAnsi="仿宋_GB2312" w:cs="仿宋_GB2312" w:eastAsia="仿宋_GB2312"/>
              </w:rPr>
              <w:t>技术服务合同条款应答表 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技术服务合同条款应答表 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供应商针对本项目提供的施工方案，需包含以下内容：①施工工艺及方法；②拟投入本项目人员配备及组织架构；③技术组织措施；④环境保护管理体系与措施；⑤施工机械配备；⑥新技术、新产品、新工艺、新材料应用。 2.上述内容完全满足项目要求的得24.0分，每缺少一项内容的扣4.0分，每有一项内容存在缺陷或不足扣2.0分。 3.缺陷或不足是指：非专门针对本项目或不适用项目特性的情形，内容不完整或虽有内容但描述简单或缺少关键节点、套用其他项目方案、语句不通顺或有歧义、方案内容交叉混乱、方案中内容前后不一致、涉及的规范及标准错误、地点区域错误、不利于项目实施、不可能实现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1.供应商针对本项目提供的质量管理方案，需包含以下内容：①质量保证体系及目标；②质量技术保障措施；③原有设施及现场成品保护措施方案；④制定质量管理制度及检查制度。 2.上述内容完全满足项目要求的得12.0分，每缺少一项内容的扣3.0分，每有一项内容存在缺陷或不足扣1.5分。 3.缺陷或不足是指：非专门针对本项目或不适用项目特性的情形，内容不完整或虽有内容但描述简单或缺少关键节点、套用其他项目方案、语句不通顺或有歧义、方案内容交叉混乱、方案中内容前后不一致、涉及的规范及标准错误、地点区域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安全应急方案</w:t>
            </w:r>
          </w:p>
        </w:tc>
        <w:tc>
          <w:tcPr>
            <w:tcW w:type="dxa" w:w="2492"/>
          </w:tcPr>
          <w:p>
            <w:pPr>
              <w:pStyle w:val="null3"/>
            </w:pPr>
            <w:r>
              <w:rPr>
                <w:rFonts w:ascii="仿宋_GB2312" w:hAnsi="仿宋_GB2312" w:cs="仿宋_GB2312" w:eastAsia="仿宋_GB2312"/>
              </w:rPr>
              <w:t>1.供应商针对本项目提供的安全应急方案，需包含以下内容：①文明施工安全保障体系；②文明施工措施；③安全教育及保证措施；④安全应急预案。 2.上述内容完全满足项目要求的得12.0分，每缺少一项内容的扣3.0分，每有一项内容存在缺陷或不足扣1.5分。 3.缺陷或不足是指：非专门针对本项目或不适用项目特性的情形，内容不完整或虽有内容但描述简单或缺少关键节点、套用其他项目方案、语句不通顺或有歧义、方案内容交叉混乱、方案中内容前后不一致、涉及的规范及标准错误、地点区域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工期进度保证方案</w:t>
            </w:r>
          </w:p>
        </w:tc>
        <w:tc>
          <w:tcPr>
            <w:tcW w:type="dxa" w:w="2492"/>
          </w:tcPr>
          <w:p>
            <w:pPr>
              <w:pStyle w:val="null3"/>
            </w:pPr>
            <w:r>
              <w:rPr>
                <w:rFonts w:ascii="仿宋_GB2312" w:hAnsi="仿宋_GB2312" w:cs="仿宋_GB2312" w:eastAsia="仿宋_GB2312"/>
              </w:rPr>
              <w:t>1.供应商针对本项目提供的工期进度保证方案，需包含以下内容：①保证工期实施措施方案；②施工进度表或施工网络计划图；③劳动力配备及管理措施；④主要人、料、机配置使用计划及管理措施。 2.上述内容完全满足项目要求的得12.0分，每缺少一项内容的扣3.0分，每有一项内容存在缺陷或不足扣1.5分。 3.缺陷或不足是指：非专门针对本项目或不适用项目特性的情形，内容不完整或虽有内容但描述简单或缺少关键节点、套用其他项目方案、语句不通顺或有歧义、方案内容交叉混乱、方案中内容前后不一致、涉及的规范及标准错误、地点区域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2023年1月1日起至今，具有类似项目业绩（以合同或协议签订日期为准，响应文件中附加盖公章的合同或协议复印件，否则不作为评审依据），每提供一份有效业绩得2.0分，最多得10.0分。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详见附件：技术服务合同条款应答表</w:t>
      </w:r>
    </w:p>
    <w:p>
      <w:pPr>
        <w:pStyle w:val="null3"/>
        <w:ind w:firstLine="960"/>
      </w:pPr>
      <w:r>
        <w:rPr>
          <w:rFonts w:ascii="仿宋_GB2312" w:hAnsi="仿宋_GB2312" w:cs="仿宋_GB2312" w:eastAsia="仿宋_GB2312"/>
        </w:rPr>
        <w:t>详见附件：其他商务要求应答表</w:t>
      </w:r>
    </w:p>
    <w:p>
      <w:pPr>
        <w:pStyle w:val="null3"/>
        <w:ind w:firstLine="960"/>
      </w:pPr>
      <w:r>
        <w:rPr>
          <w:rFonts w:ascii="仿宋_GB2312" w:hAnsi="仿宋_GB2312" w:cs="仿宋_GB2312" w:eastAsia="仿宋_GB2312"/>
        </w:rPr>
        <w:t>详见附件：施工组织设计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