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版本号：HRC-ZBDL-2026-0057920260622001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北田街道国土空间规划和北田村、月掌村、垣头村开发边界外实用性村庄规划编制项目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HRC-ZBDL-2026-00579</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北田街道国土空间规划和北田村、月掌村、垣头村开发边界外实用性村庄规划编制项目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HRC-ZBDL-2026-00579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北田街道国土空间规划和北田村、月掌村、垣头村开发边界外实用性村庄规划编制项目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为科学统筹我办国土空间开发保护，规范村庄建设管理，切实提升国土空间治理能力和水平，现组织开展北田街道国土空间规划和北田村、月掌村、垣头村开发边界外实用性村庄规划编制工作。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或授权代表：法定代表人（主要负责人）委托代理人参加磋商时，应提供法定代表人（主要负责人）委托授权书和授权代表本单位证明（开标前六个月任意一个月的个人养老保险缴纳证明）；法定代表人（主要负责人）亲自参加磋商时，应提供法定代表人（主要负责人）身份证明书。</w:t>
      </w:r>
    </w:p>
    <w:p>
      <w:pPr>
        <w:pStyle w:val="null3"/>
      </w:pPr>
      <w:r>
        <w:rPr>
          <w:rFonts w:ascii="仿宋_GB2312" w:hAnsi="仿宋_GB2312" w:cs="仿宋_GB2312" w:eastAsia="仿宋_GB2312"/>
        </w:rPr>
        <w:t>3、企业资质：供应商应具备行政主管部门颁发的城乡规划(国土空间规划)编制乙级(含乙级)及以上资质。</w:t>
      </w:r>
    </w:p>
    <w:p>
      <w:pPr>
        <w:pStyle w:val="null3"/>
      </w:pPr>
      <w:r>
        <w:rPr>
          <w:rFonts w:ascii="仿宋_GB2312" w:hAnsi="仿宋_GB2312" w:cs="仿宋_GB2312" w:eastAsia="仿宋_GB2312"/>
        </w:rPr>
        <w:t>4、项目负责人：拟派项目负责人具备注册城乡规划师资格，在本单位注册（提供开标前六个月任意一个月个人养老保险缴纳证明）。</w:t>
      </w:r>
    </w:p>
    <w:p>
      <w:pPr>
        <w:pStyle w:val="null3"/>
      </w:pPr>
      <w:r>
        <w:rPr>
          <w:rFonts w:ascii="仿宋_GB2312" w:hAnsi="仿宋_GB2312" w:cs="仿宋_GB2312" w:eastAsia="仿宋_GB2312"/>
        </w:rPr>
        <w:t>5、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6、控股管理关系：单位负责人为同一人或者存在直接控股、管理关系的不同供应商，不得参加同一合同包下的政府采购活动；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7、联合体：项目不接受联合体磋商。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临潼区北田街道办事处经办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关于印发〈招标代理服务费管理暂行办法〉的通知》（计价格【2002】1980号）、《国家发展和改革委员会办公厅关于招标代理服务收费有关问题的通知》（发改办价格〔2003〕857号）规定计取，不足陆仟按陆仟元收取。 2、成交供应商在领取中标通知书前，须向采购代理机构一次性支付招标代理服务费。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联系电话：13227022154</w:t>
      </w:r>
    </w:p>
    <w:p>
      <w:pPr>
        <w:pStyle w:val="null3"/>
      </w:pPr>
      <w:r>
        <w:rPr>
          <w:rFonts w:ascii="仿宋_GB2312" w:hAnsi="仿宋_GB2312" w:cs="仿宋_GB2312" w:eastAsia="仿宋_GB2312"/>
        </w:rPr>
        <w:t>地址：陕西省西安市曲江新区雁翔路3269号旺座曲江E座29层2901号</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为科学统筹我办国土空间开发保护，规范村庄建设管理，切实提升国土空间治理能力和水平，现组织开展北田街道国土空间规划和北田村、月掌村、垣头村开发边界外实用性村庄规划编制工作。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北田街道国土空间规划和北田村、月掌村、垣头村开发边界外实用性村庄规划编制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标的名称：北田街道国土空间规划和北田村、月掌村、垣头村开发边界外实用性村庄规划编制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b/>
              </w:rPr>
              <w:t>一、工作背景</w:t>
            </w:r>
          </w:p>
          <w:p>
            <w:pPr>
              <w:pStyle w:val="null3"/>
              <w:ind w:firstLine="480"/>
              <w:jc w:val="both"/>
            </w:pPr>
            <w:r>
              <w:rPr>
                <w:rFonts w:ascii="仿宋_GB2312" w:hAnsi="仿宋_GB2312" w:cs="仿宋_GB2312" w:eastAsia="仿宋_GB2312"/>
                <w:sz w:val="24"/>
              </w:rPr>
              <w:t>根据《西安市镇</w:t>
            </w:r>
            <w:r>
              <w:rPr>
                <w:rFonts w:ascii="仿宋_GB2312" w:hAnsi="仿宋_GB2312" w:cs="仿宋_GB2312" w:eastAsia="仿宋_GB2312"/>
                <w:sz w:val="24"/>
              </w:rPr>
              <w:t>(</w:t>
            </w:r>
            <w:r>
              <w:rPr>
                <w:rFonts w:ascii="仿宋_GB2312" w:hAnsi="仿宋_GB2312" w:cs="仿宋_GB2312" w:eastAsia="仿宋_GB2312"/>
                <w:sz w:val="24"/>
              </w:rPr>
              <w:t>街道</w:t>
            </w:r>
            <w:r>
              <w:rPr>
                <w:rFonts w:ascii="仿宋_GB2312" w:hAnsi="仿宋_GB2312" w:cs="仿宋_GB2312" w:eastAsia="仿宋_GB2312"/>
                <w:sz w:val="24"/>
              </w:rPr>
              <w:t>)</w:t>
            </w:r>
            <w:r>
              <w:rPr>
                <w:rFonts w:ascii="仿宋_GB2312" w:hAnsi="仿宋_GB2312" w:cs="仿宋_GB2312" w:eastAsia="仿宋_GB2312"/>
                <w:sz w:val="24"/>
              </w:rPr>
              <w:t>国土空间规划审查报批暂行规定</w:t>
            </w:r>
            <w:r>
              <w:rPr>
                <w:rFonts w:ascii="仿宋_GB2312" w:hAnsi="仿宋_GB2312" w:cs="仿宋_GB2312" w:eastAsia="仿宋_GB2312"/>
                <w:sz w:val="24"/>
              </w:rPr>
              <w:t>(</w:t>
            </w:r>
            <w:r>
              <w:rPr>
                <w:rFonts w:ascii="仿宋_GB2312" w:hAnsi="仿宋_GB2312" w:cs="仿宋_GB2312" w:eastAsia="仿宋_GB2312"/>
                <w:sz w:val="24"/>
              </w:rPr>
              <w:t>试行</w:t>
            </w:r>
            <w:r>
              <w:rPr>
                <w:rFonts w:ascii="仿宋_GB2312" w:hAnsi="仿宋_GB2312" w:cs="仿宋_GB2312" w:eastAsia="仿宋_GB2312"/>
                <w:sz w:val="24"/>
              </w:rPr>
              <w:t>)</w:t>
            </w:r>
            <w:r>
              <w:rPr>
                <w:rFonts w:ascii="仿宋_GB2312" w:hAnsi="仿宋_GB2312" w:cs="仿宋_GB2312" w:eastAsia="仿宋_GB2312"/>
                <w:sz w:val="24"/>
              </w:rPr>
              <w:t>》、《西安市实用性村庄规划编制指引及成果规范（试行）》等文件要求，立足北田街道资源禀赋、区位条件与发展现状，统筹城乡发展、严守空间管控底线，</w:t>
            </w:r>
            <w:r>
              <w:rPr>
                <w:rFonts w:ascii="仿宋_GB2312" w:hAnsi="仿宋_GB2312" w:cs="仿宋_GB2312" w:eastAsia="仿宋_GB2312"/>
                <w:sz w:val="24"/>
              </w:rPr>
              <w:t>总体部署开展北田街道国土空间规划及村庄规划编制工作。</w:t>
            </w:r>
          </w:p>
          <w:p>
            <w:pPr>
              <w:pStyle w:val="null3"/>
              <w:ind w:firstLine="480"/>
              <w:jc w:val="both"/>
            </w:pPr>
            <w:r>
              <w:rPr>
                <w:rFonts w:ascii="仿宋_GB2312" w:hAnsi="仿宋_GB2312" w:cs="仿宋_GB2312" w:eastAsia="仿宋_GB2312"/>
                <w:sz w:val="24"/>
              </w:rPr>
              <w:t>要求充分发挥</w:t>
            </w:r>
            <w:r>
              <w:rPr>
                <w:rFonts w:ascii="仿宋_GB2312" w:hAnsi="仿宋_GB2312" w:cs="仿宋_GB2312" w:eastAsia="仿宋_GB2312"/>
                <w:sz w:val="24"/>
              </w:rPr>
              <w:t>镇级国土空间规划及村庄</w:t>
            </w:r>
            <w:r>
              <w:rPr>
                <w:rFonts w:ascii="仿宋_GB2312" w:hAnsi="仿宋_GB2312" w:cs="仿宋_GB2312" w:eastAsia="仿宋_GB2312"/>
                <w:sz w:val="24"/>
              </w:rPr>
              <w:t>规划的引导作用，在规划中坚持以实施乡村振兴为总抓手，顺应发展规律和演变趋势，突出地域特色，加强城乡统筹，全面准确落实乡村振兴、乡村建设需求，实现城乡公共服务有差异无差距，促进耕地和生态环境保护、资源节约集约利用、人居环境提升，推动</w:t>
            </w:r>
            <w:r>
              <w:rPr>
                <w:rFonts w:ascii="仿宋_GB2312" w:hAnsi="仿宋_GB2312" w:cs="仿宋_GB2312" w:eastAsia="仿宋_GB2312"/>
                <w:sz w:val="24"/>
              </w:rPr>
              <w:t>镇村</w:t>
            </w:r>
            <w:r>
              <w:rPr>
                <w:rFonts w:ascii="仿宋_GB2312" w:hAnsi="仿宋_GB2312" w:cs="仿宋_GB2312" w:eastAsia="仿宋_GB2312"/>
                <w:sz w:val="24"/>
              </w:rPr>
              <w:t>健康和可持续发展。</w:t>
            </w:r>
          </w:p>
          <w:p>
            <w:pPr>
              <w:pStyle w:val="null3"/>
              <w:ind w:firstLine="480"/>
              <w:jc w:val="both"/>
            </w:pPr>
            <w:r>
              <w:rPr>
                <w:rFonts w:ascii="仿宋_GB2312" w:hAnsi="仿宋_GB2312" w:cs="仿宋_GB2312" w:eastAsia="仿宋_GB2312"/>
                <w:sz w:val="24"/>
                <w:b/>
              </w:rPr>
              <w:t>二、工作范围</w:t>
            </w:r>
          </w:p>
          <w:p>
            <w:pPr>
              <w:pStyle w:val="null3"/>
              <w:ind w:firstLine="480"/>
              <w:jc w:val="both"/>
            </w:pPr>
            <w:r>
              <w:rPr>
                <w:rFonts w:ascii="仿宋_GB2312" w:hAnsi="仿宋_GB2312" w:cs="仿宋_GB2312" w:eastAsia="仿宋_GB2312"/>
                <w:sz w:val="24"/>
              </w:rPr>
              <w:t>本次规划范围分为街道全域国土空间与重点行政村域两个层级，全覆盖、精细化开展规划编制工作。</w:t>
            </w:r>
          </w:p>
          <w:p>
            <w:pPr>
              <w:pStyle w:val="null3"/>
              <w:ind w:firstLine="480"/>
              <w:jc w:val="both"/>
            </w:pPr>
            <w:r>
              <w:rPr>
                <w:rFonts w:ascii="仿宋_GB2312" w:hAnsi="仿宋_GB2312" w:cs="仿宋_GB2312" w:eastAsia="仿宋_GB2312"/>
                <w:sz w:val="24"/>
                <w:b/>
              </w:rPr>
              <w:t>（一）北田街道国土空间规划</w:t>
            </w:r>
          </w:p>
          <w:p>
            <w:pPr>
              <w:pStyle w:val="null3"/>
              <w:ind w:firstLine="480"/>
              <w:jc w:val="both"/>
            </w:pPr>
            <w:r>
              <w:rPr>
                <w:rFonts w:ascii="仿宋_GB2312" w:hAnsi="仿宋_GB2312" w:cs="仿宋_GB2312" w:eastAsia="仿宋_GB2312"/>
                <w:sz w:val="24"/>
              </w:rPr>
              <w:t>街镇级国土空间规划范围为北田街道行政辖区范围内全部国土空间，总面积</w:t>
            </w:r>
            <w:r>
              <w:rPr>
                <w:rFonts w:ascii="仿宋_GB2312" w:hAnsi="仿宋_GB2312" w:cs="仿宋_GB2312" w:eastAsia="仿宋_GB2312"/>
                <w:sz w:val="24"/>
              </w:rPr>
              <w:t>3277.28</w:t>
            </w:r>
            <w:r>
              <w:rPr>
                <w:rFonts w:ascii="仿宋_GB2312" w:hAnsi="仿宋_GB2312" w:cs="仿宋_GB2312" w:eastAsia="仿宋_GB2312"/>
                <w:sz w:val="24"/>
              </w:rPr>
              <w:t>公顷。</w:t>
            </w:r>
          </w:p>
          <w:p>
            <w:pPr>
              <w:pStyle w:val="null3"/>
              <w:ind w:firstLine="480"/>
              <w:jc w:val="both"/>
            </w:pPr>
            <w:r>
              <w:rPr>
                <w:rFonts w:ascii="仿宋_GB2312" w:hAnsi="仿宋_GB2312" w:cs="仿宋_GB2312" w:eastAsia="仿宋_GB2312"/>
                <w:sz w:val="24"/>
              </w:rPr>
              <w:t>结合北田街道实际情况，北田街道国土空间规划成果以数据库成果为主，街道国土空间规划数据库成果由已编制的开发边界内单元详细规划和开发边界外村庄规划成果整合形成。</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二）村庄规划</w:t>
            </w:r>
          </w:p>
          <w:p>
            <w:pPr>
              <w:pStyle w:val="null3"/>
              <w:ind w:firstLine="480"/>
              <w:jc w:val="both"/>
            </w:pPr>
            <w:r>
              <w:rPr>
                <w:rFonts w:ascii="仿宋_GB2312" w:hAnsi="仿宋_GB2312" w:cs="仿宋_GB2312" w:eastAsia="仿宋_GB2312"/>
                <w:sz w:val="24"/>
              </w:rPr>
              <w:t>本次共编制</w:t>
            </w:r>
            <w:r>
              <w:rPr>
                <w:rFonts w:ascii="仿宋_GB2312" w:hAnsi="仿宋_GB2312" w:cs="仿宋_GB2312" w:eastAsia="仿宋_GB2312"/>
                <w:sz w:val="24"/>
              </w:rPr>
              <w:t>3个村庄规划，</w:t>
            </w:r>
            <w:r>
              <w:rPr>
                <w:rFonts w:ascii="仿宋_GB2312" w:hAnsi="仿宋_GB2312" w:cs="仿宋_GB2312" w:eastAsia="仿宋_GB2312"/>
                <w:sz w:val="24"/>
              </w:rPr>
              <w:t>包括</w:t>
            </w:r>
            <w:r>
              <w:rPr>
                <w:rFonts w:ascii="仿宋_GB2312" w:hAnsi="仿宋_GB2312" w:cs="仿宋_GB2312" w:eastAsia="仿宋_GB2312"/>
                <w:sz w:val="24"/>
              </w:rPr>
              <w:t>北田村、月掌村、垣头村</w:t>
            </w:r>
            <w:r>
              <w:rPr>
                <w:rFonts w:ascii="仿宋_GB2312" w:hAnsi="仿宋_GB2312" w:cs="仿宋_GB2312" w:eastAsia="仿宋_GB2312"/>
                <w:sz w:val="24"/>
              </w:rPr>
              <w:t>3个村庄。其中北田村总面积</w:t>
            </w:r>
            <w:r>
              <w:rPr>
                <w:rFonts w:ascii="仿宋_GB2312" w:hAnsi="仿宋_GB2312" w:cs="仿宋_GB2312" w:eastAsia="仿宋_GB2312"/>
                <w:sz w:val="24"/>
              </w:rPr>
              <w:t>4.46</w:t>
            </w:r>
            <w:r>
              <w:rPr>
                <w:rFonts w:ascii="仿宋_GB2312" w:hAnsi="仿宋_GB2312" w:cs="仿宋_GB2312" w:eastAsia="仿宋_GB2312"/>
                <w:sz w:val="24"/>
              </w:rPr>
              <w:t>平方公里；月掌村总面积</w:t>
            </w:r>
            <w:r>
              <w:rPr>
                <w:rFonts w:ascii="仿宋_GB2312" w:hAnsi="仿宋_GB2312" w:cs="仿宋_GB2312" w:eastAsia="仿宋_GB2312"/>
                <w:sz w:val="24"/>
              </w:rPr>
              <w:t>3.21</w:t>
            </w:r>
            <w:r>
              <w:rPr>
                <w:rFonts w:ascii="仿宋_GB2312" w:hAnsi="仿宋_GB2312" w:cs="仿宋_GB2312" w:eastAsia="仿宋_GB2312"/>
                <w:sz w:val="24"/>
              </w:rPr>
              <w:t>平方公里；垣头村总面积</w:t>
            </w:r>
            <w:r>
              <w:rPr>
                <w:rFonts w:ascii="仿宋_GB2312" w:hAnsi="仿宋_GB2312" w:cs="仿宋_GB2312" w:eastAsia="仿宋_GB2312"/>
                <w:sz w:val="24"/>
              </w:rPr>
              <w:t>5.28</w:t>
            </w:r>
            <w:r>
              <w:rPr>
                <w:rFonts w:ascii="仿宋_GB2312" w:hAnsi="仿宋_GB2312" w:cs="仿宋_GB2312" w:eastAsia="仿宋_GB2312"/>
                <w:sz w:val="24"/>
              </w:rPr>
              <w:t>平方公里。</w:t>
            </w:r>
          </w:p>
          <w:p>
            <w:pPr>
              <w:pStyle w:val="null3"/>
              <w:ind w:firstLine="480"/>
              <w:jc w:val="both"/>
            </w:pPr>
            <w:r>
              <w:rPr>
                <w:rFonts w:ascii="仿宋_GB2312" w:hAnsi="仿宋_GB2312" w:cs="仿宋_GB2312" w:eastAsia="仿宋_GB2312"/>
                <w:sz w:val="24"/>
                <w:b/>
              </w:rPr>
              <w:t>三、工作内容</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一）北田街道国土空间规划</w:t>
            </w:r>
          </w:p>
          <w:p>
            <w:pPr>
              <w:pStyle w:val="null3"/>
              <w:ind w:firstLine="480"/>
              <w:jc w:val="both"/>
            </w:pPr>
            <w:r>
              <w:rPr>
                <w:rFonts w:ascii="仿宋_GB2312" w:hAnsi="仿宋_GB2312" w:cs="仿宋_GB2312" w:eastAsia="仿宋_GB2312"/>
                <w:sz w:val="24"/>
              </w:rPr>
              <w:t>北田街道国土空间总体规划是国土空间规划体系的重要基层法定规划，承担承接上位规划、指导村级村庄规划的承上启下核心职能。规划立足街道全域，落实上位刚性管控指标，实施全域空间统筹、要素管控与用途管制，核心工作内容如下：</w:t>
            </w:r>
          </w:p>
          <w:p>
            <w:pPr>
              <w:pStyle w:val="null3"/>
              <w:ind w:firstLine="480"/>
              <w:jc w:val="both"/>
            </w:pPr>
            <w:r>
              <w:rPr>
                <w:rFonts w:ascii="仿宋_GB2312" w:hAnsi="仿宋_GB2312" w:cs="仿宋_GB2312" w:eastAsia="仿宋_GB2312"/>
                <w:sz w:val="24"/>
              </w:rPr>
              <w:t>1、现状研判与问题分析：全面摸排街道资源禀赋、用地现状、产业发展、设施配套、生态环境、人居建设等基础情况，系统梳理发展短板与空间治理突出问题。</w:t>
            </w:r>
          </w:p>
          <w:p>
            <w:pPr>
              <w:pStyle w:val="null3"/>
              <w:ind w:firstLine="480"/>
              <w:jc w:val="both"/>
            </w:pPr>
            <w:r>
              <w:rPr>
                <w:rFonts w:ascii="仿宋_GB2312" w:hAnsi="仿宋_GB2312" w:cs="仿宋_GB2312" w:eastAsia="仿宋_GB2312"/>
                <w:sz w:val="24"/>
              </w:rPr>
              <w:t>2、发展定位与指标体系构建：结合区域发展战略及上位规划要求，明确街道发展总体定位、发展目标，建立适配街道发展的国土空间管控指标体系。</w:t>
            </w:r>
          </w:p>
          <w:p>
            <w:pPr>
              <w:pStyle w:val="null3"/>
              <w:ind w:firstLine="480"/>
              <w:jc w:val="both"/>
            </w:pPr>
            <w:r>
              <w:rPr>
                <w:rFonts w:ascii="仿宋_GB2312" w:hAnsi="仿宋_GB2312" w:cs="仿宋_GB2312" w:eastAsia="仿宋_GB2312"/>
                <w:sz w:val="24"/>
              </w:rPr>
              <w:t>3、刚性控制线落地落实：严格落地三区三线、永久基本农田、生态保护红线、城镇开发边界等上位刚性控制线，细化管控规则与准入要求。</w:t>
            </w:r>
          </w:p>
          <w:p>
            <w:pPr>
              <w:pStyle w:val="null3"/>
              <w:ind w:firstLine="480"/>
              <w:jc w:val="both"/>
            </w:pPr>
            <w:r>
              <w:rPr>
                <w:rFonts w:ascii="仿宋_GB2312" w:hAnsi="仿宋_GB2312" w:cs="仿宋_GB2312" w:eastAsia="仿宋_GB2312"/>
                <w:sz w:val="24"/>
              </w:rPr>
              <w:t>4、全域空间格局优化：统筹生态、农业、城镇三大空间布局，优化全域国土空间结构，完善镇村体系布局，实现空间资源高效集约利用。</w:t>
            </w:r>
          </w:p>
          <w:p>
            <w:pPr>
              <w:pStyle w:val="null3"/>
              <w:ind w:firstLine="480"/>
              <w:jc w:val="both"/>
            </w:pPr>
            <w:r>
              <w:rPr>
                <w:rFonts w:ascii="仿宋_GB2312" w:hAnsi="仿宋_GB2312" w:cs="仿宋_GB2312" w:eastAsia="仿宋_GB2312"/>
                <w:sz w:val="24"/>
              </w:rPr>
              <w:t>5、用途分区与管制规则制定：细化全域土地用途分区，明确各分区管控要求、正面清单与负面清单，规范各类建设行为。</w:t>
            </w:r>
          </w:p>
          <w:p>
            <w:pPr>
              <w:pStyle w:val="null3"/>
              <w:ind w:firstLine="480"/>
              <w:jc w:val="both"/>
            </w:pPr>
            <w:r>
              <w:rPr>
                <w:rFonts w:ascii="仿宋_GB2312" w:hAnsi="仿宋_GB2312" w:cs="仿宋_GB2312" w:eastAsia="仿宋_GB2312"/>
                <w:sz w:val="24"/>
              </w:rPr>
              <w:t>6、资源保护与利用统筹：统筹耕地保护、生态修复、自然资源合理开发利用，落实耕地占补平衡、国土综合整治等工作要求。</w:t>
            </w:r>
          </w:p>
          <w:p>
            <w:pPr>
              <w:pStyle w:val="null3"/>
              <w:ind w:firstLine="480"/>
              <w:jc w:val="both"/>
            </w:pPr>
            <w:r>
              <w:rPr>
                <w:rFonts w:ascii="仿宋_GB2312" w:hAnsi="仿宋_GB2312" w:cs="仿宋_GB2312" w:eastAsia="仿宋_GB2312"/>
                <w:sz w:val="24"/>
              </w:rPr>
              <w:t>7、风貌管控与文化保护：梳理地域自然风貌、乡土特色与人文资源，制定全域景观风貌、历史文脉保护与管控引导要求。</w:t>
            </w:r>
          </w:p>
          <w:p>
            <w:pPr>
              <w:pStyle w:val="null3"/>
              <w:ind w:firstLine="480"/>
              <w:jc w:val="both"/>
            </w:pPr>
            <w:r>
              <w:rPr>
                <w:rFonts w:ascii="仿宋_GB2312" w:hAnsi="仿宋_GB2312" w:cs="仿宋_GB2312" w:eastAsia="仿宋_GB2312"/>
                <w:sz w:val="24"/>
              </w:rPr>
              <w:t>8、基础设施与公共服务统筹：系统优化道路交通、市政基础设施、公共服务设施布局，补齐城乡配套短板，实现城乡服务均等化。</w:t>
            </w:r>
          </w:p>
          <w:p>
            <w:pPr>
              <w:pStyle w:val="null3"/>
              <w:ind w:firstLine="480"/>
              <w:jc w:val="both"/>
            </w:pPr>
            <w:r>
              <w:rPr>
                <w:rFonts w:ascii="仿宋_GB2312" w:hAnsi="仿宋_GB2312" w:cs="仿宋_GB2312" w:eastAsia="仿宋_GB2312"/>
                <w:sz w:val="24"/>
              </w:rPr>
              <w:t>9、实施保障与动态管控：制定规划实施保障机制、近期建设行动计划，明确重点落地项目，建立规划实施监测、评估与动态更新机制。</w:t>
            </w:r>
          </w:p>
          <w:p>
            <w:pPr>
              <w:pStyle w:val="null3"/>
              <w:ind w:firstLine="480"/>
              <w:jc w:val="both"/>
            </w:pPr>
            <w:r>
              <w:rPr>
                <w:rFonts w:ascii="仿宋_GB2312" w:hAnsi="仿宋_GB2312" w:cs="仿宋_GB2312" w:eastAsia="仿宋_GB2312"/>
                <w:sz w:val="24"/>
              </w:rPr>
              <w:t>10.结合村庄实际需求和国、省相关政策要求，编制开发边界内村庄宅基地规划建设，为北田街办后续宅基地审批、建房管控提供长效遵循。</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二）村庄规划</w:t>
            </w:r>
          </w:p>
          <w:p>
            <w:pPr>
              <w:pStyle w:val="null3"/>
              <w:ind w:firstLine="480"/>
              <w:jc w:val="both"/>
            </w:pPr>
            <w:r>
              <w:rPr>
                <w:rFonts w:ascii="仿宋_GB2312" w:hAnsi="仿宋_GB2312" w:cs="仿宋_GB2312" w:eastAsia="仿宋_GB2312"/>
                <w:sz w:val="24"/>
              </w:rPr>
              <w:t>依据《实用性村庄规划编制</w:t>
            </w:r>
            <w:r>
              <w:rPr>
                <w:rFonts w:ascii="仿宋_GB2312" w:hAnsi="仿宋_GB2312" w:cs="仿宋_GB2312" w:eastAsia="仿宋_GB2312"/>
                <w:sz w:val="24"/>
              </w:rPr>
              <w:t>技术规程</w:t>
            </w:r>
            <w:r>
              <w:rPr>
                <w:rFonts w:ascii="仿宋_GB2312" w:hAnsi="仿宋_GB2312" w:cs="仿宋_GB2312" w:eastAsia="仿宋_GB2312"/>
                <w:sz w:val="24"/>
              </w:rPr>
              <w:t>》《西安市实用性村庄规划编制指引及成果规范（试行）》，具体工作内容如下：</w:t>
            </w:r>
          </w:p>
          <w:p>
            <w:pPr>
              <w:pStyle w:val="null3"/>
              <w:ind w:firstLine="480"/>
              <w:jc w:val="both"/>
            </w:pPr>
            <w:r>
              <w:rPr>
                <w:rFonts w:ascii="仿宋_GB2312" w:hAnsi="仿宋_GB2312" w:cs="仿宋_GB2312" w:eastAsia="仿宋_GB2312"/>
                <w:sz w:val="24"/>
              </w:rPr>
              <w:t>1、全域现状调研与综合研判：深入现场开展村庄规划调研及分析工作，总结村庄发展特点、优势、发展需求及核心问题。</w:t>
            </w:r>
          </w:p>
          <w:p>
            <w:pPr>
              <w:pStyle w:val="null3"/>
              <w:ind w:firstLine="480"/>
              <w:jc w:val="both"/>
            </w:pPr>
            <w:r>
              <w:rPr>
                <w:rFonts w:ascii="仿宋_GB2312" w:hAnsi="仿宋_GB2312" w:cs="仿宋_GB2312" w:eastAsia="仿宋_GB2312"/>
                <w:sz w:val="24"/>
              </w:rPr>
              <w:t>2、明确村庄发展目标与建设规模：确定村庄发展定位，科学预测人口与建设用地规模，统筹村庄长远发展与各项建设工作。</w:t>
            </w:r>
          </w:p>
          <w:p>
            <w:pPr>
              <w:pStyle w:val="null3"/>
              <w:ind w:firstLine="480"/>
              <w:jc w:val="both"/>
            </w:pPr>
            <w:r>
              <w:rPr>
                <w:rFonts w:ascii="仿宋_GB2312" w:hAnsi="仿宋_GB2312" w:cs="仿宋_GB2312" w:eastAsia="仿宋_GB2312"/>
                <w:sz w:val="24"/>
              </w:rPr>
              <w:t>3、优化村域国土空间总体布局：合理划分村域生态、农业、建设三大空间。</w:t>
            </w:r>
          </w:p>
          <w:p>
            <w:pPr>
              <w:pStyle w:val="null3"/>
              <w:ind w:firstLine="480"/>
              <w:jc w:val="both"/>
            </w:pPr>
            <w:r>
              <w:rPr>
                <w:rFonts w:ascii="仿宋_GB2312" w:hAnsi="仿宋_GB2312" w:cs="仿宋_GB2312" w:eastAsia="仿宋_GB2312"/>
                <w:sz w:val="24"/>
              </w:rPr>
              <w:t>4、生态保护与国土综合修复：落实上位规划国土综合整治、生态修复相关目标任务、整治区域及建设内容。</w:t>
            </w:r>
          </w:p>
          <w:p>
            <w:pPr>
              <w:pStyle w:val="null3"/>
              <w:ind w:firstLine="480"/>
              <w:jc w:val="both"/>
            </w:pPr>
            <w:r>
              <w:rPr>
                <w:rFonts w:ascii="仿宋_GB2312" w:hAnsi="仿宋_GB2312" w:cs="仿宋_GB2312" w:eastAsia="仿宋_GB2312"/>
                <w:sz w:val="24"/>
              </w:rPr>
              <w:t>5、耕地和永久基本农田保护：精准落位上位规划永久基本农田保护红线及永久基本农田储备区划定成果，制定对应的空间管制规则，严守耕地保护底线。</w:t>
            </w:r>
          </w:p>
          <w:p>
            <w:pPr>
              <w:pStyle w:val="null3"/>
              <w:ind w:firstLine="480"/>
              <w:jc w:val="both"/>
            </w:pPr>
            <w:r>
              <w:rPr>
                <w:rFonts w:ascii="仿宋_GB2312" w:hAnsi="仿宋_GB2312" w:cs="仿宋_GB2312" w:eastAsia="仿宋_GB2312"/>
                <w:sz w:val="24"/>
              </w:rPr>
              <w:t>6、历史文化传承与保护：梳理村庄历史沿革、建筑特色、民俗文化、非物质文化遗产等历史文化资源，打造兼具地域特色与城郊融合特质的乡村风貌。</w:t>
            </w:r>
          </w:p>
          <w:p>
            <w:pPr>
              <w:pStyle w:val="null3"/>
              <w:ind w:firstLine="480"/>
              <w:jc w:val="both"/>
            </w:pPr>
            <w:r>
              <w:rPr>
                <w:rFonts w:ascii="仿宋_GB2312" w:hAnsi="仿宋_GB2312" w:cs="仿宋_GB2312" w:eastAsia="仿宋_GB2312"/>
                <w:sz w:val="24"/>
              </w:rPr>
              <w:t>7、特色产业发展统筹布局：明确村庄产业发展方向与总体思路，制定产业发展策略，科学布局产业用地，统筹村域一二三产业融合发展。</w:t>
            </w:r>
          </w:p>
          <w:p>
            <w:pPr>
              <w:pStyle w:val="null3"/>
              <w:ind w:firstLine="480"/>
              <w:jc w:val="both"/>
            </w:pPr>
            <w:r>
              <w:rPr>
                <w:rFonts w:ascii="仿宋_GB2312" w:hAnsi="仿宋_GB2312" w:cs="仿宋_GB2312" w:eastAsia="仿宋_GB2312"/>
                <w:sz w:val="24"/>
              </w:rPr>
              <w:t>8、建设空间布局：严格落实“一户一宅”政策，明确宅基地管控及村庄整体风貌管控要求。统筹布局村级公共服务、道路交通、市政基础设施，按需配套文旅服务、停车、田间道路等设施。</w:t>
            </w:r>
          </w:p>
          <w:p>
            <w:pPr>
              <w:pStyle w:val="null3"/>
              <w:ind w:firstLine="480"/>
              <w:jc w:val="both"/>
            </w:pPr>
            <w:r>
              <w:rPr>
                <w:rFonts w:ascii="仿宋_GB2312" w:hAnsi="仿宋_GB2312" w:cs="仿宋_GB2312" w:eastAsia="仿宋_GB2312"/>
                <w:sz w:val="24"/>
              </w:rPr>
              <w:t>9、村庄安全和防灾减灾：围绕村庄消防、防洪排涝、地质灾害、地震防护、农业防灾、公共卫生防疫等领域，制定安全韧性村庄建设标准与规划管控要求。</w:t>
            </w:r>
          </w:p>
          <w:p>
            <w:pPr>
              <w:pStyle w:val="null3"/>
              <w:ind w:firstLine="480"/>
              <w:jc w:val="both"/>
            </w:pPr>
            <w:r>
              <w:rPr>
                <w:rFonts w:ascii="仿宋_GB2312" w:hAnsi="仿宋_GB2312" w:cs="仿宋_GB2312" w:eastAsia="仿宋_GB2312"/>
                <w:sz w:val="24"/>
              </w:rPr>
              <w:t>10、规划近期实施项目：结合村域发展实际、财政承载力及村民迫切需求，梳理生态修复、土地整治、人居环境提升、村民建房、产业发展、设施配套、文化保护等领域近期重点项目。</w:t>
            </w:r>
          </w:p>
          <w:p>
            <w:pPr>
              <w:pStyle w:val="null3"/>
              <w:ind w:firstLine="472"/>
            </w:pPr>
            <w:r>
              <w:rPr>
                <w:rFonts w:ascii="仿宋_GB2312" w:hAnsi="仿宋_GB2312" w:cs="仿宋_GB2312" w:eastAsia="仿宋_GB2312"/>
                <w:sz w:val="24"/>
                <w:b/>
              </w:rPr>
              <w:t>四</w:t>
            </w:r>
            <w:r>
              <w:rPr>
                <w:rFonts w:ascii="仿宋_GB2312" w:hAnsi="仿宋_GB2312" w:cs="仿宋_GB2312" w:eastAsia="仿宋_GB2312"/>
                <w:sz w:val="24"/>
                <w:b/>
              </w:rPr>
              <w:t>、成果要求</w:t>
            </w:r>
          </w:p>
          <w:p>
            <w:pPr>
              <w:pStyle w:val="null3"/>
              <w:ind w:firstLine="470"/>
            </w:pPr>
            <w:r>
              <w:rPr>
                <w:rFonts w:ascii="仿宋_GB2312" w:hAnsi="仿宋_GB2312" w:cs="仿宋_GB2312" w:eastAsia="仿宋_GB2312"/>
                <w:sz w:val="24"/>
              </w:rPr>
              <w:t>按陕西省自然资源厅和西安市自然资源和规划局相关文件要求，成果以数据库成果为主，</w:t>
            </w:r>
            <w:r>
              <w:rPr>
                <w:rFonts w:ascii="仿宋_GB2312" w:hAnsi="仿宋_GB2312" w:cs="仿宋_GB2312" w:eastAsia="仿宋_GB2312"/>
                <w:sz w:val="24"/>
                <w:b/>
              </w:rPr>
              <w:t>街道国土空间规划数据库成果由已编制的开发边界内单元详细规划和开发边界外村庄规划成果整合形成。规划成果包括法定性文件和研究性文件，其中法定性文件包括规划文本、规划图件、规划表格、数据库和附件材料，研究性文件包括规划说明及必要的专题研究报告。实用性村庄规划成果分为报批版、公示版和村民手册三类。</w:t>
            </w:r>
          </w:p>
          <w:p>
            <w:pPr>
              <w:pStyle w:val="null3"/>
              <w:ind w:firstLine="470"/>
            </w:pPr>
            <w:r>
              <w:rPr>
                <w:rFonts w:ascii="仿宋_GB2312" w:hAnsi="仿宋_GB2312" w:cs="仿宋_GB2312" w:eastAsia="仿宋_GB2312"/>
                <w:sz w:val="24"/>
              </w:rPr>
              <w:t>纸质版成果</w:t>
            </w:r>
            <w:r>
              <w:rPr>
                <w:rFonts w:ascii="仿宋_GB2312" w:hAnsi="仿宋_GB2312" w:cs="仿宋_GB2312" w:eastAsia="仿宋_GB2312"/>
                <w:sz w:val="24"/>
              </w:rPr>
              <w:t>:均为A4或A3，份数为4份。</w:t>
            </w:r>
          </w:p>
          <w:p>
            <w:pPr>
              <w:pStyle w:val="null3"/>
              <w:ind w:firstLine="470"/>
            </w:pPr>
            <w:r>
              <w:rPr>
                <w:rFonts w:ascii="仿宋_GB2312" w:hAnsi="仿宋_GB2312" w:cs="仿宋_GB2312" w:eastAsia="仿宋_GB2312"/>
                <w:sz w:val="24"/>
              </w:rPr>
              <w:t>电子版成果</w:t>
            </w:r>
            <w:r>
              <w:rPr>
                <w:rFonts w:ascii="仿宋_GB2312" w:hAnsi="仿宋_GB2312" w:cs="仿宋_GB2312" w:eastAsia="仿宋_GB2312"/>
                <w:sz w:val="24"/>
              </w:rPr>
              <w:t>:文本、附件为 DOC/PDF等格式，图集为JPG格式。</w:t>
            </w:r>
          </w:p>
          <w:p>
            <w:pPr>
              <w:pStyle w:val="null3"/>
              <w:ind w:firstLine="480"/>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本项目编制</w:t>
            </w:r>
            <w:r>
              <w:rPr>
                <w:rFonts w:ascii="仿宋_GB2312" w:hAnsi="仿宋_GB2312" w:cs="仿宋_GB2312" w:eastAsia="仿宋_GB2312"/>
                <w:sz w:val="24"/>
              </w:rPr>
              <w:t>服务期</w:t>
            </w:r>
            <w:r>
              <w:rPr>
                <w:rFonts w:ascii="仿宋_GB2312" w:hAnsi="仿宋_GB2312" w:cs="仿宋_GB2312" w:eastAsia="仿宋_GB2312"/>
                <w:sz w:val="24"/>
              </w:rPr>
              <w:t>为</w:t>
            </w:r>
            <w:r>
              <w:rPr>
                <w:rFonts w:ascii="仿宋_GB2312" w:hAnsi="仿宋_GB2312" w:cs="仿宋_GB2312" w:eastAsia="仿宋_GB2312"/>
                <w:sz w:val="24"/>
              </w:rPr>
              <w:t>合同签订后一年半内</w:t>
            </w:r>
            <w:r>
              <w:rPr>
                <w:rFonts w:ascii="仿宋_GB2312" w:hAnsi="仿宋_GB2312" w:cs="仿宋_GB2312" w:eastAsia="仿宋_GB2312"/>
                <w:sz w:val="24"/>
              </w:rPr>
              <w:t>。</w:t>
            </w:r>
            <w:r>
              <w:rPr>
                <w:rFonts w:ascii="仿宋_GB2312" w:hAnsi="仿宋_GB2312" w:cs="仿宋_GB2312" w:eastAsia="仿宋_GB2312"/>
                <w:sz w:val="24"/>
              </w:rPr>
              <w:t>（具体以合同约定为准）</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15</w:t>
            </w:r>
            <w:r>
              <w:rPr>
                <w:rFonts w:ascii="仿宋_GB2312" w:hAnsi="仿宋_GB2312" w:cs="仿宋_GB2312" w:eastAsia="仿宋_GB2312"/>
                <w:sz w:val="24"/>
              </w:rPr>
              <w:t>个工作日以内</w:t>
            </w:r>
            <w:r>
              <w:rPr>
                <w:rFonts w:ascii="仿宋_GB2312" w:hAnsi="仿宋_GB2312" w:cs="仿宋_GB2312" w:eastAsia="仿宋_GB2312"/>
                <w:sz w:val="24"/>
              </w:rPr>
              <w:t>，支付合同总金额的</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完成初步成果后</w:t>
            </w:r>
            <w:r>
              <w:rPr>
                <w:rFonts w:ascii="仿宋_GB2312" w:hAnsi="仿宋_GB2312" w:cs="仿宋_GB2312" w:eastAsia="仿宋_GB2312"/>
                <w:sz w:val="24"/>
              </w:rPr>
              <w:t>15</w:t>
            </w:r>
            <w:r>
              <w:rPr>
                <w:rFonts w:ascii="仿宋_GB2312" w:hAnsi="仿宋_GB2312" w:cs="仿宋_GB2312" w:eastAsia="仿宋_GB2312"/>
                <w:sz w:val="24"/>
              </w:rPr>
              <w:t>个工作日以内</w:t>
            </w:r>
            <w:r>
              <w:rPr>
                <w:rFonts w:ascii="仿宋_GB2312" w:hAnsi="仿宋_GB2312" w:cs="仿宋_GB2312" w:eastAsia="仿宋_GB2312"/>
                <w:sz w:val="24"/>
              </w:rPr>
              <w:t>，支付合同总金额的</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完成专家评审并提交最终成果后</w:t>
            </w:r>
            <w:r>
              <w:rPr>
                <w:rFonts w:ascii="仿宋_GB2312" w:hAnsi="仿宋_GB2312" w:cs="仿宋_GB2312" w:eastAsia="仿宋_GB2312"/>
                <w:sz w:val="24"/>
              </w:rPr>
              <w:t>15</w:t>
            </w:r>
            <w:r>
              <w:rPr>
                <w:rFonts w:ascii="仿宋_GB2312" w:hAnsi="仿宋_GB2312" w:cs="仿宋_GB2312" w:eastAsia="仿宋_GB2312"/>
                <w:sz w:val="24"/>
              </w:rPr>
              <w:t>个工作日以内</w:t>
            </w:r>
            <w:r>
              <w:rPr>
                <w:rFonts w:ascii="仿宋_GB2312" w:hAnsi="仿宋_GB2312" w:cs="仿宋_GB2312" w:eastAsia="仿宋_GB2312"/>
                <w:sz w:val="24"/>
              </w:rPr>
              <w:t>，支付合同总金额的</w:t>
            </w:r>
            <w:r>
              <w:rPr>
                <w:rFonts w:ascii="仿宋_GB2312" w:hAnsi="仿宋_GB2312" w:cs="仿宋_GB2312" w:eastAsia="仿宋_GB2312"/>
                <w:sz w:val="24"/>
              </w:rPr>
              <w:t>30%。</w:t>
            </w:r>
          </w:p>
          <w:p>
            <w:pPr>
              <w:pStyle w:val="null3"/>
              <w:ind w:firstLine="480"/>
              <w:jc w:val="both"/>
            </w:pPr>
            <w:r>
              <w:rPr>
                <w:rFonts w:ascii="仿宋_GB2312" w:hAnsi="仿宋_GB2312" w:cs="仿宋_GB2312" w:eastAsia="仿宋_GB2312"/>
                <w:sz w:val="24"/>
              </w:rPr>
              <w:t>注：供应商应提供与结算款额对应的合法有效增值税普通发票，采购人收到发票后向成交供应商支付该款额。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供应商所填报的报价不得超过采购最高限价（700,000.00元），否则按废标处理。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本项目编制服务务期为合同签订后一年半内。（具体以合同约定为准）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符合国家标准规范 （1）服务质量必须与合同要求一致，未按合同或采购文件要求提供服务或服务质量不能满足采购人要求，采购单位有权终止合同，甚至对供应商违约行为进行追究；（2）验收依据：①磋商文件、响应文件、澄清表（函）； ②本合同及附件文本；③国家相应的标准、规范。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进度款，完成初步成果后，达到付款条件起15个工作日内，支付合同总金额的40.0%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进度款，完成专家评审并提交最终成果后，达到付款条件起15个工作日内，支付合同总金额的30.0%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 3、社会保障资金缴纳证明：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证明文件，证明其依法不需要缴纳社会保障资金） 4、税收缴纳证明：提交响应文件截止时间前六个月内至少一个月的纳税证明或完税证明（增值税、企业所得税至少提供一种），纳税证明或完税证明上应有代收机构或税务机关的公章或业务专用章。（依法免税的供应商，应提供相应证明文件，证明其依法免税） 5、提供具有履行合同所必需的设备和专业技术能力的承诺。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和授权代表本单位证明（开标前六个月任意一个月的个人养老保险缴纳证明）；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供应商应具备行政主管部门颁发的城乡规划(国土空间规划)编制乙级(含乙级)及以上资质。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拟派项目负责人具备注册城乡规划师资格，在本单位注册（提供开标前六个月任意一个月个人养老保险缴纳证明）。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商务要求偏离表 资格证明文件 采购需求偏离表 中小企业声明函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 商务要求偏离表 资格证明文件 采购需求偏离表 中小企业声明函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应符合磋商文件规定的其他实质性要求的</w:t>
            </w:r>
          </w:p>
        </w:tc>
        <w:tc>
          <w:tcPr>
            <w:tcW w:type="dxa" w:w="1661"/>
          </w:tcPr>
          <w:p>
            <w:pPr>
              <w:pStyle w:val="null3"/>
            </w:pPr>
            <w:r>
              <w:rPr>
                <w:rFonts w:ascii="仿宋_GB2312" w:hAnsi="仿宋_GB2312" w:cs="仿宋_GB2312" w:eastAsia="仿宋_GB2312"/>
              </w:rPr>
              <w:t>商务要求偏离表 采购需求偏离表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提供的总体实施内容，包括但不限于：（1）对规划编制背景的理解；（2）对项目的政策要求和技术规范的理解；（3）片区发展特征和价值认知：对片区发展现状、特征和价值的认知；（4）规划思路及方案内容：项目的技术思路、规划目标等规划内容科学合理： 以上(1)-(4)项内容齐全且无缺陷的得16分，每有一项内容缺项的扣4分;每存在一项缺陷的扣0.5分，扣完为止。无此项描述的不得分。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针对本项目提供的质量保障措施内容，包括但不限于：(1)质量管理方案(2)质量管理机构及职责(3)质量保证措施(4)质量保障承诺; 以上(1)-(4)项内容齐全且无缺陷的得 12分，每有一项内容缺项的扣3分;每存在一项缺陷的扣 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 (1)进度计划(2)工作部署(3)各阶段实施流程；以上(1)-(3)项内容齐全且无缺陷的得6分，每有一项内容缺项的扣2分;每存在一项缺陷的扣0.5分，扣完为止。无此项描述的不得分。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针对本项目提供的项目重点难点分析内容，包括但不限于：(1)工作的重点、难点的认识(2)对关键环节的分析(3)采取的针对性措施等；以上(1)-(3)项内容齐全且无缺陷的得 6分，每有一项内容缺项的扣2分;每存在一项缺陷的扣0.5分，扣完为止。无此项描述的不得分。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拟任项目负责人</w:t>
            </w:r>
          </w:p>
        </w:tc>
        <w:tc>
          <w:tcPr>
            <w:tcW w:type="dxa" w:w="2492"/>
          </w:tcPr>
          <w:p>
            <w:pPr>
              <w:pStyle w:val="null3"/>
            </w:pPr>
            <w:r>
              <w:rPr>
                <w:rFonts w:ascii="仿宋_GB2312" w:hAnsi="仿宋_GB2312" w:cs="仿宋_GB2312" w:eastAsia="仿宋_GB2312"/>
              </w:rPr>
              <w:t>1、拟派项目负责人具有相关专业（包含但不限于国土空间规划、城乡规划、土地管理等）高级职称的计5分，中级职称得3分，初级职称得1分，不满足不得分。 2、项目负责人2022年1月1日至投标截止时间前，主持过乡镇级及以上国土空间总体规划、相关专项规、详细规划等相关工作，业绩有一项得2.5分，最高不超过5分； 注：工作证明材料不限于中标（成交）通知书、业绩合同、成果文件等，业绩证明材料须体现项目负责人姓名。证明资料须为复印件加盖供应商公章。（拟任项目负责人不在参与项目组其他成员得分计算）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配备具有城乡规划、测绘、土地管理、风景园林、建筑、市政等相关专业高级职称证书的每提供一个得2分，中级职称证书的每提供一个得1分，其他不得分。（专业相同的不累计计分，本项满分12分） （项目组其他成员不在参与拟任项目负责人得分计算）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项目团队稳定及能力承诺</w:t>
            </w:r>
          </w:p>
        </w:tc>
        <w:tc>
          <w:tcPr>
            <w:tcW w:type="dxa" w:w="2492"/>
          </w:tcPr>
          <w:p>
            <w:pPr>
              <w:pStyle w:val="null3"/>
            </w:pPr>
            <w:r>
              <w:rPr>
                <w:rFonts w:ascii="仿宋_GB2312" w:hAnsi="仿宋_GB2312" w:cs="仿宋_GB2312" w:eastAsia="仿宋_GB2312"/>
              </w:rPr>
              <w:t>（1）承诺成交后，如遭遇非不可抗力原因，不得更换响应文件中项目团队人员，得3分，未提供不得分。 （2）承诺如遭遇不可抗力确需更换人员时，更换人员的资历不低于原人员，且按程序报采购人书面同意后方可更换，得3分，未提供不得分。本项满分共6分。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服务保障承诺</w:t>
            </w:r>
          </w:p>
        </w:tc>
        <w:tc>
          <w:tcPr>
            <w:tcW w:type="dxa" w:w="2492"/>
          </w:tcPr>
          <w:p>
            <w:pPr>
              <w:pStyle w:val="null3"/>
            </w:pPr>
            <w:r>
              <w:rPr>
                <w:rFonts w:ascii="仿宋_GB2312" w:hAnsi="仿宋_GB2312" w:cs="仿宋_GB2312" w:eastAsia="仿宋_GB2312"/>
              </w:rPr>
              <w:t>（1）承诺在规划成果提交后提供不少于1年的免费后续技术服务，含规划会审配合、成果解释、方案答疑等，得3分； （2）承诺在服务期内接到采购人技术咨询后2小时内响应、24小时内派技术人员到场或线上提供解决方案，得3分。 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（1）承诺对项目涉及的涉密数据（如地形图、三调数据、规划成果等）承担保密责任，严格遵守保密法律法规，得3分； （2）承诺项目结束后及时移交并清除相关涉密数据资料，得3分。未提供不得分。本项满分共6分。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供应商2022年1月以来类似项目业绩；每提供一个得2分，满分10分。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满足磋商文件要求且最终报价价格最低的报价为评审基准价,其价格分为满分,其他供应商的价格分统一按照下列公式计算:报价得分=（评审基准价／最终报价）×10。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