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32AF0">
      <w:pPr>
        <w:pageBreakBefore w:val="0"/>
        <w:overflowPunct/>
        <w:topLinePunct w:val="0"/>
        <w:bidi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（最终以甲乙双方实际协商签订协议为准）</w:t>
      </w:r>
    </w:p>
    <w:p w14:paraId="52A32F92">
      <w:pPr>
        <w:rPr>
          <w:rFonts w:hint="eastAsia"/>
        </w:rPr>
      </w:pPr>
    </w:p>
    <w:p w14:paraId="4A087D10">
      <w:pPr>
        <w:rPr>
          <w:rFonts w:hint="eastAsia"/>
        </w:rPr>
      </w:pPr>
    </w:p>
    <w:p w14:paraId="0E6AFCF7">
      <w:pPr>
        <w:rPr>
          <w:rFonts w:hint="eastAsia"/>
        </w:rPr>
      </w:pPr>
    </w:p>
    <w:p w14:paraId="5BE24757">
      <w:pPr>
        <w:rPr>
          <w:rFonts w:hint="eastAsia"/>
        </w:rPr>
      </w:pPr>
    </w:p>
    <w:p w14:paraId="320C0191">
      <w:pPr>
        <w:rPr>
          <w:rFonts w:hint="eastAsia"/>
        </w:rPr>
      </w:pPr>
    </w:p>
    <w:p w14:paraId="442BB3C5">
      <w:pPr>
        <w:rPr>
          <w:rFonts w:hint="eastAsia"/>
        </w:rPr>
      </w:pPr>
    </w:p>
    <w:p w14:paraId="0B397130">
      <w:pPr>
        <w:rPr>
          <w:rFonts w:hint="eastAsia"/>
        </w:rPr>
      </w:pPr>
    </w:p>
    <w:p w14:paraId="2558F873">
      <w:pPr>
        <w:pageBreakBefore w:val="0"/>
        <w:overflowPunct/>
        <w:topLinePunct w:val="0"/>
        <w:bidi w:val="0"/>
        <w:snapToGrid w:val="0"/>
        <w:spacing w:line="360" w:lineRule="auto"/>
        <w:rPr>
          <w:rFonts w:hint="eastAsia"/>
          <w:sz w:val="32"/>
          <w:szCs w:val="32"/>
        </w:rPr>
      </w:pPr>
    </w:p>
    <w:p w14:paraId="1AA9F8D5">
      <w:pPr>
        <w:pStyle w:val="10"/>
        <w:jc w:val="center"/>
        <w:rPr>
          <w:rFonts w:hint="eastAsia" w:ascii="仿宋" w:hAnsi="仿宋" w:eastAsia="仿宋" w:cs="仿宋"/>
          <w:szCs w:val="24"/>
          <w:highlight w:val="none"/>
        </w:rPr>
      </w:pPr>
      <w:r>
        <w:rPr>
          <w:rFonts w:hint="default" w:ascii="仿宋_GB2312" w:hAnsi="宋体" w:eastAsia="仿宋_GB2312" w:cs="仿宋_GB2312"/>
          <w:b/>
          <w:bCs w:val="0"/>
          <w:kern w:val="2"/>
          <w:sz w:val="40"/>
          <w:szCs w:val="40"/>
        </w:rPr>
        <w:t>北田街道国土空间规划和北田村、月掌村、垣头村开发边界外实用性村庄规划编制项目</w:t>
      </w:r>
    </w:p>
    <w:p w14:paraId="4380FD59">
      <w:pPr>
        <w:pStyle w:val="10"/>
        <w:ind w:firstLine="0"/>
        <w:rPr>
          <w:rFonts w:hint="eastAsia" w:ascii="仿宋" w:hAnsi="仿宋" w:eastAsia="仿宋" w:cs="仿宋"/>
          <w:szCs w:val="24"/>
          <w:highlight w:val="none"/>
        </w:rPr>
      </w:pPr>
    </w:p>
    <w:p w14:paraId="29C7EE1D">
      <w:pPr>
        <w:pStyle w:val="10"/>
        <w:ind w:firstLine="0"/>
        <w:rPr>
          <w:rFonts w:hint="eastAsia" w:ascii="仿宋" w:hAnsi="仿宋" w:eastAsia="仿宋" w:cs="仿宋"/>
          <w:szCs w:val="24"/>
          <w:highlight w:val="none"/>
        </w:rPr>
      </w:pPr>
    </w:p>
    <w:p w14:paraId="64B13903">
      <w:pPr>
        <w:pStyle w:val="10"/>
        <w:ind w:firstLine="0"/>
        <w:rPr>
          <w:rFonts w:hint="eastAsia" w:ascii="仿宋" w:hAnsi="仿宋" w:eastAsia="仿宋" w:cs="仿宋"/>
          <w:szCs w:val="24"/>
          <w:highlight w:val="none"/>
        </w:rPr>
      </w:pPr>
    </w:p>
    <w:p w14:paraId="09B6BC53">
      <w:pPr>
        <w:pStyle w:val="10"/>
        <w:ind w:firstLine="0"/>
        <w:rPr>
          <w:rFonts w:hint="eastAsia" w:ascii="仿宋" w:hAnsi="仿宋" w:eastAsia="仿宋" w:cs="仿宋"/>
          <w:szCs w:val="24"/>
          <w:highlight w:val="none"/>
        </w:rPr>
      </w:pPr>
    </w:p>
    <w:p w14:paraId="4224165E">
      <w:pPr>
        <w:pStyle w:val="10"/>
        <w:ind w:firstLine="0"/>
        <w:rPr>
          <w:rFonts w:hint="eastAsia" w:ascii="仿宋" w:hAnsi="仿宋" w:eastAsia="仿宋" w:cs="仿宋"/>
          <w:szCs w:val="24"/>
          <w:highlight w:val="none"/>
        </w:rPr>
      </w:pPr>
    </w:p>
    <w:p w14:paraId="2289926A">
      <w:pPr>
        <w:pStyle w:val="10"/>
        <w:ind w:firstLine="0"/>
        <w:rPr>
          <w:rFonts w:hint="eastAsia" w:ascii="仿宋" w:hAnsi="仿宋" w:eastAsia="仿宋" w:cs="仿宋"/>
          <w:szCs w:val="24"/>
          <w:highlight w:val="none"/>
        </w:rPr>
      </w:pPr>
    </w:p>
    <w:p w14:paraId="1037C5FA">
      <w:pPr>
        <w:pStyle w:val="10"/>
        <w:ind w:firstLine="0"/>
        <w:rPr>
          <w:rFonts w:hint="eastAsia" w:ascii="仿宋" w:hAnsi="仿宋" w:eastAsia="仿宋" w:cs="仿宋"/>
          <w:szCs w:val="24"/>
          <w:highlight w:val="none"/>
        </w:rPr>
      </w:pPr>
    </w:p>
    <w:p w14:paraId="16F903C4">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8"/>
          <w:szCs w:val="22"/>
          <w:highlight w:val="none"/>
          <w:u w:val="single"/>
          <w:lang w:val="en-US" w:eastAsia="zh-CN"/>
        </w:rPr>
      </w:pPr>
      <w:r>
        <w:rPr>
          <w:rFonts w:hint="eastAsia" w:ascii="仿宋" w:hAnsi="仿宋" w:eastAsia="仿宋" w:cs="仿宋"/>
          <w:b/>
          <w:snapToGrid w:val="0"/>
          <w:color w:val="000000"/>
          <w:sz w:val="28"/>
          <w:szCs w:val="22"/>
          <w:highlight w:val="none"/>
        </w:rPr>
        <w:t>项 目 名 称：</w:t>
      </w:r>
      <w:r>
        <w:rPr>
          <w:rFonts w:hint="eastAsia" w:ascii="仿宋" w:hAnsi="仿宋" w:eastAsia="仿宋" w:cs="仿宋"/>
          <w:b/>
          <w:snapToGrid w:val="0"/>
          <w:color w:val="000000"/>
          <w:sz w:val="28"/>
          <w:szCs w:val="22"/>
          <w:highlight w:val="none"/>
          <w:u w:val="single"/>
        </w:rPr>
        <w:t xml:space="preserve"> </w:t>
      </w:r>
      <w:r>
        <w:rPr>
          <w:rFonts w:hint="eastAsia" w:ascii="仿宋" w:hAnsi="仿宋" w:eastAsia="仿宋" w:cs="仿宋"/>
          <w:b/>
          <w:snapToGrid w:val="0"/>
          <w:color w:val="000000"/>
          <w:sz w:val="28"/>
          <w:szCs w:val="22"/>
          <w:highlight w:val="none"/>
          <w:u w:val="single"/>
          <w:lang w:val="en-US" w:eastAsia="zh-CN"/>
        </w:rPr>
        <w:t xml:space="preserve">                                   </w:t>
      </w:r>
    </w:p>
    <w:p w14:paraId="5788B800">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8"/>
          <w:szCs w:val="22"/>
          <w:highlight w:val="none"/>
          <w:u w:val="single"/>
        </w:rPr>
      </w:pPr>
      <w:r>
        <w:rPr>
          <w:rFonts w:hint="eastAsia" w:ascii="仿宋" w:hAnsi="仿宋" w:eastAsia="仿宋" w:cs="仿宋"/>
          <w:b/>
          <w:snapToGrid w:val="0"/>
          <w:color w:val="000000"/>
          <w:sz w:val="28"/>
          <w:szCs w:val="22"/>
          <w:highlight w:val="none"/>
        </w:rPr>
        <w:t>项 目 地 点：</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p>
    <w:p w14:paraId="3E983AB6">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8"/>
          <w:szCs w:val="22"/>
          <w:highlight w:val="none"/>
          <w:u w:val="single"/>
        </w:rPr>
      </w:pPr>
      <w:r>
        <w:rPr>
          <w:rFonts w:hint="eastAsia" w:ascii="仿宋" w:hAnsi="仿宋" w:eastAsia="仿宋" w:cs="仿宋"/>
          <w:b/>
          <w:snapToGrid w:val="0"/>
          <w:color w:val="000000"/>
          <w:sz w:val="28"/>
          <w:szCs w:val="22"/>
          <w:highlight w:val="none"/>
        </w:rPr>
        <w:t>合 同 编 号：</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p>
    <w:p w14:paraId="67802C7E">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8"/>
          <w:szCs w:val="22"/>
          <w:highlight w:val="none"/>
          <w:u w:val="single"/>
        </w:rPr>
      </w:pPr>
      <w:r>
        <w:rPr>
          <w:rFonts w:hint="eastAsia" w:ascii="仿宋" w:hAnsi="仿宋" w:eastAsia="仿宋" w:cs="仿宋"/>
          <w:b/>
          <w:snapToGrid w:val="0"/>
          <w:color w:val="000000"/>
          <w:sz w:val="28"/>
          <w:szCs w:val="22"/>
          <w:highlight w:val="none"/>
        </w:rPr>
        <w:t>资质证书等级：</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z w:val="28"/>
          <w:szCs w:val="28"/>
          <w:highlight w:val="none"/>
          <w:u w:val="single"/>
          <w:lang w:val="en-US" w:eastAsia="zh-CN"/>
        </w:rPr>
        <w:t xml:space="preserve">                                </w:t>
      </w:r>
    </w:p>
    <w:p w14:paraId="1E397F21">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default" w:ascii="仿宋" w:hAnsi="仿宋" w:eastAsia="仿宋" w:cs="仿宋"/>
          <w:b/>
          <w:snapToGrid w:val="0"/>
          <w:color w:val="000000"/>
          <w:sz w:val="28"/>
          <w:szCs w:val="22"/>
          <w:highlight w:val="none"/>
          <w:u w:val="single"/>
          <w:lang w:val="en-US"/>
        </w:rPr>
      </w:pPr>
      <w:r>
        <w:rPr>
          <w:rFonts w:hint="eastAsia" w:ascii="仿宋" w:hAnsi="仿宋" w:eastAsia="仿宋" w:cs="仿宋"/>
          <w:b/>
          <w:snapToGrid w:val="0"/>
          <w:color w:val="000000"/>
          <w:sz w:val="28"/>
          <w:szCs w:val="22"/>
          <w:highlight w:val="none"/>
        </w:rPr>
        <w:t>甲       方：</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p>
    <w:p w14:paraId="5544B925">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8"/>
          <w:szCs w:val="22"/>
          <w:highlight w:val="none"/>
          <w:u w:val="single"/>
          <w:lang w:val="en-US" w:eastAsia="zh-CN"/>
        </w:rPr>
      </w:pPr>
      <w:r>
        <w:rPr>
          <w:rFonts w:hint="eastAsia" w:ascii="仿宋" w:hAnsi="仿宋" w:eastAsia="仿宋" w:cs="仿宋"/>
          <w:b/>
          <w:snapToGrid w:val="0"/>
          <w:color w:val="000000"/>
          <w:sz w:val="28"/>
          <w:szCs w:val="22"/>
          <w:highlight w:val="none"/>
        </w:rPr>
        <w:t>乙       方：</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z w:val="28"/>
          <w:szCs w:val="28"/>
          <w:highlight w:val="none"/>
          <w:u w:val="single"/>
          <w:lang w:val="en-US" w:eastAsia="zh-CN"/>
        </w:rPr>
        <w:t xml:space="preserve">                                   </w:t>
      </w:r>
    </w:p>
    <w:p w14:paraId="721119F4">
      <w:pPr>
        <w:keepNext w:val="0"/>
        <w:keepLines w:val="0"/>
        <w:pageBreakBefore w:val="0"/>
        <w:widowControl/>
        <w:kinsoku w:val="0"/>
        <w:wordWrap/>
        <w:overflowPunct/>
        <w:topLinePunct w:val="0"/>
        <w:autoSpaceDE/>
        <w:autoSpaceDN/>
        <w:bidi w:val="0"/>
        <w:adjustRightInd w:val="0"/>
        <w:snapToGrid w:val="0"/>
        <w:spacing w:line="360" w:lineRule="auto"/>
        <w:ind w:firstLine="1405" w:firstLineChars="500"/>
        <w:textAlignment w:val="baseline"/>
        <w:rPr>
          <w:rFonts w:hint="eastAsia" w:ascii="仿宋" w:hAnsi="仿宋" w:eastAsia="仿宋" w:cs="仿宋"/>
          <w:b/>
          <w:snapToGrid w:val="0"/>
          <w:color w:val="000000"/>
          <w:sz w:val="22"/>
          <w:szCs w:val="22"/>
          <w:highlight w:val="none"/>
          <w:u w:val="single"/>
        </w:rPr>
      </w:pPr>
      <w:r>
        <w:rPr>
          <w:rFonts w:hint="eastAsia" w:ascii="仿宋" w:hAnsi="仿宋" w:eastAsia="仿宋" w:cs="仿宋"/>
          <w:b/>
          <w:snapToGrid w:val="0"/>
          <w:color w:val="000000"/>
          <w:sz w:val="28"/>
          <w:szCs w:val="22"/>
          <w:highlight w:val="none"/>
        </w:rPr>
        <w:t>签 订 日 期：</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r>
        <w:rPr>
          <w:rFonts w:hint="eastAsia" w:ascii="仿宋" w:hAnsi="仿宋" w:eastAsia="仿宋" w:cs="仿宋"/>
          <w:b/>
          <w:snapToGrid w:val="0"/>
          <w:color w:val="000000"/>
          <w:sz w:val="28"/>
          <w:szCs w:val="22"/>
          <w:highlight w:val="none"/>
          <w:u w:val="single"/>
        </w:rPr>
        <w:t>年</w:t>
      </w:r>
      <w:r>
        <w:rPr>
          <w:rFonts w:hint="eastAsia" w:ascii="仿宋" w:hAnsi="仿宋" w:eastAsia="仿宋" w:cs="仿宋"/>
          <w:b/>
          <w:snapToGrid w:val="0"/>
          <w:color w:val="000000"/>
          <w:sz w:val="28"/>
          <w:szCs w:val="22"/>
          <w:highlight w:val="none"/>
          <w:u w:val="single"/>
          <w:lang w:val="en-US" w:eastAsia="zh-CN"/>
        </w:rPr>
        <w:t xml:space="preserve">     </w:t>
      </w:r>
      <w:r>
        <w:rPr>
          <w:rFonts w:hint="eastAsia" w:ascii="仿宋" w:hAnsi="仿宋" w:eastAsia="仿宋" w:cs="仿宋"/>
          <w:b/>
          <w:snapToGrid w:val="0"/>
          <w:color w:val="000000"/>
          <w:sz w:val="28"/>
          <w:szCs w:val="22"/>
          <w:highlight w:val="none"/>
          <w:u w:val="single"/>
        </w:rPr>
        <w:t>月</w:t>
      </w:r>
      <w:r>
        <w:rPr>
          <w:rFonts w:hint="eastAsia" w:ascii="仿宋" w:hAnsi="仿宋" w:eastAsia="仿宋" w:cs="仿宋"/>
          <w:b/>
          <w:snapToGrid w:val="0"/>
          <w:color w:val="000000"/>
          <w:sz w:val="28"/>
          <w:szCs w:val="22"/>
          <w:highlight w:val="none"/>
          <w:u w:val="single"/>
          <w:lang w:val="en-US" w:eastAsia="zh-CN"/>
        </w:rPr>
        <w:t xml:space="preserve">    </w:t>
      </w:r>
      <w:r>
        <w:rPr>
          <w:rFonts w:hint="eastAsia" w:ascii="仿宋" w:hAnsi="仿宋" w:eastAsia="仿宋" w:cs="仿宋"/>
          <w:b/>
          <w:snapToGrid w:val="0"/>
          <w:color w:val="000000"/>
          <w:sz w:val="28"/>
          <w:szCs w:val="22"/>
          <w:highlight w:val="none"/>
          <w:u w:val="single"/>
        </w:rPr>
        <w:t>日</w:t>
      </w:r>
      <w:r>
        <w:rPr>
          <w:rFonts w:hint="eastAsia" w:ascii="仿宋" w:hAnsi="仿宋" w:eastAsia="仿宋" w:cs="仿宋"/>
          <w:b/>
          <w:snapToGrid w:val="0"/>
          <w:color w:val="000000"/>
          <w:sz w:val="28"/>
          <w:szCs w:val="22"/>
          <w:highlight w:val="none"/>
          <w:u w:val="single"/>
        </w:rPr>
        <w:tab/>
      </w:r>
      <w:r>
        <w:rPr>
          <w:rFonts w:hint="eastAsia" w:ascii="仿宋" w:hAnsi="仿宋" w:eastAsia="仿宋" w:cs="仿宋"/>
          <w:b/>
          <w:snapToGrid w:val="0"/>
          <w:color w:val="000000"/>
          <w:sz w:val="28"/>
          <w:szCs w:val="22"/>
          <w:highlight w:val="none"/>
          <w:u w:val="single"/>
          <w:lang w:val="en-US" w:eastAsia="zh-CN"/>
        </w:rPr>
        <w:t xml:space="preserve">           </w:t>
      </w:r>
    </w:p>
    <w:p w14:paraId="5AE8162D">
      <w:pPr>
        <w:widowControl/>
        <w:kinsoku w:val="0"/>
        <w:adjustRightInd w:val="0"/>
        <w:snapToGrid w:val="0"/>
        <w:textAlignment w:val="baseline"/>
        <w:rPr>
          <w:rFonts w:hint="eastAsia" w:ascii="仿宋" w:hAnsi="仿宋" w:eastAsia="仿宋" w:cs="仿宋"/>
          <w:snapToGrid w:val="0"/>
          <w:color w:val="000000"/>
          <w:szCs w:val="21"/>
          <w:highlight w:val="none"/>
        </w:rPr>
      </w:pPr>
    </w:p>
    <w:p w14:paraId="482297E9">
      <w:pPr>
        <w:widowControl/>
        <w:kinsoku w:val="0"/>
        <w:adjustRightInd w:val="0"/>
        <w:snapToGrid w:val="0"/>
        <w:textAlignment w:val="baseline"/>
        <w:rPr>
          <w:rFonts w:hint="eastAsia" w:ascii="仿宋" w:hAnsi="仿宋" w:eastAsia="仿宋" w:cs="仿宋"/>
          <w:snapToGrid w:val="0"/>
          <w:color w:val="000000"/>
          <w:szCs w:val="21"/>
          <w:highlight w:val="none"/>
        </w:rPr>
      </w:pPr>
    </w:p>
    <w:p w14:paraId="2C6B79CD">
      <w:pPr>
        <w:widowControl/>
        <w:kinsoku w:val="0"/>
        <w:adjustRightInd w:val="0"/>
        <w:snapToGrid w:val="0"/>
        <w:textAlignment w:val="baseline"/>
        <w:rPr>
          <w:rFonts w:hint="eastAsia" w:ascii="仿宋" w:hAnsi="仿宋" w:eastAsia="仿宋" w:cs="仿宋"/>
          <w:snapToGrid w:val="0"/>
          <w:color w:val="000000"/>
          <w:szCs w:val="21"/>
          <w:highlight w:val="none"/>
        </w:rPr>
      </w:pPr>
    </w:p>
    <w:p w14:paraId="61CD4182">
      <w:pPr>
        <w:pStyle w:val="4"/>
        <w:ind w:left="0"/>
        <w:rPr>
          <w:rFonts w:hint="eastAsia" w:ascii="仿宋" w:hAnsi="仿宋" w:eastAsia="仿宋" w:cs="仿宋"/>
          <w:sz w:val="24"/>
          <w:szCs w:val="24"/>
          <w:highlight w:val="none"/>
        </w:rPr>
      </w:pPr>
    </w:p>
    <w:p w14:paraId="572F196F">
      <w:pPr>
        <w:widowControl/>
        <w:kinsoku w:val="0"/>
        <w:adjustRightInd w:val="0"/>
        <w:snapToGrid w:val="0"/>
        <w:textAlignment w:val="baseline"/>
        <w:rPr>
          <w:rFonts w:hint="eastAsia" w:ascii="仿宋" w:hAnsi="仿宋" w:eastAsia="仿宋" w:cs="仿宋"/>
          <w:snapToGrid w:val="0"/>
          <w:color w:val="000000"/>
          <w:sz w:val="24"/>
          <w:szCs w:val="21"/>
          <w:highlight w:val="none"/>
        </w:rPr>
        <w:sectPr>
          <w:headerReference r:id="rId3" w:type="default"/>
          <w:pgSz w:w="11906" w:h="16838"/>
          <w:pgMar w:top="1440" w:right="1247" w:bottom="1440" w:left="1247" w:header="851" w:footer="992" w:gutter="0"/>
          <w:cols w:space="425" w:num="1"/>
          <w:docGrid w:type="lines" w:linePitch="312" w:charSpace="0"/>
        </w:sectPr>
      </w:pPr>
    </w:p>
    <w:p w14:paraId="6A79FD0A">
      <w:pPr>
        <w:widowControl/>
        <w:kinsoku w:val="0"/>
        <w:adjustRightInd w:val="0"/>
        <w:snapToGrid w:val="0"/>
        <w:textAlignment w:val="baseline"/>
        <w:rPr>
          <w:rFonts w:hint="eastAsia" w:ascii="仿宋" w:hAnsi="仿宋" w:eastAsia="仿宋" w:cs="仿宋"/>
          <w:snapToGrid w:val="0"/>
          <w:color w:val="000000"/>
          <w:sz w:val="24"/>
          <w:szCs w:val="21"/>
          <w:highlight w:val="none"/>
        </w:rPr>
      </w:pPr>
    </w:p>
    <w:p w14:paraId="26A2A4C6">
      <w:pPr>
        <w:widowControl/>
        <w:kinsoku w:val="0"/>
        <w:adjustRightInd w:val="0"/>
        <w:snapToGrid w:val="0"/>
        <w:textAlignment w:val="baseline"/>
        <w:rPr>
          <w:rFonts w:hint="eastAsia" w:ascii="仿宋" w:hAnsi="仿宋" w:eastAsia="仿宋" w:cs="仿宋"/>
          <w:snapToGrid w:val="0"/>
          <w:color w:val="000000"/>
          <w:sz w:val="24"/>
          <w:szCs w:val="21"/>
          <w:highlight w:val="none"/>
          <w:u w:val="single"/>
        </w:rPr>
      </w:pPr>
      <w:r>
        <w:rPr>
          <w:rFonts w:hint="eastAsia" w:ascii="仿宋" w:hAnsi="仿宋" w:eastAsia="仿宋" w:cs="仿宋"/>
          <w:snapToGrid w:val="0"/>
          <w:color w:val="000000"/>
          <w:sz w:val="24"/>
          <w:szCs w:val="21"/>
          <w:highlight w:val="none"/>
        </w:rPr>
        <w:t>甲方：</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single"/>
        </w:rPr>
        <w:t xml:space="preserve">   </w:t>
      </w:r>
    </w:p>
    <w:p w14:paraId="5B40A2DC">
      <w:pPr>
        <w:widowControl/>
        <w:kinsoku w:val="0"/>
        <w:adjustRightInd w:val="0"/>
        <w:snapToGrid w:val="0"/>
        <w:textAlignment w:val="baseline"/>
        <w:rPr>
          <w:rFonts w:hint="eastAsia" w:ascii="仿宋" w:hAnsi="仿宋" w:eastAsia="仿宋" w:cs="仿宋"/>
          <w:snapToGrid w:val="0"/>
          <w:color w:val="000000"/>
          <w:sz w:val="24"/>
          <w:szCs w:val="21"/>
          <w:highlight w:val="none"/>
        </w:rPr>
      </w:pPr>
    </w:p>
    <w:p w14:paraId="1AFD71D4">
      <w:pPr>
        <w:widowControl/>
        <w:kinsoku w:val="0"/>
        <w:adjustRightInd w:val="0"/>
        <w:snapToGrid w:val="0"/>
        <w:textAlignment w:val="baseline"/>
        <w:rPr>
          <w:rFonts w:hint="eastAsia" w:ascii="仿宋" w:hAnsi="仿宋" w:eastAsia="仿宋" w:cs="仿宋"/>
          <w:snapToGrid w:val="0"/>
          <w:color w:val="000000"/>
          <w:sz w:val="24"/>
          <w:szCs w:val="21"/>
          <w:highlight w:val="none"/>
          <w:u w:val="single"/>
          <w:lang w:val="en-US" w:eastAsia="zh-CN"/>
        </w:rPr>
      </w:pPr>
      <w:r>
        <w:rPr>
          <w:rFonts w:hint="eastAsia" w:ascii="仿宋" w:hAnsi="仿宋" w:eastAsia="仿宋" w:cs="仿宋"/>
          <w:snapToGrid w:val="0"/>
          <w:color w:val="000000"/>
          <w:sz w:val="24"/>
          <w:szCs w:val="21"/>
          <w:highlight w:val="none"/>
        </w:rPr>
        <w:t>乙方：</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p>
    <w:p w14:paraId="7BBB98EF">
      <w:pPr>
        <w:widowControl/>
        <w:kinsoku w:val="0"/>
        <w:adjustRightInd w:val="0"/>
        <w:snapToGrid w:val="0"/>
        <w:textAlignment w:val="baseline"/>
        <w:rPr>
          <w:rFonts w:hint="eastAsia" w:ascii="仿宋" w:hAnsi="仿宋" w:eastAsia="仿宋" w:cs="仿宋"/>
          <w:snapToGrid w:val="0"/>
          <w:color w:val="000000"/>
          <w:sz w:val="24"/>
          <w:szCs w:val="21"/>
          <w:highlight w:val="none"/>
          <w:u w:val="single"/>
        </w:rPr>
      </w:pPr>
    </w:p>
    <w:p w14:paraId="36FD7A0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甲方合法委托乙方承担</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任务，经双方协商一致，签订本合同。</w:t>
      </w:r>
    </w:p>
    <w:p w14:paraId="55881665">
      <w:pPr>
        <w:widowControl/>
        <w:kinsoku w:val="0"/>
        <w:adjustRightInd w:val="0"/>
        <w:snapToGrid w:val="0"/>
        <w:spacing w:before="240" w:beforeLines="100" w:after="240" w:afterLines="100" w:line="360" w:lineRule="auto"/>
        <w:textAlignment w:val="baseline"/>
        <w:rPr>
          <w:rFonts w:hint="eastAsia" w:ascii="仿宋" w:hAnsi="仿宋" w:eastAsia="仿宋" w:cs="仿宋"/>
          <w:snapToGrid w:val="0"/>
          <w:color w:val="000000"/>
          <w:sz w:val="24"/>
          <w:szCs w:val="24"/>
          <w:highlight w:val="none"/>
        </w:rPr>
      </w:pPr>
      <w:r>
        <w:rPr>
          <w:rFonts w:hint="eastAsia" w:ascii="仿宋" w:hAnsi="仿宋" w:eastAsia="仿宋" w:cs="仿宋"/>
          <w:b/>
          <w:snapToGrid w:val="0"/>
          <w:color w:val="000000"/>
          <w:sz w:val="24"/>
          <w:szCs w:val="24"/>
          <w:highlight w:val="none"/>
        </w:rPr>
        <w:t>第一条 本合同签订依据</w:t>
      </w:r>
      <w:r>
        <w:rPr>
          <w:rFonts w:hint="eastAsia" w:ascii="仿宋" w:hAnsi="仿宋" w:eastAsia="仿宋" w:cs="仿宋"/>
          <w:snapToGrid w:val="0"/>
          <w:color w:val="FF0000"/>
          <w:sz w:val="24"/>
          <w:szCs w:val="24"/>
          <w:highlight w:val="none"/>
        </w:rPr>
        <w:t xml:space="preserve"> </w:t>
      </w:r>
    </w:p>
    <w:p w14:paraId="0BD3092B">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1.1</w:t>
      </w:r>
      <w:r>
        <w:rPr>
          <w:rFonts w:hint="eastAsia" w:ascii="仿宋" w:hAnsi="仿宋" w:eastAsia="仿宋" w:cs="仿宋"/>
          <w:snapToGrid w:val="0"/>
          <w:color w:val="000000"/>
          <w:sz w:val="24"/>
          <w:szCs w:val="21"/>
          <w:highlight w:val="none"/>
        </w:rPr>
        <w:t>《中华人民共和国民法典》、《中华人民共和国城乡规划法》、《</w:t>
      </w:r>
      <w:r>
        <w:rPr>
          <w:rFonts w:hint="eastAsia" w:ascii="仿宋" w:hAnsi="仿宋" w:eastAsia="仿宋" w:cs="仿宋"/>
          <w:snapToGrid w:val="0"/>
          <w:color w:val="000000"/>
          <w:sz w:val="24"/>
          <w:szCs w:val="24"/>
          <w:highlight w:val="none"/>
        </w:rPr>
        <w:t>建设工程勘察设计管理条例</w:t>
      </w:r>
      <w:r>
        <w:rPr>
          <w:rFonts w:hint="eastAsia" w:ascii="仿宋" w:hAnsi="仿宋" w:eastAsia="仿宋" w:cs="仿宋"/>
          <w:snapToGrid w:val="0"/>
          <w:color w:val="000000"/>
          <w:sz w:val="24"/>
          <w:szCs w:val="21"/>
          <w:highlight w:val="none"/>
        </w:rPr>
        <w:t>》。</w:t>
      </w:r>
    </w:p>
    <w:p w14:paraId="62E943F5">
      <w:pPr>
        <w:widowControl/>
        <w:kinsoku w:val="0"/>
        <w:adjustRightInd w:val="0"/>
        <w:snapToGrid w:val="0"/>
        <w:spacing w:line="360" w:lineRule="auto"/>
        <w:ind w:firstLine="482"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1.2</w:t>
      </w:r>
      <w:r>
        <w:rPr>
          <w:rFonts w:hint="eastAsia" w:ascii="仿宋" w:hAnsi="仿宋" w:eastAsia="仿宋" w:cs="仿宋"/>
          <w:b w:val="0"/>
          <w:bCs/>
          <w:snapToGrid w:val="0"/>
          <w:color w:val="000000"/>
          <w:sz w:val="24"/>
          <w:szCs w:val="21"/>
          <w:highlight w:val="none"/>
        </w:rPr>
        <w:t>国家及地方有关规划工程勘察设计管理法规和规章。</w:t>
      </w:r>
    </w:p>
    <w:p w14:paraId="01667B20">
      <w:pPr>
        <w:widowControl/>
        <w:kinsoku w:val="0"/>
        <w:adjustRightInd w:val="0"/>
        <w:snapToGrid w:val="0"/>
        <w:spacing w:line="360" w:lineRule="auto"/>
        <w:ind w:firstLine="482"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1.3</w:t>
      </w:r>
      <w:r>
        <w:rPr>
          <w:rFonts w:hint="eastAsia" w:ascii="仿宋" w:hAnsi="仿宋" w:eastAsia="仿宋" w:cs="仿宋"/>
          <w:b w:val="0"/>
          <w:bCs/>
          <w:snapToGrid w:val="0"/>
          <w:color w:val="000000"/>
          <w:sz w:val="24"/>
          <w:szCs w:val="21"/>
          <w:highlight w:val="none"/>
        </w:rPr>
        <w:t>有关国土空间总体规划的相关要求。</w:t>
      </w:r>
    </w:p>
    <w:p w14:paraId="46CB8B75">
      <w:pPr>
        <w:widowControl/>
        <w:kinsoku w:val="0"/>
        <w:adjustRightInd w:val="0"/>
        <w:snapToGrid w:val="0"/>
        <w:spacing w:line="360" w:lineRule="auto"/>
        <w:ind w:firstLine="482"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1.4</w:t>
      </w:r>
      <w:r>
        <w:rPr>
          <w:rFonts w:hint="eastAsia" w:ascii="仿宋" w:hAnsi="仿宋" w:eastAsia="仿宋" w:cs="仿宋"/>
          <w:b w:val="0"/>
          <w:bCs/>
          <w:snapToGrid w:val="0"/>
          <w:color w:val="000000"/>
          <w:sz w:val="24"/>
          <w:szCs w:val="21"/>
          <w:highlight w:val="none"/>
        </w:rPr>
        <w:t>本项目的批准文件。</w:t>
      </w:r>
    </w:p>
    <w:p w14:paraId="4016AE4E">
      <w:pPr>
        <w:widowControl/>
        <w:kinsoku w:val="0"/>
        <w:adjustRightInd w:val="0"/>
        <w:snapToGrid w:val="0"/>
        <w:spacing w:line="360" w:lineRule="auto"/>
        <w:ind w:firstLine="482"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1.5</w:t>
      </w:r>
      <w:r>
        <w:rPr>
          <w:rFonts w:hint="eastAsia" w:ascii="仿宋" w:hAnsi="仿宋" w:eastAsia="仿宋" w:cs="仿宋"/>
          <w:b w:val="0"/>
          <w:bCs/>
          <w:snapToGrid w:val="0"/>
          <w:color w:val="000000"/>
          <w:sz w:val="24"/>
          <w:szCs w:val="21"/>
          <w:highlight w:val="none"/>
          <w:lang w:val="en-US" w:eastAsia="zh-CN"/>
        </w:rPr>
        <w:t>磋商</w:t>
      </w:r>
      <w:r>
        <w:rPr>
          <w:rFonts w:hint="eastAsia" w:ascii="仿宋" w:hAnsi="仿宋" w:eastAsia="仿宋" w:cs="仿宋"/>
          <w:b w:val="0"/>
          <w:bCs/>
          <w:snapToGrid w:val="0"/>
          <w:color w:val="000000"/>
          <w:sz w:val="24"/>
          <w:szCs w:val="21"/>
          <w:highlight w:val="none"/>
        </w:rPr>
        <w:t>文件、</w:t>
      </w:r>
      <w:r>
        <w:rPr>
          <w:rFonts w:hint="eastAsia" w:ascii="仿宋" w:hAnsi="仿宋" w:eastAsia="仿宋" w:cs="仿宋"/>
          <w:b w:val="0"/>
          <w:bCs/>
          <w:snapToGrid w:val="0"/>
          <w:color w:val="000000"/>
          <w:sz w:val="24"/>
          <w:szCs w:val="21"/>
          <w:highlight w:val="none"/>
          <w:lang w:val="en-US" w:eastAsia="zh-CN"/>
        </w:rPr>
        <w:t>响应</w:t>
      </w:r>
      <w:r>
        <w:rPr>
          <w:rFonts w:hint="eastAsia" w:ascii="仿宋" w:hAnsi="仿宋" w:eastAsia="仿宋" w:cs="仿宋"/>
          <w:b w:val="0"/>
          <w:bCs/>
          <w:snapToGrid w:val="0"/>
          <w:color w:val="000000"/>
          <w:sz w:val="24"/>
          <w:szCs w:val="21"/>
          <w:highlight w:val="none"/>
        </w:rPr>
        <w:t>文件。</w:t>
      </w:r>
    </w:p>
    <w:p w14:paraId="232980C9">
      <w:pPr>
        <w:widowControl/>
        <w:kinsoku w:val="0"/>
        <w:adjustRightInd w:val="0"/>
        <w:snapToGrid w:val="0"/>
        <w:spacing w:line="360" w:lineRule="auto"/>
        <w:ind w:firstLine="482"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1.6</w:t>
      </w:r>
      <w:r>
        <w:rPr>
          <w:rFonts w:hint="eastAsia" w:ascii="仿宋" w:hAnsi="仿宋" w:eastAsia="仿宋" w:cs="仿宋"/>
          <w:b w:val="0"/>
          <w:bCs/>
          <w:snapToGrid w:val="0"/>
          <w:color w:val="000000"/>
          <w:sz w:val="24"/>
          <w:szCs w:val="21"/>
          <w:highlight w:val="none"/>
        </w:rPr>
        <w:t>甲方委托书。</w:t>
      </w:r>
    </w:p>
    <w:p w14:paraId="6A1DD2E6">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第二条 本合同规划设计项目</w:t>
      </w:r>
    </w:p>
    <w:p w14:paraId="62A74EC3">
      <w:pPr>
        <w:widowControl/>
        <w:kinsoku w:val="0"/>
        <w:adjustRightInd w:val="0"/>
        <w:snapToGrid w:val="0"/>
        <w:spacing w:line="360" w:lineRule="auto"/>
        <w:ind w:left="2234" w:leftChars="228" w:hanging="1687" w:hangingChars="7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2.1</w:t>
      </w:r>
      <w:r>
        <w:rPr>
          <w:rFonts w:hint="eastAsia" w:ascii="仿宋" w:hAnsi="仿宋" w:eastAsia="仿宋" w:cs="仿宋"/>
          <w:snapToGrid w:val="0"/>
          <w:color w:val="000000"/>
          <w:sz w:val="24"/>
          <w:szCs w:val="21"/>
          <w:highlight w:val="none"/>
        </w:rPr>
        <w:t>项目名称：</w:t>
      </w:r>
      <w:r>
        <w:rPr>
          <w:rFonts w:hint="eastAsia" w:ascii="仿宋" w:hAnsi="仿宋" w:eastAsia="仿宋" w:cs="仿宋"/>
          <w:snapToGrid w:val="0"/>
          <w:color w:val="000000"/>
          <w:sz w:val="24"/>
          <w:szCs w:val="21"/>
          <w:highlight w:val="none"/>
          <w:u w:val="none"/>
          <w:lang w:val="en-US" w:eastAsia="zh-CN"/>
        </w:rPr>
        <w:t xml:space="preserve"> </w:t>
      </w:r>
      <w:r>
        <w:rPr>
          <w:rFonts w:hint="eastAsia" w:ascii="仿宋" w:hAnsi="仿宋" w:eastAsia="仿宋" w:cs="仿宋"/>
          <w:snapToGrid w:val="0"/>
          <w:color w:val="000000"/>
          <w:sz w:val="24"/>
          <w:szCs w:val="21"/>
          <w:highlight w:val="none"/>
          <w:u w:val="none"/>
        </w:rPr>
        <w:t xml:space="preserve"> </w:t>
      </w:r>
    </w:p>
    <w:p w14:paraId="45E89386">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lang w:val="en-US" w:eastAsia="zh-CN"/>
        </w:rPr>
      </w:pPr>
      <w:r>
        <w:rPr>
          <w:rFonts w:hint="eastAsia" w:ascii="仿宋" w:hAnsi="仿宋" w:eastAsia="仿宋" w:cs="仿宋"/>
          <w:b/>
          <w:snapToGrid w:val="0"/>
          <w:color w:val="000000"/>
          <w:sz w:val="24"/>
          <w:szCs w:val="21"/>
          <w:highlight w:val="none"/>
        </w:rPr>
        <w:t>2.2</w:t>
      </w:r>
      <w:r>
        <w:rPr>
          <w:rFonts w:hint="eastAsia" w:ascii="仿宋" w:hAnsi="仿宋" w:eastAsia="仿宋" w:cs="仿宋"/>
          <w:snapToGrid w:val="0"/>
          <w:color w:val="000000"/>
          <w:sz w:val="24"/>
          <w:szCs w:val="21"/>
          <w:highlight w:val="none"/>
        </w:rPr>
        <w:t xml:space="preserve">项目地点： </w:t>
      </w:r>
      <w:r>
        <w:rPr>
          <w:rFonts w:hint="eastAsia" w:ascii="仿宋" w:hAnsi="仿宋" w:eastAsia="仿宋" w:cs="仿宋"/>
          <w:snapToGrid w:val="0"/>
          <w:color w:val="000000"/>
          <w:sz w:val="24"/>
          <w:szCs w:val="21"/>
          <w:highlight w:val="none"/>
          <w:lang w:val="en-US" w:eastAsia="zh-CN"/>
        </w:rPr>
        <w:t xml:space="preserve"> </w:t>
      </w:r>
    </w:p>
    <w:p w14:paraId="4BFDC9F5">
      <w:pPr>
        <w:widowControl/>
        <w:kinsoku w:val="0"/>
        <w:adjustRightInd w:val="0"/>
        <w:snapToGrid w:val="0"/>
        <w:spacing w:line="360" w:lineRule="auto"/>
        <w:ind w:firstLine="482" w:firstLineChars="200"/>
        <w:textAlignment w:val="baseline"/>
        <w:rPr>
          <w:rFonts w:hint="eastAsia" w:ascii="仿宋" w:hAnsi="仿宋" w:eastAsia="仿宋" w:cs="仿宋"/>
          <w:b w:val="0"/>
          <w:bCs/>
          <w:snapToGrid w:val="0"/>
          <w:color w:val="000000"/>
          <w:sz w:val="24"/>
          <w:szCs w:val="21"/>
          <w:highlight w:val="none"/>
          <w:lang w:val="en-US" w:eastAsia="zh-CN"/>
        </w:rPr>
      </w:pPr>
      <w:r>
        <w:rPr>
          <w:rFonts w:hint="eastAsia" w:ascii="仿宋" w:hAnsi="仿宋" w:eastAsia="仿宋" w:cs="仿宋"/>
          <w:b/>
          <w:snapToGrid w:val="0"/>
          <w:color w:val="000000"/>
          <w:sz w:val="24"/>
          <w:szCs w:val="21"/>
          <w:highlight w:val="none"/>
        </w:rPr>
        <w:t>2.3</w:t>
      </w:r>
      <w:r>
        <w:rPr>
          <w:rFonts w:hint="eastAsia" w:ascii="仿宋" w:hAnsi="仿宋" w:eastAsia="仿宋" w:cs="仿宋"/>
          <w:snapToGrid w:val="0"/>
          <w:color w:val="000000"/>
          <w:sz w:val="24"/>
          <w:szCs w:val="21"/>
          <w:highlight w:val="none"/>
        </w:rPr>
        <w:t>规划设计范围：</w:t>
      </w:r>
      <w:r>
        <w:rPr>
          <w:rFonts w:hint="eastAsia" w:ascii="仿宋" w:hAnsi="仿宋" w:eastAsia="仿宋" w:cs="仿宋"/>
          <w:b w:val="0"/>
          <w:bCs/>
          <w:snapToGrid w:val="0"/>
          <w:color w:val="000000"/>
          <w:sz w:val="24"/>
          <w:szCs w:val="21"/>
          <w:highlight w:val="none"/>
          <w:lang w:val="en-US" w:eastAsia="zh-CN"/>
        </w:rPr>
        <w:t xml:space="preserve"> </w:t>
      </w:r>
    </w:p>
    <w:p w14:paraId="117C4C10">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2.4</w:t>
      </w:r>
      <w:r>
        <w:rPr>
          <w:rFonts w:hint="eastAsia" w:ascii="仿宋" w:hAnsi="仿宋" w:eastAsia="仿宋" w:cs="仿宋"/>
          <w:snapToGrid w:val="0"/>
          <w:color w:val="000000"/>
          <w:sz w:val="24"/>
          <w:szCs w:val="21"/>
          <w:highlight w:val="none"/>
        </w:rPr>
        <w:t>规划设计内容及深度：</w:t>
      </w:r>
    </w:p>
    <w:p w14:paraId="1CCFD0A5">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snapToGrid w:val="0"/>
          <w:color w:val="000000"/>
          <w:sz w:val="24"/>
          <w:szCs w:val="21"/>
          <w:highlight w:val="none"/>
        </w:rPr>
        <w:t xml:space="preserve"> </w:t>
      </w:r>
      <w:r>
        <w:rPr>
          <w:rFonts w:hint="eastAsia" w:ascii="仿宋" w:hAnsi="仿宋" w:eastAsia="仿宋" w:cs="仿宋"/>
          <w:b/>
          <w:snapToGrid w:val="0"/>
          <w:color w:val="000000"/>
          <w:sz w:val="24"/>
          <w:szCs w:val="24"/>
          <w:highlight w:val="none"/>
        </w:rPr>
        <w:t>第三条 甲方应向乙方提交的有关资料及文件</w:t>
      </w:r>
    </w:p>
    <w:tbl>
      <w:tblPr>
        <w:tblStyle w:val="6"/>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3482"/>
        <w:gridCol w:w="4701"/>
      </w:tblGrid>
      <w:tr w14:paraId="3D75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95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08AD2033">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序号</w:t>
            </w:r>
          </w:p>
        </w:tc>
        <w:tc>
          <w:tcPr>
            <w:tcW w:w="34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24CC6DFD">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资料及文件名称</w:t>
            </w:r>
          </w:p>
        </w:tc>
        <w:tc>
          <w:tcPr>
            <w:tcW w:w="470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2278D758">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备注</w:t>
            </w:r>
          </w:p>
        </w:tc>
      </w:tr>
      <w:tr w14:paraId="7016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95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0BDF0FF4">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1</w:t>
            </w:r>
          </w:p>
        </w:tc>
        <w:tc>
          <w:tcPr>
            <w:tcW w:w="3482"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top"/>
          </w:tcPr>
          <w:p w14:paraId="3DFCEDFC">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4701"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top"/>
          </w:tcPr>
          <w:p w14:paraId="06348234">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r>
      <w:tr w14:paraId="3E61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95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1901D937">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2</w:t>
            </w:r>
          </w:p>
        </w:tc>
        <w:tc>
          <w:tcPr>
            <w:tcW w:w="3482"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top"/>
          </w:tcPr>
          <w:p w14:paraId="68927973">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4701"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3B062EE">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r>
      <w:tr w14:paraId="607D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95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56EDDE14">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3</w:t>
            </w:r>
          </w:p>
        </w:tc>
        <w:tc>
          <w:tcPr>
            <w:tcW w:w="3482"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top"/>
          </w:tcPr>
          <w:p w14:paraId="1B178B40">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4701"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FC3D0D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r>
    </w:tbl>
    <w:p w14:paraId="3D53478B">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注：（1）以上是本项目开展必不可少的资料及文件，甲方应于合同签订后5个工作日内或调研工作期间提供，以保证设计工作顺利进行；（2）如乙方需要其它资料和文件，甲方应积极配合提供。</w:t>
      </w:r>
    </w:p>
    <w:p w14:paraId="4E86E6D8">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第四条 乙方应向甲方交付的成果文件</w:t>
      </w:r>
    </w:p>
    <w:p w14:paraId="499701E4">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lang w:eastAsia="en-US"/>
        </w:rPr>
      </w:pPr>
      <w:r>
        <w:rPr>
          <w:rFonts w:hint="eastAsia" w:ascii="仿宋" w:hAnsi="仿宋" w:eastAsia="仿宋" w:cs="仿宋"/>
          <w:b/>
          <w:snapToGrid w:val="0"/>
          <w:color w:val="000000"/>
          <w:sz w:val="24"/>
          <w:szCs w:val="21"/>
          <w:highlight w:val="none"/>
          <w:lang w:eastAsia="en-US"/>
        </w:rPr>
        <w:t>4.1</w:t>
      </w:r>
      <w:r>
        <w:rPr>
          <w:rFonts w:hint="eastAsia" w:ascii="仿宋" w:hAnsi="仿宋" w:eastAsia="仿宋" w:cs="仿宋"/>
          <w:snapToGrid w:val="0"/>
          <w:color w:val="000000"/>
          <w:sz w:val="24"/>
          <w:szCs w:val="21"/>
          <w:highlight w:val="none"/>
          <w:lang w:eastAsia="en-US"/>
        </w:rPr>
        <w:t>成果文件</w:t>
      </w:r>
    </w:p>
    <w:tbl>
      <w:tblPr>
        <w:tblStyle w:val="6"/>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4206"/>
        <w:gridCol w:w="1269"/>
        <w:gridCol w:w="1268"/>
      </w:tblGrid>
      <w:tr w14:paraId="388D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op w:val="single" w:color="auto" w:sz="4" w:space="0"/>
              <w:left w:val="single" w:color="auto" w:sz="4" w:space="0"/>
              <w:right w:val="single" w:color="auto" w:sz="4" w:space="0"/>
            </w:tcBorders>
            <w:noWrap w:val="0"/>
            <w:tcMar>
              <w:top w:w="0" w:type="dxa"/>
              <w:left w:w="57" w:type="dxa"/>
              <w:bottom w:w="0" w:type="dxa"/>
              <w:right w:w="57" w:type="dxa"/>
            </w:tcMar>
            <w:vAlign w:val="center"/>
          </w:tcPr>
          <w:p w14:paraId="7D1FAC3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最终成果阶段</w:t>
            </w:r>
          </w:p>
        </w:tc>
        <w:tc>
          <w:tcPr>
            <w:tcW w:w="4206" w:type="dxa"/>
            <w:tcBorders>
              <w:top w:val="single" w:color="auto" w:sz="4" w:space="0"/>
              <w:left w:val="single" w:color="auto" w:sz="4" w:space="0"/>
              <w:bottom w:val="single" w:color="auto" w:sz="4" w:space="0"/>
              <w:right w:val="single" w:color="auto" w:sz="4" w:space="0"/>
            </w:tcBorders>
            <w:noWrap w:val="0"/>
            <w:vAlign w:val="center"/>
          </w:tcPr>
          <w:p w14:paraId="7794CD48">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成果文件名称</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BAAC0F5">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规格</w:t>
            </w:r>
          </w:p>
        </w:tc>
        <w:tc>
          <w:tcPr>
            <w:tcW w:w="126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14:paraId="1740E12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份数</w:t>
            </w:r>
          </w:p>
        </w:tc>
      </w:tr>
      <w:tr w14:paraId="4C20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716" w:type="dxa"/>
            <w:tcBorders>
              <w:left w:val="single" w:color="auto" w:sz="4" w:space="0"/>
              <w:right w:val="single" w:color="auto" w:sz="4" w:space="0"/>
            </w:tcBorders>
            <w:shd w:val="clear" w:color="auto" w:fill="auto"/>
            <w:noWrap w:val="0"/>
            <w:tcMar>
              <w:top w:w="0" w:type="dxa"/>
              <w:left w:w="57" w:type="dxa"/>
              <w:bottom w:w="0" w:type="dxa"/>
              <w:right w:w="57" w:type="dxa"/>
            </w:tcMar>
            <w:vAlign w:val="center"/>
          </w:tcPr>
          <w:p w14:paraId="09E7546F">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阶段成果</w:t>
            </w:r>
          </w:p>
        </w:tc>
        <w:tc>
          <w:tcPr>
            <w:tcW w:w="42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5FE08A">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2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19FF51">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2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12F6A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r>
      <w:tr w14:paraId="08E6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716" w:type="dxa"/>
            <w:tcBorders>
              <w:left w:val="single" w:color="auto" w:sz="4" w:space="0"/>
              <w:right w:val="single" w:color="auto" w:sz="4" w:space="0"/>
            </w:tcBorders>
            <w:shd w:val="clear" w:color="auto" w:fill="auto"/>
            <w:noWrap w:val="0"/>
            <w:tcMar>
              <w:top w:w="0" w:type="dxa"/>
              <w:left w:w="57" w:type="dxa"/>
              <w:bottom w:w="0" w:type="dxa"/>
              <w:right w:w="57" w:type="dxa"/>
            </w:tcMar>
            <w:vAlign w:val="center"/>
          </w:tcPr>
          <w:p w14:paraId="7F58D87B">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最终成果</w:t>
            </w:r>
          </w:p>
        </w:tc>
        <w:tc>
          <w:tcPr>
            <w:tcW w:w="42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1786FB">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2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871496">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2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33BE22">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r>
      <w:tr w14:paraId="74C4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716" w:type="dxa"/>
            <w:tcBorders>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center"/>
          </w:tcPr>
          <w:p w14:paraId="7AD9FCAD">
            <w:pPr>
              <w:pStyle w:val="3"/>
              <w:ind w:firstLine="0" w:firstLineChars="0"/>
              <w:jc w:val="center"/>
              <w:rPr>
                <w:rFonts w:hint="eastAsia" w:ascii="仿宋" w:hAnsi="仿宋" w:eastAsia="仿宋" w:cs="仿宋"/>
                <w:kern w:val="2"/>
                <w:sz w:val="21"/>
                <w:szCs w:val="24"/>
                <w:highlight w:val="yellow"/>
                <w:lang w:val="en-US" w:eastAsia="en-US" w:bidi="ar-SA"/>
              </w:rPr>
            </w:pPr>
          </w:p>
        </w:tc>
        <w:tc>
          <w:tcPr>
            <w:tcW w:w="42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70D5BE">
            <w:pPr>
              <w:pStyle w:val="3"/>
              <w:ind w:firstLine="0" w:firstLineChars="0"/>
              <w:jc w:val="center"/>
              <w:rPr>
                <w:rFonts w:hint="eastAsia" w:ascii="仿宋" w:hAnsi="仿宋" w:eastAsia="仿宋" w:cs="仿宋"/>
                <w:kern w:val="2"/>
                <w:sz w:val="21"/>
                <w:szCs w:val="24"/>
                <w:highlight w:val="yellow"/>
                <w:lang w:val="en-US" w:eastAsia="en-US" w:bidi="ar-SA"/>
              </w:rPr>
            </w:pPr>
          </w:p>
        </w:tc>
        <w:tc>
          <w:tcPr>
            <w:tcW w:w="12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F46BC8">
            <w:pPr>
              <w:pStyle w:val="3"/>
              <w:ind w:firstLine="0" w:firstLineChars="0"/>
              <w:jc w:val="center"/>
              <w:rPr>
                <w:rFonts w:hint="eastAsia" w:ascii="仿宋" w:hAnsi="仿宋" w:eastAsia="仿宋" w:cs="仿宋"/>
                <w:kern w:val="2"/>
                <w:sz w:val="21"/>
                <w:szCs w:val="24"/>
                <w:highlight w:val="yellow"/>
                <w:lang w:val="en-US" w:eastAsia="en-US" w:bidi="ar-SA"/>
              </w:rPr>
            </w:pPr>
          </w:p>
        </w:tc>
        <w:tc>
          <w:tcPr>
            <w:tcW w:w="12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D0B4CB">
            <w:pPr>
              <w:pStyle w:val="3"/>
              <w:ind w:firstLine="0" w:firstLineChars="0"/>
              <w:jc w:val="center"/>
              <w:rPr>
                <w:rFonts w:hint="eastAsia" w:ascii="仿宋" w:hAnsi="仿宋" w:eastAsia="仿宋" w:cs="仿宋"/>
                <w:kern w:val="2"/>
                <w:sz w:val="21"/>
                <w:szCs w:val="24"/>
                <w:highlight w:val="yellow"/>
                <w:lang w:val="en-US" w:eastAsia="en-US" w:bidi="ar-SA"/>
              </w:rPr>
            </w:pPr>
          </w:p>
        </w:tc>
      </w:tr>
    </w:tbl>
    <w:p w14:paraId="15D62708">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如因甲方要求，乙方实际交付的成果份数超出上述约定，乙方可另行收取工本费。</w:t>
      </w:r>
    </w:p>
    <w:p w14:paraId="43909350">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FF0000"/>
          <w:sz w:val="24"/>
          <w:szCs w:val="21"/>
          <w:highlight w:val="none"/>
        </w:rPr>
      </w:pPr>
      <w:r>
        <w:rPr>
          <w:rFonts w:hint="eastAsia" w:ascii="仿宋" w:hAnsi="仿宋" w:eastAsia="仿宋" w:cs="仿宋"/>
          <w:snapToGrid w:val="0"/>
          <w:color w:val="000000"/>
          <w:sz w:val="24"/>
          <w:szCs w:val="21"/>
          <w:highlight w:val="none"/>
        </w:rPr>
        <w:t>在甲方支付全部设计费后7个工作日内，乙方提供包含最终成果的电子文件1份。乙方提交各阶段或最终成果纸质文件时，甲方应及时签收确认，以甲方项目代表的签字或甲方盖章或签收单为签收凭证；提交最终成果的电子版文件时，以甲方项目代表签字或双方邮件等往来记录作为签收凭证。</w:t>
      </w:r>
    </w:p>
    <w:p w14:paraId="27ED8A84">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第五条 规划设计工作周期</w:t>
      </w:r>
    </w:p>
    <w:p w14:paraId="1EA739DE">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lang w:eastAsia="en-US"/>
        </w:rPr>
      </w:pPr>
      <w:r>
        <w:rPr>
          <w:rFonts w:hint="eastAsia" w:ascii="仿宋" w:hAnsi="仿宋" w:eastAsia="仿宋" w:cs="仿宋"/>
          <w:b/>
          <w:snapToGrid w:val="0"/>
          <w:color w:val="000000"/>
          <w:sz w:val="24"/>
          <w:szCs w:val="21"/>
          <w:highlight w:val="none"/>
          <w:lang w:eastAsia="en-US"/>
        </w:rPr>
        <w:t>5.1</w:t>
      </w:r>
      <w:r>
        <w:rPr>
          <w:rFonts w:hint="eastAsia" w:ascii="仿宋" w:hAnsi="仿宋" w:eastAsia="仿宋" w:cs="仿宋"/>
          <w:snapToGrid w:val="0"/>
          <w:color w:val="000000"/>
          <w:sz w:val="24"/>
          <w:szCs w:val="21"/>
          <w:highlight w:val="none"/>
          <w:lang w:eastAsia="en-US"/>
        </w:rPr>
        <w:t>阶段工作</w:t>
      </w:r>
    </w:p>
    <w:tbl>
      <w:tblPr>
        <w:tblStyle w:val="6"/>
        <w:tblW w:w="7818"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4624"/>
        <w:gridCol w:w="1362"/>
      </w:tblGrid>
      <w:tr w14:paraId="672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832" w:type="dxa"/>
            <w:noWrap w:val="0"/>
            <w:vAlign w:val="top"/>
          </w:tcPr>
          <w:p w14:paraId="45A9BCF5">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工作阶段</w:t>
            </w:r>
          </w:p>
        </w:tc>
        <w:tc>
          <w:tcPr>
            <w:tcW w:w="4624" w:type="dxa"/>
            <w:noWrap w:val="0"/>
            <w:vAlign w:val="top"/>
          </w:tcPr>
          <w:p w14:paraId="077C82E8">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工作内容</w:t>
            </w:r>
          </w:p>
        </w:tc>
        <w:tc>
          <w:tcPr>
            <w:tcW w:w="1362" w:type="dxa"/>
            <w:noWrap w:val="0"/>
            <w:vAlign w:val="top"/>
          </w:tcPr>
          <w:p w14:paraId="6E3B0671">
            <w:pPr>
              <w:kinsoku w:val="0"/>
              <w:adjustRightInd w:val="0"/>
              <w:snapToGrid w:val="0"/>
              <w:ind w:firstLine="420" w:firstLineChars="200"/>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周期</w:t>
            </w:r>
          </w:p>
        </w:tc>
      </w:tr>
      <w:tr w14:paraId="4FB8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832" w:type="dxa"/>
            <w:noWrap w:val="0"/>
            <w:vAlign w:val="top"/>
          </w:tcPr>
          <w:p w14:paraId="5589C481">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第一阶段</w:t>
            </w:r>
          </w:p>
        </w:tc>
        <w:tc>
          <w:tcPr>
            <w:tcW w:w="4624" w:type="dxa"/>
            <w:shd w:val="clear" w:color="auto" w:fill="auto"/>
            <w:noWrap w:val="0"/>
            <w:vAlign w:val="top"/>
          </w:tcPr>
          <w:p w14:paraId="186711B0">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c>
          <w:tcPr>
            <w:tcW w:w="1362" w:type="dxa"/>
            <w:shd w:val="clear" w:color="auto" w:fill="auto"/>
            <w:noWrap w:val="0"/>
            <w:vAlign w:val="top"/>
          </w:tcPr>
          <w:p w14:paraId="42E78F9D">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r>
      <w:tr w14:paraId="48C0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832" w:type="dxa"/>
            <w:noWrap w:val="0"/>
            <w:vAlign w:val="top"/>
          </w:tcPr>
          <w:p w14:paraId="10AAB558">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第二阶段</w:t>
            </w:r>
          </w:p>
        </w:tc>
        <w:tc>
          <w:tcPr>
            <w:tcW w:w="4624" w:type="dxa"/>
            <w:shd w:val="clear" w:color="auto" w:fill="auto"/>
            <w:noWrap w:val="0"/>
            <w:vAlign w:val="top"/>
          </w:tcPr>
          <w:p w14:paraId="6455FAFB">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362" w:type="dxa"/>
            <w:shd w:val="clear" w:color="auto" w:fill="auto"/>
            <w:noWrap w:val="0"/>
            <w:vAlign w:val="top"/>
          </w:tcPr>
          <w:p w14:paraId="3EC755F7">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r>
      <w:tr w14:paraId="0281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832" w:type="dxa"/>
            <w:noWrap w:val="0"/>
            <w:vAlign w:val="top"/>
          </w:tcPr>
          <w:p w14:paraId="253A0DEB">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第三阶段</w:t>
            </w:r>
          </w:p>
        </w:tc>
        <w:tc>
          <w:tcPr>
            <w:tcW w:w="4624" w:type="dxa"/>
            <w:shd w:val="clear" w:color="auto" w:fill="auto"/>
            <w:noWrap w:val="0"/>
            <w:vAlign w:val="top"/>
          </w:tcPr>
          <w:p w14:paraId="2A8A2A6C">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1362" w:type="dxa"/>
            <w:shd w:val="clear" w:color="auto" w:fill="auto"/>
            <w:noWrap w:val="0"/>
            <w:vAlign w:val="top"/>
          </w:tcPr>
          <w:p w14:paraId="612A103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r>
    </w:tbl>
    <w:p w14:paraId="66C531B2">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lang w:eastAsia="en-US"/>
        </w:rPr>
      </w:pPr>
      <w:r>
        <w:rPr>
          <w:rFonts w:hint="eastAsia" w:ascii="仿宋" w:hAnsi="仿宋" w:eastAsia="仿宋" w:cs="仿宋"/>
          <w:snapToGrid w:val="0"/>
          <w:color w:val="000000"/>
          <w:sz w:val="24"/>
          <w:szCs w:val="21"/>
          <w:highlight w:val="none"/>
          <w:lang w:eastAsia="en-US"/>
        </w:rPr>
        <w:t>说明：</w:t>
      </w:r>
    </w:p>
    <w:p w14:paraId="6E6D1CC3">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1）合同生效后、甲方支付乙方第一笔款和第三条约定的资料及文件后，乙方正式启动第一阶段工作；乙方收到上一阶段的设计费和甲方对上阶段成果的书面确认后启动后续相应阶段工作，如因甲方延迟提供资料、支付设计费用、确认已提交成果等延误导致的乙方推迟阶段成果的交付，乙方不承担任何责任；</w:t>
      </w:r>
    </w:p>
    <w:p w14:paraId="050E45C5">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（2）以上时间为各阶段设计工作完成的时间，不含乙方征求甲方或专家意见、进行评审、报批等环节所需时间；</w:t>
      </w:r>
    </w:p>
    <w:p w14:paraId="7DD7138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（3）以上时间不包含因专项设计单位或其他第三方配合工作产生的延误。</w:t>
      </w:r>
    </w:p>
    <w:p w14:paraId="2004AF98">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第六条 项目费用及支付办法</w:t>
      </w:r>
    </w:p>
    <w:p w14:paraId="5F45BB9F">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6.1</w:t>
      </w:r>
      <w:r>
        <w:rPr>
          <w:rFonts w:hint="eastAsia" w:ascii="仿宋" w:hAnsi="仿宋" w:eastAsia="仿宋" w:cs="仿宋"/>
          <w:snapToGrid w:val="0"/>
          <w:color w:val="000000"/>
          <w:sz w:val="24"/>
          <w:szCs w:val="21"/>
          <w:highlight w:val="none"/>
        </w:rPr>
        <w:t>项目总收费</w:t>
      </w:r>
    </w:p>
    <w:p w14:paraId="3BE7EB44">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该项目总收费人民币</w:t>
      </w:r>
      <w:r>
        <w:rPr>
          <w:rFonts w:hint="eastAsia" w:ascii="仿宋" w:hAnsi="仿宋" w:eastAsia="仿宋" w:cs="仿宋"/>
          <w:b/>
          <w:bCs/>
          <w:snapToGrid w:val="0"/>
          <w:color w:val="000000"/>
          <w:sz w:val="24"/>
          <w:szCs w:val="21"/>
          <w:highlight w:val="none"/>
          <w:u w:val="single"/>
        </w:rPr>
        <w:t xml:space="preserve"> </w:t>
      </w:r>
      <w:r>
        <w:rPr>
          <w:rFonts w:hint="eastAsia" w:ascii="仿宋" w:hAnsi="仿宋" w:eastAsia="仿宋" w:cs="仿宋"/>
          <w:b/>
          <w:bCs/>
          <w:snapToGrid w:val="0"/>
          <w:color w:val="000000"/>
          <w:sz w:val="24"/>
          <w:szCs w:val="21"/>
          <w:highlight w:val="none"/>
          <w:u w:val="single"/>
          <w:lang w:val="en-US" w:eastAsia="zh-CN"/>
        </w:rPr>
        <w:t xml:space="preserve">   </w:t>
      </w:r>
      <w:r>
        <w:rPr>
          <w:rFonts w:hint="eastAsia" w:ascii="仿宋" w:hAnsi="仿宋" w:eastAsia="仿宋" w:cs="仿宋"/>
          <w:b/>
          <w:bCs/>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（含税）。</w:t>
      </w:r>
    </w:p>
    <w:p w14:paraId="0643FA4D">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如甲方要求制作本合同第四条约定以外的工作成果，原则上乙方应积极配合，制作费用应由双方根据具体情况另行商定。</w:t>
      </w:r>
    </w:p>
    <w:p w14:paraId="7F8A879F">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6.2</w:t>
      </w:r>
      <w:r>
        <w:rPr>
          <w:rFonts w:hint="eastAsia" w:ascii="仿宋" w:hAnsi="仿宋" w:eastAsia="仿宋" w:cs="仿宋"/>
          <w:snapToGrid w:val="0"/>
          <w:color w:val="000000"/>
          <w:sz w:val="24"/>
          <w:szCs w:val="21"/>
          <w:highlight w:val="none"/>
        </w:rPr>
        <w:t>费用支付方式及时限</w:t>
      </w:r>
    </w:p>
    <w:p w14:paraId="590E40C0">
      <w:pPr>
        <w:widowControl/>
        <w:kinsoku w:val="0"/>
        <w:adjustRightInd w:val="0"/>
        <w:snapToGrid w:val="0"/>
        <w:spacing w:line="360" w:lineRule="auto"/>
        <w:ind w:left="42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采用分期支付方式</w:t>
      </w:r>
      <w:r>
        <w:rPr>
          <w:rFonts w:hint="eastAsia" w:ascii="仿宋" w:hAnsi="仿宋" w:eastAsia="仿宋" w:cs="仿宋"/>
          <w:sz w:val="24"/>
          <w:highlight w:val="none"/>
        </w:rPr>
        <w:t>，</w:t>
      </w:r>
      <w:r>
        <w:rPr>
          <w:rFonts w:hint="eastAsia" w:ascii="仿宋" w:hAnsi="仿宋" w:eastAsia="仿宋" w:cs="仿宋"/>
          <w:b w:val="0"/>
          <w:bCs w:val="0"/>
          <w:sz w:val="24"/>
          <w:highlight w:val="none"/>
        </w:rPr>
        <w:t>合同款额共分3次支付</w:t>
      </w:r>
      <w:r>
        <w:rPr>
          <w:rFonts w:hint="eastAsia" w:ascii="仿宋" w:hAnsi="仿宋" w:eastAsia="仿宋" w:cs="仿宋"/>
          <w:sz w:val="24"/>
          <w:highlight w:val="none"/>
        </w:rPr>
        <w:t>。</w:t>
      </w:r>
    </w:p>
    <w:tbl>
      <w:tblPr>
        <w:tblStyle w:val="6"/>
        <w:tblW w:w="9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313"/>
        <w:gridCol w:w="3136"/>
        <w:gridCol w:w="3706"/>
      </w:tblGrid>
      <w:tr w14:paraId="75DE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03" w:type="dxa"/>
            <w:noWrap w:val="0"/>
            <w:vAlign w:val="top"/>
          </w:tcPr>
          <w:p w14:paraId="030A71D8">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付费次序</w:t>
            </w:r>
          </w:p>
        </w:tc>
        <w:tc>
          <w:tcPr>
            <w:tcW w:w="1313" w:type="dxa"/>
            <w:noWrap w:val="0"/>
            <w:vAlign w:val="top"/>
          </w:tcPr>
          <w:p w14:paraId="0575511F">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占总规划设计费比例</w:t>
            </w:r>
          </w:p>
        </w:tc>
        <w:tc>
          <w:tcPr>
            <w:tcW w:w="3136" w:type="dxa"/>
            <w:noWrap w:val="0"/>
            <w:vAlign w:val="top"/>
          </w:tcPr>
          <w:p w14:paraId="59D484C3">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付费额（人民币）</w:t>
            </w:r>
          </w:p>
        </w:tc>
        <w:tc>
          <w:tcPr>
            <w:tcW w:w="3706" w:type="dxa"/>
            <w:noWrap w:val="0"/>
            <w:vAlign w:val="top"/>
          </w:tcPr>
          <w:p w14:paraId="6D30ADA9">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付费时间</w:t>
            </w:r>
          </w:p>
        </w:tc>
      </w:tr>
      <w:tr w14:paraId="2412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103" w:type="dxa"/>
            <w:noWrap w:val="0"/>
            <w:vAlign w:val="top"/>
          </w:tcPr>
          <w:p w14:paraId="5697A001">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第1次</w:t>
            </w:r>
          </w:p>
        </w:tc>
        <w:tc>
          <w:tcPr>
            <w:tcW w:w="1313" w:type="dxa"/>
            <w:noWrap w:val="0"/>
            <w:vAlign w:val="top"/>
          </w:tcPr>
          <w:p w14:paraId="5BDC0D53">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r>
              <w:rPr>
                <w:rFonts w:hint="eastAsia" w:ascii="仿宋" w:hAnsi="仿宋" w:eastAsia="仿宋" w:cs="仿宋"/>
                <w:snapToGrid w:val="0"/>
                <w:color w:val="000000"/>
                <w:sz w:val="21"/>
                <w:szCs w:val="21"/>
                <w:highlight w:val="none"/>
                <w:lang w:val="en-US" w:eastAsia="zh-CN" w:bidi="ar-SA"/>
              </w:rPr>
              <w:t>30%</w:t>
            </w:r>
          </w:p>
        </w:tc>
        <w:tc>
          <w:tcPr>
            <w:tcW w:w="3136" w:type="dxa"/>
            <w:noWrap w:val="0"/>
            <w:vAlign w:val="top"/>
          </w:tcPr>
          <w:p w14:paraId="069D9F8C">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c>
          <w:tcPr>
            <w:tcW w:w="3706" w:type="dxa"/>
            <w:noWrap w:val="0"/>
            <w:vAlign w:val="top"/>
          </w:tcPr>
          <w:p w14:paraId="2A50E485">
            <w:pPr>
              <w:kinsoku w:val="0"/>
              <w:adjustRightInd w:val="0"/>
              <w:snapToGrid w:val="0"/>
              <w:jc w:val="left"/>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合同签订后</w:t>
            </w:r>
            <w:r>
              <w:rPr>
                <w:rFonts w:hint="eastAsia" w:ascii="仿宋" w:hAnsi="仿宋" w:eastAsia="仿宋" w:cs="仿宋"/>
                <w:snapToGrid w:val="0"/>
                <w:color w:val="000000"/>
                <w:sz w:val="21"/>
                <w:szCs w:val="21"/>
                <w:highlight w:val="none"/>
                <w:lang w:val="en-US" w:eastAsia="zh-CN" w:bidi="ar-SA"/>
              </w:rPr>
              <w:t>15</w:t>
            </w:r>
            <w:r>
              <w:rPr>
                <w:rFonts w:hint="eastAsia" w:ascii="仿宋" w:hAnsi="仿宋" w:eastAsia="仿宋" w:cs="仿宋"/>
                <w:snapToGrid w:val="0"/>
                <w:color w:val="000000"/>
                <w:sz w:val="21"/>
                <w:szCs w:val="21"/>
                <w:highlight w:val="none"/>
                <w:lang w:val="en-US" w:eastAsia="en-US" w:bidi="ar-SA"/>
              </w:rPr>
              <w:t>个工作日以内</w:t>
            </w:r>
          </w:p>
        </w:tc>
      </w:tr>
      <w:tr w14:paraId="4186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03" w:type="dxa"/>
            <w:noWrap w:val="0"/>
            <w:vAlign w:val="top"/>
          </w:tcPr>
          <w:p w14:paraId="07BA0476">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第2次</w:t>
            </w:r>
          </w:p>
        </w:tc>
        <w:tc>
          <w:tcPr>
            <w:tcW w:w="1313" w:type="dxa"/>
            <w:noWrap w:val="0"/>
            <w:vAlign w:val="top"/>
          </w:tcPr>
          <w:p w14:paraId="59FCC7CF">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r>
              <w:rPr>
                <w:rFonts w:hint="eastAsia" w:ascii="仿宋" w:hAnsi="仿宋" w:eastAsia="仿宋" w:cs="仿宋"/>
                <w:snapToGrid w:val="0"/>
                <w:color w:val="000000"/>
                <w:sz w:val="21"/>
                <w:szCs w:val="21"/>
                <w:highlight w:val="none"/>
                <w:lang w:val="en-US" w:eastAsia="zh-CN" w:bidi="ar-SA"/>
              </w:rPr>
              <w:t>40%</w:t>
            </w:r>
          </w:p>
        </w:tc>
        <w:tc>
          <w:tcPr>
            <w:tcW w:w="3136" w:type="dxa"/>
            <w:noWrap w:val="0"/>
            <w:vAlign w:val="top"/>
          </w:tcPr>
          <w:p w14:paraId="28920B42">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p>
        </w:tc>
        <w:tc>
          <w:tcPr>
            <w:tcW w:w="3706" w:type="dxa"/>
            <w:noWrap w:val="0"/>
            <w:vAlign w:val="top"/>
          </w:tcPr>
          <w:p w14:paraId="1666522B">
            <w:pPr>
              <w:kinsoku w:val="0"/>
              <w:adjustRightInd w:val="0"/>
              <w:snapToGrid w:val="0"/>
              <w:jc w:val="left"/>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完成初步成果后</w:t>
            </w:r>
            <w:r>
              <w:rPr>
                <w:rFonts w:hint="eastAsia" w:ascii="仿宋" w:hAnsi="仿宋" w:eastAsia="仿宋" w:cs="仿宋"/>
                <w:snapToGrid w:val="0"/>
                <w:color w:val="000000"/>
                <w:sz w:val="21"/>
                <w:szCs w:val="21"/>
                <w:highlight w:val="none"/>
                <w:lang w:val="en-US" w:eastAsia="zh-CN" w:bidi="ar-SA"/>
              </w:rPr>
              <w:t>15</w:t>
            </w:r>
            <w:r>
              <w:rPr>
                <w:rFonts w:hint="eastAsia" w:ascii="仿宋" w:hAnsi="仿宋" w:eastAsia="仿宋" w:cs="仿宋"/>
                <w:snapToGrid w:val="0"/>
                <w:color w:val="000000"/>
                <w:sz w:val="21"/>
                <w:szCs w:val="21"/>
                <w:highlight w:val="none"/>
                <w:lang w:val="en-US" w:eastAsia="en-US" w:bidi="ar-SA"/>
              </w:rPr>
              <w:t>个工作日以内</w:t>
            </w:r>
          </w:p>
        </w:tc>
      </w:tr>
      <w:tr w14:paraId="6AE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103" w:type="dxa"/>
            <w:noWrap w:val="0"/>
            <w:vAlign w:val="top"/>
          </w:tcPr>
          <w:p w14:paraId="3502B32B">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第3次</w:t>
            </w:r>
          </w:p>
        </w:tc>
        <w:tc>
          <w:tcPr>
            <w:tcW w:w="1313" w:type="dxa"/>
            <w:noWrap w:val="0"/>
            <w:vAlign w:val="top"/>
          </w:tcPr>
          <w:p w14:paraId="05858F80">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r>
              <w:rPr>
                <w:rFonts w:hint="eastAsia" w:ascii="仿宋" w:hAnsi="仿宋" w:eastAsia="仿宋" w:cs="仿宋"/>
                <w:snapToGrid w:val="0"/>
                <w:color w:val="000000"/>
                <w:sz w:val="21"/>
                <w:szCs w:val="21"/>
                <w:highlight w:val="none"/>
                <w:lang w:val="en-US" w:eastAsia="zh-CN" w:bidi="ar-SA"/>
              </w:rPr>
              <w:t>30%</w:t>
            </w:r>
          </w:p>
        </w:tc>
        <w:tc>
          <w:tcPr>
            <w:tcW w:w="3136" w:type="dxa"/>
            <w:noWrap w:val="0"/>
            <w:vAlign w:val="top"/>
          </w:tcPr>
          <w:p w14:paraId="3A31A66A">
            <w:pPr>
              <w:kinsoku w:val="0"/>
              <w:adjustRightInd w:val="0"/>
              <w:snapToGrid w:val="0"/>
              <w:jc w:val="center"/>
              <w:textAlignment w:val="baseline"/>
              <w:rPr>
                <w:rFonts w:hint="eastAsia" w:ascii="仿宋" w:hAnsi="仿宋" w:eastAsia="仿宋" w:cs="仿宋"/>
                <w:snapToGrid w:val="0"/>
                <w:color w:val="000000"/>
                <w:sz w:val="21"/>
                <w:szCs w:val="21"/>
                <w:highlight w:val="none"/>
                <w:lang w:val="en-US" w:eastAsia="zh-CN" w:bidi="ar-SA"/>
              </w:rPr>
            </w:pPr>
          </w:p>
        </w:tc>
        <w:tc>
          <w:tcPr>
            <w:tcW w:w="3706" w:type="dxa"/>
            <w:noWrap w:val="0"/>
            <w:vAlign w:val="top"/>
          </w:tcPr>
          <w:p w14:paraId="323E04B0">
            <w:pPr>
              <w:kinsoku w:val="0"/>
              <w:adjustRightInd w:val="0"/>
              <w:snapToGrid w:val="0"/>
              <w:jc w:val="left"/>
              <w:textAlignment w:val="baseline"/>
              <w:rPr>
                <w:rFonts w:hint="eastAsia" w:ascii="仿宋" w:hAnsi="仿宋" w:eastAsia="仿宋" w:cs="仿宋"/>
                <w:snapToGrid w:val="0"/>
                <w:color w:val="000000"/>
                <w:sz w:val="21"/>
                <w:szCs w:val="21"/>
                <w:highlight w:val="none"/>
                <w:lang w:val="en-US" w:eastAsia="en-US" w:bidi="ar-SA"/>
              </w:rPr>
            </w:pPr>
            <w:r>
              <w:rPr>
                <w:rFonts w:hint="eastAsia" w:ascii="仿宋" w:hAnsi="仿宋" w:eastAsia="仿宋" w:cs="仿宋"/>
                <w:snapToGrid w:val="0"/>
                <w:color w:val="000000"/>
                <w:sz w:val="21"/>
                <w:szCs w:val="21"/>
                <w:highlight w:val="none"/>
                <w:lang w:val="en-US" w:eastAsia="en-US" w:bidi="ar-SA"/>
              </w:rPr>
              <w:t>完成专家评审并提交最终成果后</w:t>
            </w:r>
            <w:r>
              <w:rPr>
                <w:rFonts w:hint="eastAsia" w:ascii="仿宋" w:hAnsi="仿宋" w:eastAsia="仿宋" w:cs="仿宋"/>
                <w:snapToGrid w:val="0"/>
                <w:color w:val="000000"/>
                <w:sz w:val="21"/>
                <w:szCs w:val="21"/>
                <w:highlight w:val="none"/>
                <w:lang w:val="en-US" w:eastAsia="zh-CN" w:bidi="ar-SA"/>
              </w:rPr>
              <w:t>15</w:t>
            </w:r>
            <w:r>
              <w:rPr>
                <w:rFonts w:hint="eastAsia" w:ascii="仿宋" w:hAnsi="仿宋" w:eastAsia="仿宋" w:cs="仿宋"/>
                <w:snapToGrid w:val="0"/>
                <w:color w:val="000000"/>
                <w:sz w:val="21"/>
                <w:szCs w:val="21"/>
                <w:highlight w:val="none"/>
                <w:lang w:val="en-US" w:eastAsia="en-US" w:bidi="ar-SA"/>
              </w:rPr>
              <w:t>个工作日以内</w:t>
            </w:r>
          </w:p>
        </w:tc>
      </w:tr>
    </w:tbl>
    <w:p w14:paraId="02C71C77">
      <w:pPr>
        <w:widowControl/>
        <w:kinsoku w:val="0"/>
        <w:adjustRightInd w:val="0"/>
        <w:snapToGrid w:val="0"/>
        <w:spacing w:before="240" w:beforeLines="100" w:after="240" w:afterLines="100" w:line="360" w:lineRule="auto"/>
        <w:textAlignment w:val="baseline"/>
        <w:rPr>
          <w:rFonts w:hint="eastAsia" w:ascii="仿宋" w:hAnsi="仿宋" w:eastAsia="仿宋" w:cs="仿宋"/>
          <w:snapToGrid w:val="0"/>
          <w:color w:val="FF0000"/>
          <w:sz w:val="24"/>
          <w:szCs w:val="24"/>
          <w:highlight w:val="none"/>
        </w:rPr>
      </w:pPr>
      <w:r>
        <w:rPr>
          <w:rFonts w:hint="eastAsia" w:ascii="仿宋" w:hAnsi="仿宋" w:eastAsia="仿宋" w:cs="仿宋"/>
          <w:b/>
          <w:snapToGrid w:val="0"/>
          <w:color w:val="000000"/>
          <w:sz w:val="24"/>
          <w:szCs w:val="24"/>
          <w:highlight w:val="none"/>
        </w:rPr>
        <w:t>第七条 验收的标准和方式</w:t>
      </w:r>
    </w:p>
    <w:p w14:paraId="3AB4927E">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7.1</w:t>
      </w:r>
      <w:r>
        <w:rPr>
          <w:rFonts w:hint="eastAsia" w:ascii="仿宋" w:hAnsi="仿宋" w:eastAsia="仿宋" w:cs="仿宋"/>
          <w:snapToGrid w:val="0"/>
          <w:color w:val="000000"/>
          <w:sz w:val="24"/>
          <w:szCs w:val="21"/>
          <w:highlight w:val="none"/>
        </w:rPr>
        <w:t>阶段成果验收</w:t>
      </w:r>
    </w:p>
    <w:p w14:paraId="3AD96F6B">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1"/>
          <w:highlight w:val="none"/>
        </w:rPr>
        <w:t>乙方按合同完成的设计成果，达到了本合同第二条、第四条相关要求，双方约定，本项目采用</w:t>
      </w:r>
      <w:r>
        <w:rPr>
          <w:rFonts w:hint="eastAsia" w:ascii="仿宋" w:hAnsi="仿宋" w:eastAsia="仿宋" w:cs="仿宋"/>
          <w:snapToGrid w:val="0"/>
          <w:color w:val="000000"/>
          <w:sz w:val="24"/>
          <w:szCs w:val="21"/>
          <w:highlight w:val="none"/>
          <w:u w:val="single"/>
        </w:rPr>
        <w:t xml:space="preserve">  专家评审  </w:t>
      </w:r>
      <w:r>
        <w:rPr>
          <w:rFonts w:hint="eastAsia" w:ascii="仿宋" w:hAnsi="仿宋" w:eastAsia="仿宋" w:cs="仿宋"/>
          <w:snapToGrid w:val="0"/>
          <w:color w:val="000000"/>
          <w:sz w:val="24"/>
          <w:szCs w:val="21"/>
          <w:highlight w:val="none"/>
        </w:rPr>
        <w:t>方式验收，</w:t>
      </w:r>
      <w:r>
        <w:rPr>
          <w:rFonts w:hint="eastAsia" w:ascii="仿宋" w:hAnsi="仿宋" w:eastAsia="仿宋" w:cs="仿宋"/>
          <w:snapToGrid w:val="0"/>
          <w:color w:val="000000"/>
          <w:sz w:val="24"/>
          <w:szCs w:val="24"/>
          <w:highlight w:val="none"/>
        </w:rPr>
        <w:t>由甲方出具项目评审验收意见。乙方根据合同约定提交各阶段成果后</w:t>
      </w:r>
      <w:r>
        <w:rPr>
          <w:rFonts w:hint="eastAsia" w:ascii="仿宋" w:hAnsi="仿宋" w:eastAsia="仿宋" w:cs="仿宋"/>
          <w:snapToGrid w:val="0"/>
          <w:color w:val="000000"/>
          <w:sz w:val="24"/>
          <w:szCs w:val="24"/>
          <w:highlight w:val="none"/>
          <w:lang w:val="en-US" w:eastAsia="zh-CN"/>
        </w:rPr>
        <w:t>2</w:t>
      </w:r>
      <w:r>
        <w:rPr>
          <w:rFonts w:hint="eastAsia" w:ascii="仿宋" w:hAnsi="仿宋" w:eastAsia="仿宋" w:cs="仿宋"/>
          <w:snapToGrid w:val="0"/>
          <w:color w:val="000000"/>
          <w:sz w:val="24"/>
          <w:szCs w:val="24"/>
          <w:highlight w:val="none"/>
        </w:rPr>
        <w:t>个月甲方不组织验收或不出具评审意见，或甲方将乙方提交的成果实际投入使用的，视为本阶段工作已验收合格，甲方应支付本阶段的设计费用，否则乙方有权暂停项目工作，且不承担任何违约责任。</w:t>
      </w:r>
    </w:p>
    <w:p w14:paraId="64A93C98">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7.2</w:t>
      </w:r>
      <w:r>
        <w:rPr>
          <w:rFonts w:hint="eastAsia" w:ascii="仿宋" w:hAnsi="仿宋" w:eastAsia="仿宋" w:cs="仿宋"/>
          <w:snapToGrid w:val="0"/>
          <w:color w:val="000000"/>
          <w:sz w:val="24"/>
          <w:szCs w:val="21"/>
          <w:highlight w:val="none"/>
        </w:rPr>
        <w:t>最终成果签收</w:t>
      </w:r>
    </w:p>
    <w:p w14:paraId="6777D6DB">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1"/>
          <w:highlight w:val="none"/>
        </w:rPr>
        <w:t>乙方按合同完成的设计成果，达到了本合同第二条、第四条所列各项指标，经相关审批机关批复后，乙方向甲方提交最终规划设计成果，甲方应出具规划成果接收确认函。</w:t>
      </w:r>
    </w:p>
    <w:p w14:paraId="52B3C8E5">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第八条 双方责任</w:t>
      </w:r>
    </w:p>
    <w:p w14:paraId="1C03B9C8">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8.1</w:t>
      </w:r>
      <w:r>
        <w:rPr>
          <w:rFonts w:hint="eastAsia" w:ascii="仿宋" w:hAnsi="仿宋" w:eastAsia="仿宋" w:cs="仿宋"/>
          <w:snapToGrid w:val="0"/>
          <w:color w:val="000000"/>
          <w:sz w:val="24"/>
          <w:szCs w:val="21"/>
          <w:highlight w:val="none"/>
        </w:rPr>
        <w:t>甲方责任</w:t>
      </w:r>
    </w:p>
    <w:p w14:paraId="7015C4A1">
      <w:pPr>
        <w:widowControl/>
        <w:kinsoku w:val="0"/>
        <w:adjustRightInd w:val="0"/>
        <w:snapToGrid w:val="0"/>
        <w:spacing w:line="360" w:lineRule="auto"/>
        <w:ind w:firstLine="480"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snapToGrid w:val="0"/>
          <w:color w:val="000000"/>
          <w:sz w:val="24"/>
          <w:szCs w:val="21"/>
          <w:highlight w:val="none"/>
        </w:rPr>
        <w:t>8.1.1甲方不得要求乙方违反国家、地方、行业等有关标准进行设计工作，否则乙方有权终止履行合同。</w:t>
      </w:r>
    </w:p>
    <w:p w14:paraId="0DAABFB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8.1.2甲方按本合同第三条规定的内容，在规定的时间内向乙方提交基础资料及文件，并对其完整性、正确性、及时性负责。甲方提交上述资料及文件超过规定期限10个日历日以内，乙方交付设计文件时间顺延；超过规定期限10个日历日以上时，乙方有权重新确定提交设计文件的时间。</w:t>
      </w:r>
    </w:p>
    <w:p w14:paraId="59CBEFAA">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8.1.3甲方有权要求乙方进行正常的设计变更，但应以正式书面文件的形式通知乙方，该通知需包含甲方代表签字及甲方公章。</w:t>
      </w:r>
    </w:p>
    <w:p w14:paraId="1E5536DD">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8.1.4由于下述原因造成乙方设计返工或新增工作量时，双方需另行协商签订补充协议、重新明确费用、成果提交时间等有关条款外，甲方应根据乙方新增工作量增补设计费。由此造成合同履行期延长的，乙方不承担责任；如双方未能签订补充协议，乙方有权拒绝相应返工或新增工作量。</w:t>
      </w:r>
    </w:p>
    <w:p w14:paraId="25AA4239">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（1）甲方提交的资料错误，或所提交资料进行较大修改导致工作量增加的；</w:t>
      </w:r>
    </w:p>
    <w:p w14:paraId="2DFBDE35">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（2）甲方变更委托规划起始年限，乙方需要重新收集资料的；</w:t>
      </w:r>
    </w:p>
    <w:p w14:paraId="724B2D7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（3）甲方变更委托规划项目、范围、规模、内容、条件、成果等要求的。</w:t>
      </w:r>
    </w:p>
    <w:p w14:paraId="3A0CB61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8.1.5违反本合同第六条约定，甲方应承担违约责任，每逾期支付一天，按逾期金额的千分之一支付滞纳金，乙方工作进度顺延，逾期两个月不支付设计费，乙方有权单方解除合同。</w:t>
      </w:r>
    </w:p>
    <w:p w14:paraId="07D8A6A7">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8.1.6甲方应为派赴现场处理有关设计问题的工作人员提供必要的工作生活及交通等方便条件。</w:t>
      </w:r>
    </w:p>
    <w:p w14:paraId="5C61F439">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8.2</w:t>
      </w:r>
      <w:r>
        <w:rPr>
          <w:rFonts w:hint="eastAsia" w:ascii="仿宋" w:hAnsi="仿宋" w:eastAsia="仿宋" w:cs="仿宋"/>
          <w:snapToGrid w:val="0"/>
          <w:color w:val="000000"/>
          <w:sz w:val="24"/>
          <w:szCs w:val="21"/>
          <w:highlight w:val="none"/>
        </w:rPr>
        <w:t>乙方责任</w:t>
      </w:r>
    </w:p>
    <w:p w14:paraId="283CC020">
      <w:pPr>
        <w:widowControl/>
        <w:kinsoku w:val="0"/>
        <w:adjustRightInd w:val="0"/>
        <w:snapToGrid w:val="0"/>
        <w:spacing w:line="360" w:lineRule="auto"/>
        <w:ind w:firstLine="480" w:firstLineChars="20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snapToGrid w:val="0"/>
          <w:color w:val="000000"/>
          <w:sz w:val="24"/>
          <w:szCs w:val="21"/>
          <w:highlight w:val="none"/>
        </w:rPr>
        <w:t>8.2.1乙方应按国家相应技术规范、标准、规程及合同约定的各项要求，进行设计工作，按合同规定的进度要求提交质量合格的设计成果，并对其负责。</w:t>
      </w:r>
    </w:p>
    <w:p w14:paraId="456095AC">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8.2.2乙方按本合同第二条、第四条和第五条规定的内容、进度及份数向甲方提交设计成果，按规定参加有关的设计审查，并根据审查结论对不超出原定范围的内容做必要调整补充。</w:t>
      </w:r>
    </w:p>
    <w:p w14:paraId="64C6FA56">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highlight w:val="none"/>
        </w:rPr>
      </w:pPr>
      <w:r>
        <w:rPr>
          <w:rFonts w:hint="eastAsia" w:ascii="仿宋" w:hAnsi="仿宋" w:eastAsia="仿宋" w:cs="仿宋"/>
          <w:snapToGrid w:val="0"/>
          <w:color w:val="000000"/>
          <w:sz w:val="24"/>
          <w:szCs w:val="21"/>
          <w:highlight w:val="none"/>
        </w:rPr>
        <w:t>8.2.3由于乙方自身原因，延误了按本合同第四条、第五条规定的设计成果文件的交付，</w:t>
      </w:r>
      <w:r>
        <w:rPr>
          <w:rFonts w:hint="eastAsia" w:ascii="仿宋" w:hAnsi="仿宋" w:eastAsia="仿宋" w:cs="仿宋"/>
          <w:snapToGrid w:val="0"/>
          <w:color w:val="000000"/>
          <w:sz w:val="24"/>
          <w:highlight w:val="none"/>
        </w:rPr>
        <w:t>每延误一天，应减收该阶段设计费的千分之一。</w:t>
      </w:r>
    </w:p>
    <w:p w14:paraId="6684F508">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highlight w:val="none"/>
        </w:rPr>
      </w:pPr>
      <w:r>
        <w:rPr>
          <w:rFonts w:hint="eastAsia" w:ascii="仿宋" w:hAnsi="仿宋" w:eastAsia="仿宋" w:cs="仿宋"/>
          <w:snapToGrid w:val="0"/>
          <w:color w:val="000000"/>
          <w:sz w:val="24"/>
          <w:highlight w:val="none"/>
        </w:rPr>
        <w:t>8.2.4乙方应做好设计的质量与技术管理工作，加强设计全过程的质量控制，保证设计内容的合理性。</w:t>
      </w:r>
    </w:p>
    <w:p w14:paraId="7D6F0DE8">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8.2.5甲方要求乙方比合同规定时间提前交付设计成果时，乙方应积极配合，如乙方确实能做到，甲方应根据乙方提前投入的工作量，向乙方支付赶工费。</w:t>
      </w:r>
    </w:p>
    <w:p w14:paraId="7909C801">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8.2.6乙方未经甲方同意不得无故变更项目负责人：</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none"/>
        </w:rPr>
        <w:t xml:space="preserve"> </w:t>
      </w:r>
      <w:r>
        <w:rPr>
          <w:rFonts w:hint="eastAsia" w:ascii="仿宋" w:hAnsi="仿宋" w:eastAsia="仿宋" w:cs="仿宋"/>
          <w:snapToGrid w:val="0"/>
          <w:color w:val="000000"/>
          <w:sz w:val="24"/>
          <w:szCs w:val="21"/>
          <w:highlight w:val="none"/>
        </w:rPr>
        <w:t>。（人员生病、死亡、离职等情况除外），若确有情况需要调整人员，乙方应提前通知甲方，经协商一致后再进行调整</w:t>
      </w:r>
    </w:p>
    <w:p w14:paraId="14C7D878">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第九条 技术情报和资料的保密</w:t>
      </w:r>
    </w:p>
    <w:p w14:paraId="26E6457D">
      <w:pPr>
        <w:widowControl/>
        <w:kinsoku w:val="0"/>
        <w:adjustRightInd w:val="0"/>
        <w:snapToGrid w:val="0"/>
        <w:spacing w:line="360" w:lineRule="auto"/>
        <w:ind w:firstLine="480"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甲方与乙方均需对对方提供的技术情报和资料承担保密义务，并保护对方资料、成果的知识产权，不得向第三人泄露、转让对方提交的产品图纸等技术经济资料。不论本合同是否变更、解除、终止，本条款长期有效。</w:t>
      </w:r>
    </w:p>
    <w:p w14:paraId="1869E1DB">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第十条 违约责任</w:t>
      </w:r>
    </w:p>
    <w:p w14:paraId="217DD121">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10.1</w:t>
      </w:r>
      <w:r>
        <w:rPr>
          <w:rFonts w:hint="eastAsia" w:ascii="仿宋" w:hAnsi="仿宋" w:eastAsia="仿宋" w:cs="仿宋"/>
          <w:snapToGrid w:val="0"/>
          <w:color w:val="000000"/>
          <w:sz w:val="24"/>
          <w:szCs w:val="21"/>
          <w:highlight w:val="none"/>
        </w:rPr>
        <w:t>在合同履行期间，因甲方原因终止或解除合同，乙方未开始设计工作的，不退还甲方已支付款项；已开始设计工作的，甲方应根据乙方已进行的实际工作量，不足一半时，按该阶段设计费的一半支付；超过一半时，按该阶段设计费的全部支付。</w:t>
      </w:r>
    </w:p>
    <w:p w14:paraId="33D9FB85">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10.2</w:t>
      </w:r>
      <w:r>
        <w:rPr>
          <w:rFonts w:hint="eastAsia" w:ascii="仿宋" w:hAnsi="仿宋" w:eastAsia="仿宋" w:cs="仿宋"/>
          <w:snapToGrid w:val="0"/>
          <w:color w:val="000000"/>
          <w:sz w:val="24"/>
          <w:szCs w:val="21"/>
          <w:highlight w:val="none"/>
        </w:rPr>
        <w:t>在合同履行期间，因乙方原因终止或解除合同的，乙方未开始设计工作的，应退还甲方已支付款项；已开始设计工作的乙方应退还甲方已支付但未完成设计工作对应的设计费。</w:t>
      </w:r>
    </w:p>
    <w:p w14:paraId="30BFCEF7">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10.3</w:t>
      </w:r>
      <w:r>
        <w:rPr>
          <w:rFonts w:hint="eastAsia" w:ascii="仿宋" w:hAnsi="仿宋" w:eastAsia="仿宋" w:cs="仿宋"/>
          <w:snapToGrid w:val="0"/>
          <w:color w:val="000000"/>
          <w:sz w:val="24"/>
          <w:szCs w:val="21"/>
          <w:highlight w:val="none"/>
        </w:rPr>
        <w:t>甲方的上级或审批部门对设计文件不审批或本合同项目停滞的，双方应一个月内协商签订终止合同，甲方需按照10.1支付乙方已完成的设计费金额。</w:t>
      </w:r>
    </w:p>
    <w:p w14:paraId="74340561">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10.4</w:t>
      </w:r>
      <w:r>
        <w:rPr>
          <w:rFonts w:hint="eastAsia" w:ascii="仿宋" w:hAnsi="仿宋" w:eastAsia="仿宋" w:cs="仿宋"/>
          <w:snapToGrid w:val="0"/>
          <w:color w:val="000000"/>
          <w:sz w:val="24"/>
          <w:szCs w:val="21"/>
          <w:highlight w:val="none"/>
        </w:rPr>
        <w:t>甲乙双方因任何一方违约产生的赔偿金总额以本合同设计费金额为上限。</w:t>
      </w:r>
    </w:p>
    <w:p w14:paraId="1DF8BB86">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第十一条 争议的解决办法</w:t>
      </w:r>
    </w:p>
    <w:p w14:paraId="71DDF6F8">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11.1</w:t>
      </w:r>
      <w:r>
        <w:rPr>
          <w:rFonts w:hint="eastAsia" w:ascii="仿宋" w:hAnsi="仿宋" w:eastAsia="仿宋" w:cs="仿宋"/>
          <w:snapToGrid w:val="0"/>
          <w:color w:val="000000"/>
          <w:sz w:val="24"/>
          <w:szCs w:val="21"/>
          <w:highlight w:val="none"/>
        </w:rPr>
        <w:t>在本合同履行过程中发生争议，双方应当协商解决。</w:t>
      </w:r>
    </w:p>
    <w:p w14:paraId="5B1EC3EF">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000000"/>
          <w:sz w:val="24"/>
          <w:szCs w:val="24"/>
          <w:highlight w:val="none"/>
        </w:rPr>
      </w:pPr>
      <w:r>
        <w:rPr>
          <w:rFonts w:hint="eastAsia" w:ascii="仿宋" w:hAnsi="仿宋" w:eastAsia="仿宋" w:cs="仿宋"/>
          <w:b/>
          <w:snapToGrid w:val="0"/>
          <w:color w:val="000000"/>
          <w:sz w:val="24"/>
          <w:szCs w:val="24"/>
          <w:highlight w:val="none"/>
        </w:rPr>
        <w:t>11.2</w:t>
      </w:r>
      <w:r>
        <w:rPr>
          <w:rFonts w:hint="eastAsia" w:ascii="仿宋" w:hAnsi="仿宋" w:eastAsia="仿宋" w:cs="仿宋"/>
          <w:snapToGrid w:val="0"/>
          <w:color w:val="000000"/>
          <w:sz w:val="24"/>
          <w:szCs w:val="24"/>
          <w:highlight w:val="none"/>
        </w:rPr>
        <w:t>双方不愿协商、调解解决或者协商、调解不成的，双方商定通过方式</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解决。</w:t>
      </w:r>
    </w:p>
    <w:p w14:paraId="0DEB4D1F">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（1）申请</w:t>
      </w:r>
      <w:r>
        <w:rPr>
          <w:rFonts w:hint="eastAsia" w:ascii="仿宋" w:hAnsi="仿宋" w:eastAsia="仿宋" w:cs="仿宋"/>
          <w:snapToGrid w:val="0"/>
          <w:color w:val="000000"/>
          <w:sz w:val="24"/>
          <w:szCs w:val="21"/>
          <w:highlight w:val="none"/>
          <w:u w:val="single"/>
        </w:rPr>
        <w:t>甲方所在地</w:t>
      </w:r>
      <w:r>
        <w:rPr>
          <w:rFonts w:hint="eastAsia" w:ascii="仿宋" w:hAnsi="仿宋" w:eastAsia="仿宋" w:cs="仿宋"/>
          <w:snapToGrid w:val="0"/>
          <w:color w:val="000000"/>
          <w:sz w:val="24"/>
          <w:szCs w:val="21"/>
          <w:highlight w:val="none"/>
        </w:rPr>
        <w:t>仲裁委员会仲裁；</w:t>
      </w:r>
    </w:p>
    <w:p w14:paraId="4087C764">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（2）向</w:t>
      </w:r>
      <w:r>
        <w:rPr>
          <w:rFonts w:hint="eastAsia" w:ascii="仿宋" w:hAnsi="仿宋" w:eastAsia="仿宋" w:cs="仿宋"/>
          <w:snapToGrid w:val="0"/>
          <w:color w:val="000000"/>
          <w:sz w:val="24"/>
          <w:szCs w:val="21"/>
          <w:highlight w:val="none"/>
          <w:u w:val="single"/>
        </w:rPr>
        <w:t>甲方所在地</w:t>
      </w:r>
      <w:r>
        <w:rPr>
          <w:rFonts w:hint="eastAsia" w:ascii="仿宋" w:hAnsi="仿宋" w:eastAsia="仿宋" w:cs="仿宋"/>
          <w:snapToGrid w:val="0"/>
          <w:color w:val="000000"/>
          <w:sz w:val="24"/>
          <w:szCs w:val="21"/>
          <w:highlight w:val="none"/>
        </w:rPr>
        <w:t>人民法院提起诉讼。</w:t>
      </w:r>
    </w:p>
    <w:p w14:paraId="0470A70A">
      <w:pPr>
        <w:widowControl/>
        <w:kinsoku w:val="0"/>
        <w:adjustRightInd w:val="0"/>
        <w:snapToGrid w:val="0"/>
        <w:spacing w:before="240" w:beforeLines="100" w:after="240" w:afterLines="100" w:line="360" w:lineRule="auto"/>
        <w:textAlignment w:val="baseline"/>
        <w:rPr>
          <w:rFonts w:hint="eastAsia" w:ascii="仿宋" w:hAnsi="仿宋" w:eastAsia="仿宋" w:cs="仿宋"/>
          <w:b/>
          <w:snapToGrid w:val="0"/>
          <w:color w:val="000000"/>
          <w:sz w:val="24"/>
          <w:szCs w:val="24"/>
          <w:highlight w:val="none"/>
        </w:rPr>
      </w:pPr>
      <w:r>
        <w:rPr>
          <w:rFonts w:hint="eastAsia" w:ascii="仿宋" w:hAnsi="仿宋" w:eastAsia="仿宋" w:cs="仿宋"/>
          <w:b/>
          <w:snapToGrid w:val="0"/>
          <w:color w:val="000000"/>
          <w:sz w:val="24"/>
          <w:szCs w:val="24"/>
          <w:highlight w:val="none"/>
        </w:rPr>
        <w:t>第十二条 其它</w:t>
      </w:r>
    </w:p>
    <w:p w14:paraId="76F0DC26">
      <w:pPr>
        <w:widowControl/>
        <w:kinsoku w:val="0"/>
        <w:adjustRightInd w:val="0"/>
        <w:snapToGrid w:val="0"/>
        <w:spacing w:line="360" w:lineRule="auto"/>
        <w:ind w:left="48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12.1</w:t>
      </w:r>
      <w:r>
        <w:rPr>
          <w:rFonts w:hint="eastAsia" w:ascii="仿宋" w:hAnsi="仿宋" w:eastAsia="仿宋" w:cs="仿宋"/>
          <w:snapToGrid w:val="0"/>
          <w:color w:val="000000"/>
          <w:sz w:val="24"/>
          <w:szCs w:val="21"/>
          <w:highlight w:val="none"/>
        </w:rPr>
        <w:t>甲方要求乙方派专人留驻现场进行配合、解决有关问题时，双方应另行签订补充协议或技术咨询服务合同。</w:t>
      </w:r>
    </w:p>
    <w:p w14:paraId="2AFFE7D2">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12.2</w:t>
      </w:r>
      <w:r>
        <w:rPr>
          <w:rFonts w:hint="eastAsia" w:ascii="仿宋" w:hAnsi="仿宋" w:eastAsia="仿宋" w:cs="仿宋"/>
          <w:snapToGrid w:val="0"/>
          <w:color w:val="000000"/>
          <w:sz w:val="24"/>
          <w:szCs w:val="21"/>
          <w:highlight w:val="none"/>
        </w:rPr>
        <w:t>甲方要求乙方提供本合同内容以外的工作服务，需另行支付费用。</w:t>
      </w:r>
    </w:p>
    <w:p w14:paraId="72E64A53">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12.3</w:t>
      </w:r>
      <w:r>
        <w:rPr>
          <w:rFonts w:hint="eastAsia" w:ascii="仿宋" w:hAnsi="仿宋" w:eastAsia="仿宋" w:cs="仿宋"/>
          <w:snapToGrid w:val="0"/>
          <w:color w:val="000000"/>
          <w:sz w:val="24"/>
          <w:szCs w:val="21"/>
          <w:highlight w:val="none"/>
        </w:rPr>
        <w:t>由于不可抗力因素致使合同无法履行时，双方应及时协商解决。</w:t>
      </w:r>
    </w:p>
    <w:p w14:paraId="33983035">
      <w:pPr>
        <w:widowControl/>
        <w:kinsoku w:val="0"/>
        <w:adjustRightInd w:val="0"/>
        <w:snapToGrid w:val="0"/>
        <w:spacing w:line="360" w:lineRule="auto"/>
        <w:ind w:firstLine="482" w:firstLineChars="200"/>
        <w:textAlignment w:val="baseline"/>
        <w:rPr>
          <w:rFonts w:hint="eastAsia" w:ascii="仿宋" w:hAnsi="仿宋" w:eastAsia="仿宋" w:cs="仿宋"/>
          <w:snapToGrid w:val="0"/>
          <w:color w:val="FF0000"/>
          <w:sz w:val="24"/>
          <w:szCs w:val="21"/>
          <w:highlight w:val="none"/>
        </w:rPr>
      </w:pPr>
      <w:r>
        <w:rPr>
          <w:rFonts w:hint="eastAsia" w:ascii="仿宋" w:hAnsi="仿宋" w:eastAsia="仿宋" w:cs="仿宋"/>
          <w:b/>
          <w:snapToGrid w:val="0"/>
          <w:color w:val="000000"/>
          <w:sz w:val="24"/>
          <w:szCs w:val="21"/>
          <w:highlight w:val="none"/>
        </w:rPr>
        <w:t>12.4</w:t>
      </w:r>
      <w:r>
        <w:rPr>
          <w:rFonts w:hint="eastAsia" w:ascii="仿宋" w:hAnsi="仿宋" w:eastAsia="仿宋" w:cs="仿宋"/>
          <w:snapToGrid w:val="0"/>
          <w:color w:val="000000"/>
          <w:sz w:val="24"/>
          <w:szCs w:val="21"/>
          <w:highlight w:val="none"/>
        </w:rPr>
        <w:t>甲方指定</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（联系方式：</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；邮箱：</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）为项目代表与乙方对接项目联系事宜；乙方指定</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（联系方式：</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；邮箱：</w:t>
      </w:r>
      <w:r>
        <w:rPr>
          <w:rFonts w:hint="eastAsia" w:ascii="仿宋" w:hAnsi="仿宋" w:eastAsia="仿宋" w:cs="仿宋"/>
          <w:snapToGrid w:val="0"/>
          <w:color w:val="000000"/>
          <w:sz w:val="24"/>
          <w:szCs w:val="21"/>
          <w:highlight w:val="none"/>
          <w:u w:val="single"/>
          <w:lang w:val="en-US" w:eastAsia="zh-CN"/>
        </w:rPr>
        <w:t xml:space="preserve">    </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）为项目代表与甲方对接项目联系事宜，如一方需变更项目代表，需以书面形式通知对方。</w:t>
      </w:r>
    </w:p>
    <w:p w14:paraId="0631A892">
      <w:pPr>
        <w:widowControl/>
        <w:kinsoku w:val="0"/>
        <w:adjustRightInd w:val="0"/>
        <w:snapToGrid w:val="0"/>
        <w:spacing w:line="360" w:lineRule="auto"/>
        <w:ind w:left="480"/>
        <w:textAlignment w:val="baseline"/>
        <w:rPr>
          <w:rFonts w:hint="eastAsia" w:ascii="仿宋" w:hAnsi="仿宋" w:eastAsia="仿宋" w:cs="仿宋"/>
          <w:snapToGrid w:val="0"/>
          <w:color w:val="FF0000"/>
          <w:sz w:val="24"/>
          <w:szCs w:val="21"/>
          <w:highlight w:val="none"/>
        </w:rPr>
      </w:pPr>
      <w:r>
        <w:rPr>
          <w:rFonts w:hint="eastAsia" w:ascii="仿宋" w:hAnsi="仿宋" w:eastAsia="仿宋" w:cs="仿宋"/>
          <w:b/>
          <w:snapToGrid w:val="0"/>
          <w:color w:val="000000"/>
          <w:sz w:val="24"/>
          <w:szCs w:val="21"/>
          <w:highlight w:val="none"/>
        </w:rPr>
        <w:t>12.5</w:t>
      </w:r>
      <w:r>
        <w:rPr>
          <w:rFonts w:hint="eastAsia" w:ascii="仿宋" w:hAnsi="仿宋" w:eastAsia="仿宋" w:cs="仿宋"/>
          <w:snapToGrid w:val="0"/>
          <w:color w:val="000000"/>
          <w:sz w:val="24"/>
          <w:szCs w:val="21"/>
          <w:highlight w:val="none"/>
        </w:rPr>
        <w:t>本合同一式</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份，甲方</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捌</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份，乙方</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u w:val="single"/>
          <w:lang w:val="en-US" w:eastAsia="zh-CN"/>
        </w:rPr>
        <w:t>肆</w:t>
      </w:r>
      <w:r>
        <w:rPr>
          <w:rFonts w:hint="eastAsia" w:ascii="仿宋" w:hAnsi="仿宋" w:eastAsia="仿宋" w:cs="仿宋"/>
          <w:snapToGrid w:val="0"/>
          <w:color w:val="000000"/>
          <w:sz w:val="24"/>
          <w:szCs w:val="21"/>
          <w:highlight w:val="none"/>
          <w:u w:val="single"/>
        </w:rPr>
        <w:t xml:space="preserve">  </w:t>
      </w:r>
      <w:r>
        <w:rPr>
          <w:rFonts w:hint="eastAsia" w:ascii="仿宋" w:hAnsi="仿宋" w:eastAsia="仿宋" w:cs="仿宋"/>
          <w:snapToGrid w:val="0"/>
          <w:color w:val="000000"/>
          <w:sz w:val="24"/>
          <w:szCs w:val="21"/>
          <w:highlight w:val="none"/>
        </w:rPr>
        <w:t>份，具有同等法律效力。</w:t>
      </w:r>
    </w:p>
    <w:p w14:paraId="65900961">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12.6</w:t>
      </w:r>
      <w:r>
        <w:rPr>
          <w:rFonts w:hint="eastAsia" w:ascii="仿宋" w:hAnsi="仿宋" w:eastAsia="仿宋" w:cs="仿宋"/>
          <w:snapToGrid w:val="0"/>
          <w:color w:val="000000"/>
          <w:sz w:val="24"/>
          <w:szCs w:val="21"/>
          <w:highlight w:val="none"/>
        </w:rPr>
        <w:t>本合同经双方签字盖章后生效。</w:t>
      </w:r>
    </w:p>
    <w:p w14:paraId="3A3085C3">
      <w:pPr>
        <w:widowControl/>
        <w:kinsoku w:val="0"/>
        <w:adjustRightInd w:val="0"/>
        <w:snapToGrid w:val="0"/>
        <w:spacing w:line="360" w:lineRule="auto"/>
        <w:ind w:left="480"/>
        <w:textAlignment w:val="baseline"/>
        <w:rPr>
          <w:rFonts w:hint="eastAsia" w:ascii="仿宋" w:hAnsi="仿宋" w:eastAsia="仿宋" w:cs="仿宋"/>
          <w:b/>
          <w:snapToGrid w:val="0"/>
          <w:color w:val="000000"/>
          <w:sz w:val="24"/>
          <w:szCs w:val="21"/>
          <w:highlight w:val="none"/>
        </w:rPr>
      </w:pPr>
      <w:r>
        <w:rPr>
          <w:rFonts w:hint="eastAsia" w:ascii="仿宋" w:hAnsi="仿宋" w:eastAsia="仿宋" w:cs="仿宋"/>
          <w:b/>
          <w:snapToGrid w:val="0"/>
          <w:color w:val="000000"/>
          <w:sz w:val="24"/>
          <w:szCs w:val="21"/>
          <w:highlight w:val="none"/>
        </w:rPr>
        <w:t>12.7</w:t>
      </w:r>
      <w:r>
        <w:rPr>
          <w:rFonts w:hint="eastAsia" w:ascii="仿宋" w:hAnsi="仿宋" w:eastAsia="仿宋" w:cs="仿宋"/>
          <w:snapToGrid w:val="0"/>
          <w:color w:val="000000"/>
          <w:sz w:val="24"/>
          <w:szCs w:val="21"/>
          <w:highlight w:val="none"/>
        </w:rPr>
        <w:t>本合同未尽事宜，双方可签订补充协议，有关协议及双方认可的来往邮件、传真、会议纪要等，均为本合同组成部分，与本合同具有同等法律效力。</w:t>
      </w:r>
    </w:p>
    <w:p w14:paraId="4FBF5A08">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12.8</w:t>
      </w:r>
      <w:r>
        <w:rPr>
          <w:rFonts w:hint="eastAsia" w:ascii="仿宋" w:hAnsi="仿宋" w:eastAsia="仿宋" w:cs="仿宋"/>
          <w:snapToGrid w:val="0"/>
          <w:color w:val="000000"/>
          <w:sz w:val="24"/>
          <w:szCs w:val="21"/>
          <w:highlight w:val="none"/>
        </w:rPr>
        <w:t>甲方要求乙方开具的发票类型：</w:t>
      </w:r>
      <w:r>
        <w:rPr>
          <w:rFonts w:hint="eastAsia" w:ascii="仿宋" w:hAnsi="仿宋" w:eastAsia="仿宋" w:cs="仿宋"/>
          <w:snapToGrid w:val="0"/>
          <w:color w:val="000000"/>
          <w:sz w:val="24"/>
          <w:szCs w:val="21"/>
          <w:highlight w:val="none"/>
          <w:u w:val="single"/>
        </w:rPr>
        <w:t xml:space="preserve">  增值税普通发票   </w:t>
      </w:r>
    </w:p>
    <w:p w14:paraId="253E0BE1">
      <w:pPr>
        <w:widowControl/>
        <w:kinsoku w:val="0"/>
        <w:adjustRightInd w:val="0"/>
        <w:snapToGrid w:val="0"/>
        <w:spacing w:line="360" w:lineRule="auto"/>
        <w:ind w:left="480"/>
        <w:textAlignment w:val="baseline"/>
        <w:rPr>
          <w:rFonts w:hint="eastAsia" w:ascii="仿宋" w:hAnsi="仿宋" w:eastAsia="仿宋" w:cs="仿宋"/>
          <w:snapToGrid w:val="0"/>
          <w:color w:val="FF0000"/>
          <w:szCs w:val="21"/>
          <w:highlight w:val="none"/>
        </w:rPr>
      </w:pPr>
      <w:r>
        <w:rPr>
          <w:rFonts w:hint="eastAsia" w:ascii="仿宋" w:hAnsi="仿宋" w:eastAsia="仿宋" w:cs="仿宋"/>
          <w:b/>
          <w:snapToGrid w:val="0"/>
          <w:color w:val="000000"/>
          <w:sz w:val="24"/>
          <w:szCs w:val="21"/>
          <w:highlight w:val="none"/>
        </w:rPr>
        <w:t>12.9</w:t>
      </w:r>
      <w:r>
        <w:rPr>
          <w:rFonts w:hint="eastAsia" w:ascii="仿宋" w:hAnsi="仿宋" w:eastAsia="仿宋" w:cs="仿宋"/>
          <w:snapToGrid w:val="0"/>
          <w:color w:val="000000"/>
          <w:sz w:val="24"/>
          <w:szCs w:val="21"/>
          <w:highlight w:val="none"/>
        </w:rPr>
        <w:t>合同有效期自合同生效之日起至</w:t>
      </w:r>
      <w:r>
        <w:rPr>
          <w:rFonts w:hint="eastAsia" w:ascii="仿宋" w:hAnsi="仿宋" w:eastAsia="仿宋" w:cs="仿宋"/>
          <w:snapToGrid w:val="0"/>
          <w:color w:val="000000"/>
          <w:szCs w:val="21"/>
          <w:highlight w:val="none"/>
        </w:rPr>
        <w:t xml:space="preserve"> </w:t>
      </w:r>
      <w:r>
        <w:rPr>
          <w:rFonts w:hint="eastAsia" w:ascii="仿宋" w:hAnsi="仿宋" w:eastAsia="仿宋" w:cs="仿宋"/>
          <w:snapToGrid w:val="0"/>
          <w:color w:val="000000"/>
          <w:szCs w:val="21"/>
          <w:highlight w:val="none"/>
          <w:lang w:val="en-US" w:eastAsia="zh-CN"/>
        </w:rPr>
        <w:t xml:space="preserve">  </w:t>
      </w:r>
      <w:r>
        <w:rPr>
          <w:rFonts w:hint="eastAsia" w:ascii="仿宋" w:hAnsi="仿宋" w:eastAsia="仿宋" w:cs="仿宋"/>
          <w:snapToGrid w:val="0"/>
          <w:color w:val="000000"/>
          <w:szCs w:val="21"/>
          <w:highlight w:val="none"/>
        </w:rPr>
        <w:t xml:space="preserve">  年 </w:t>
      </w:r>
      <w:r>
        <w:rPr>
          <w:rFonts w:hint="eastAsia" w:ascii="仿宋" w:hAnsi="仿宋" w:eastAsia="仿宋" w:cs="仿宋"/>
          <w:snapToGrid w:val="0"/>
          <w:color w:val="000000"/>
          <w:szCs w:val="21"/>
          <w:highlight w:val="none"/>
          <w:lang w:val="en-US" w:eastAsia="zh-CN"/>
        </w:rPr>
        <w:t xml:space="preserve">  </w:t>
      </w:r>
      <w:r>
        <w:rPr>
          <w:rFonts w:hint="eastAsia" w:ascii="仿宋" w:hAnsi="仿宋" w:eastAsia="仿宋" w:cs="仿宋"/>
          <w:snapToGrid w:val="0"/>
          <w:color w:val="000000"/>
          <w:szCs w:val="21"/>
          <w:highlight w:val="none"/>
        </w:rPr>
        <w:t>月</w:t>
      </w:r>
      <w:r>
        <w:rPr>
          <w:rFonts w:hint="eastAsia" w:ascii="仿宋" w:hAnsi="仿宋" w:eastAsia="仿宋" w:cs="仿宋"/>
          <w:snapToGrid w:val="0"/>
          <w:color w:val="000000"/>
          <w:szCs w:val="21"/>
          <w:highlight w:val="none"/>
          <w:lang w:val="en-US" w:eastAsia="zh-CN"/>
        </w:rPr>
        <w:t xml:space="preserve">   </w:t>
      </w:r>
      <w:r>
        <w:rPr>
          <w:rFonts w:hint="eastAsia" w:ascii="仿宋" w:hAnsi="仿宋" w:eastAsia="仿宋" w:cs="仿宋"/>
          <w:snapToGrid w:val="0"/>
          <w:color w:val="000000"/>
          <w:szCs w:val="21"/>
          <w:highlight w:val="none"/>
        </w:rPr>
        <w:t>日。</w:t>
      </w:r>
    </w:p>
    <w:p w14:paraId="30A00276">
      <w:pPr>
        <w:widowControl/>
        <w:kinsoku w:val="0"/>
        <w:adjustRightInd w:val="0"/>
        <w:snapToGrid w:val="0"/>
        <w:spacing w:line="360" w:lineRule="auto"/>
        <w:ind w:left="480"/>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b/>
          <w:snapToGrid w:val="0"/>
          <w:color w:val="000000"/>
          <w:sz w:val="24"/>
          <w:szCs w:val="21"/>
          <w:highlight w:val="none"/>
        </w:rPr>
        <w:t>12.10</w:t>
      </w:r>
      <w:r>
        <w:rPr>
          <w:rFonts w:hint="eastAsia" w:ascii="仿宋" w:hAnsi="仿宋" w:eastAsia="仿宋" w:cs="仿宋"/>
          <w:snapToGrid w:val="0"/>
          <w:color w:val="000000"/>
          <w:sz w:val="24"/>
          <w:szCs w:val="21"/>
          <w:highlight w:val="none"/>
        </w:rPr>
        <w:t>其它约定事项：无。</w:t>
      </w:r>
    </w:p>
    <w:p w14:paraId="4535AD2F">
      <w:pPr>
        <w:pStyle w:val="2"/>
        <w:rPr>
          <w:rFonts w:hint="eastAsia" w:ascii="仿宋" w:hAnsi="仿宋" w:eastAsia="仿宋" w:cs="仿宋"/>
          <w:snapToGrid w:val="0"/>
          <w:color w:val="000000"/>
          <w:sz w:val="24"/>
          <w:szCs w:val="21"/>
          <w:highlight w:val="none"/>
        </w:rPr>
      </w:pPr>
    </w:p>
    <w:p w14:paraId="0985EF18">
      <w:pPr>
        <w:rPr>
          <w:rFonts w:hint="eastAsia" w:ascii="仿宋" w:hAnsi="仿宋" w:eastAsia="仿宋" w:cs="仿宋"/>
          <w:snapToGrid w:val="0"/>
          <w:color w:val="000000"/>
          <w:sz w:val="24"/>
          <w:szCs w:val="21"/>
          <w:highlight w:val="none"/>
        </w:rPr>
      </w:pPr>
    </w:p>
    <w:p w14:paraId="06A55766">
      <w:pPr>
        <w:pStyle w:val="2"/>
        <w:rPr>
          <w:rFonts w:hint="eastAsia"/>
        </w:rPr>
      </w:pPr>
    </w:p>
    <w:p w14:paraId="4FAE8EB9">
      <w:pPr>
        <w:spacing w:line="360" w:lineRule="auto"/>
        <w:jc w:val="both"/>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（以下无正文）</w:t>
      </w:r>
    </w:p>
    <w:p w14:paraId="33471239">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p>
    <w:p w14:paraId="217A9986">
      <w:pPr>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br w:type="page"/>
      </w:r>
    </w:p>
    <w:p w14:paraId="1FEA84B0">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甲方名称：（盖章）</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乙方名称：（盖章）</w:t>
      </w:r>
    </w:p>
    <w:p w14:paraId="185F2028">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lang w:val="en-US" w:eastAsia="zh-CN"/>
        </w:rPr>
      </w:pPr>
      <w:r>
        <w:rPr>
          <w:rFonts w:hint="eastAsia" w:ascii="仿宋" w:hAnsi="仿宋" w:eastAsia="仿宋" w:cs="仿宋"/>
          <w:snapToGrid w:val="0"/>
          <w:color w:val="000000"/>
          <w:sz w:val="24"/>
          <w:szCs w:val="21"/>
          <w:highlight w:val="none"/>
          <w:lang w:val="en-US" w:eastAsia="zh-CN"/>
        </w:rPr>
        <w:t xml:space="preserve">                                 </w:t>
      </w:r>
    </w:p>
    <w:p w14:paraId="6AA8820B">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p>
    <w:p w14:paraId="003894B9">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法定代表人/委托代理人：（签字）</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法定代表人/委托代理人：（签字）</w:t>
      </w:r>
    </w:p>
    <w:p w14:paraId="53BD037D">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p>
    <w:p w14:paraId="1C9E93F7">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p>
    <w:p w14:paraId="681B3D83">
      <w:pPr>
        <w:widowControl/>
        <w:kinsoku w:val="0"/>
        <w:adjustRightInd w:val="0"/>
        <w:snapToGrid w:val="0"/>
        <w:spacing w:line="360" w:lineRule="auto"/>
        <w:jc w:val="left"/>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 xml:space="preserve">住所： </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住所：</w:t>
      </w:r>
    </w:p>
    <w:p w14:paraId="718E6254">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联系邮箱：</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联系邮箱：</w:t>
      </w:r>
    </w:p>
    <w:p w14:paraId="6C31983E">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lang w:eastAsia="zh-CN"/>
        </w:rPr>
      </w:pPr>
      <w:r>
        <w:rPr>
          <w:rFonts w:hint="eastAsia" w:ascii="仿宋" w:hAnsi="仿宋" w:eastAsia="仿宋" w:cs="仿宋"/>
          <w:snapToGrid w:val="0"/>
          <w:color w:val="000000"/>
          <w:sz w:val="24"/>
          <w:szCs w:val="21"/>
          <w:highlight w:val="none"/>
        </w:rPr>
        <w:t>邮政编码：</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邮政编码：</w:t>
      </w:r>
      <w:r>
        <w:rPr>
          <w:rFonts w:hint="eastAsia" w:ascii="仿宋" w:hAnsi="仿宋" w:eastAsia="仿宋" w:cs="仿宋"/>
          <w:snapToGrid w:val="0"/>
          <w:color w:val="000000"/>
          <w:sz w:val="24"/>
          <w:szCs w:val="21"/>
          <w:highlight w:val="none"/>
          <w:lang w:val="en-US" w:eastAsia="zh-CN"/>
        </w:rPr>
        <w:t xml:space="preserve"> </w:t>
      </w:r>
    </w:p>
    <w:p w14:paraId="108A4867">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lang w:eastAsia="zh-CN"/>
        </w:rPr>
      </w:pPr>
      <w:r>
        <w:rPr>
          <w:rFonts w:hint="eastAsia" w:ascii="仿宋" w:hAnsi="仿宋" w:eastAsia="仿宋" w:cs="仿宋"/>
          <w:snapToGrid w:val="0"/>
          <w:color w:val="000000"/>
          <w:sz w:val="24"/>
          <w:szCs w:val="21"/>
          <w:highlight w:val="none"/>
        </w:rPr>
        <w:t xml:space="preserve">电话： </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电话：</w:t>
      </w:r>
      <w:r>
        <w:rPr>
          <w:rFonts w:hint="eastAsia" w:ascii="仿宋" w:hAnsi="仿宋" w:eastAsia="仿宋" w:cs="仿宋"/>
          <w:snapToGrid w:val="0"/>
          <w:color w:val="000000"/>
          <w:sz w:val="24"/>
          <w:szCs w:val="21"/>
          <w:highlight w:val="none"/>
          <w:lang w:val="en-US" w:eastAsia="zh-CN"/>
        </w:rPr>
        <w:t xml:space="preserve"> </w:t>
      </w:r>
    </w:p>
    <w:p w14:paraId="476ECDC6">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lang w:eastAsia="zh-CN"/>
        </w:rPr>
      </w:pPr>
      <w:r>
        <w:rPr>
          <w:rFonts w:hint="eastAsia" w:ascii="仿宋" w:hAnsi="仿宋" w:eastAsia="仿宋" w:cs="仿宋"/>
          <w:snapToGrid w:val="0"/>
          <w:color w:val="000000"/>
          <w:sz w:val="24"/>
          <w:szCs w:val="21"/>
          <w:highlight w:val="none"/>
        </w:rPr>
        <w:t xml:space="preserve">传真： </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传真：</w:t>
      </w:r>
      <w:r>
        <w:rPr>
          <w:rFonts w:hint="eastAsia" w:ascii="仿宋" w:hAnsi="仿宋" w:eastAsia="仿宋" w:cs="仿宋"/>
          <w:snapToGrid w:val="0"/>
          <w:color w:val="000000"/>
          <w:sz w:val="24"/>
          <w:szCs w:val="21"/>
          <w:highlight w:val="none"/>
          <w:lang w:val="en-US" w:eastAsia="zh-CN"/>
        </w:rPr>
        <w:t xml:space="preserve"> </w:t>
      </w:r>
    </w:p>
    <w:p w14:paraId="546EEA22">
      <w:pPr>
        <w:widowControl/>
        <w:kinsoku w:val="0"/>
        <w:adjustRightInd w:val="0"/>
        <w:snapToGrid w:val="0"/>
        <w:spacing w:line="360" w:lineRule="auto"/>
        <w:textAlignment w:val="baseline"/>
        <w:rPr>
          <w:rFonts w:hint="eastAsia" w:ascii="仿宋" w:hAnsi="仿宋" w:eastAsia="仿宋" w:cs="仿宋"/>
          <w:snapToGrid w:val="0"/>
          <w:color w:val="000000"/>
          <w:sz w:val="24"/>
          <w:szCs w:val="21"/>
          <w:highlight w:val="none"/>
        </w:rPr>
      </w:pPr>
      <w:r>
        <w:rPr>
          <w:rFonts w:hint="eastAsia" w:ascii="仿宋" w:hAnsi="仿宋" w:eastAsia="仿宋" w:cs="仿宋"/>
          <w:snapToGrid w:val="0"/>
          <w:color w:val="000000"/>
          <w:sz w:val="24"/>
          <w:szCs w:val="21"/>
          <w:highlight w:val="none"/>
        </w:rPr>
        <w:t>开户银行：</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开户银行：</w:t>
      </w:r>
    </w:p>
    <w:p w14:paraId="206E39BF">
      <w:r>
        <w:rPr>
          <w:rFonts w:hint="eastAsia" w:ascii="仿宋" w:hAnsi="仿宋" w:eastAsia="仿宋" w:cs="仿宋"/>
          <w:snapToGrid w:val="0"/>
          <w:color w:val="000000"/>
          <w:sz w:val="24"/>
          <w:szCs w:val="21"/>
          <w:highlight w:val="none"/>
        </w:rPr>
        <w:t>银行账号：</w:t>
      </w:r>
      <w:r>
        <w:rPr>
          <w:rFonts w:hint="eastAsia" w:ascii="仿宋" w:hAnsi="仿宋" w:eastAsia="仿宋" w:cs="仿宋"/>
          <w:snapToGrid w:val="0"/>
          <w:color w:val="000000"/>
          <w:sz w:val="24"/>
          <w:szCs w:val="21"/>
          <w:highlight w:val="none"/>
          <w:lang w:val="en-US"/>
        </w:rPr>
        <w:t xml:space="preserve">                         </w:t>
      </w:r>
      <w:r>
        <w:rPr>
          <w:rFonts w:hint="eastAsia" w:ascii="仿宋" w:hAnsi="仿宋" w:eastAsia="仿宋" w:cs="仿宋"/>
          <w:snapToGrid w:val="0"/>
          <w:color w:val="000000"/>
          <w:sz w:val="24"/>
          <w:szCs w:val="21"/>
          <w:highlight w:val="none"/>
        </w:rPr>
        <w:t>银行账号：</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1538F">
    <w:pPr>
      <w:pStyle w:val="5"/>
      <w:tabs>
        <w:tab w:val="left" w:pos="9072"/>
        <w:tab w:val="right" w:pos="9639"/>
        <w:tab w:val="clear" w:pos="8306"/>
      </w:tabs>
      <w:jc w:val="right"/>
    </w:pPr>
    <w:r>
      <w:rPr>
        <w:rFonts w:hint="eastAsia" w:ascii="黑体" w:hAnsi="黑体" w:eastAsia="黑体"/>
        <w:b/>
        <w:sz w:val="32"/>
        <w:szCs w:val="32"/>
        <w:lang w:val="en-US" w:eastAsia="zh-CN"/>
      </w:rPr>
      <w:t xml:space="preserve"> </w:t>
    </w:r>
    <w:r>
      <w:rPr>
        <w:rFonts w:hint="eastAsia" w:ascii="黑体" w:hAnsi="黑体" w:eastAsia="黑体"/>
        <w:b/>
        <w:sz w:val="32"/>
        <w:szCs w:val="3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47053"/>
    <w:rsid w:val="39947053"/>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style>
  <w:style w:type="paragraph" w:styleId="4">
    <w:name w:val="index 6"/>
    <w:basedOn w:val="1"/>
    <w:next w:val="1"/>
    <w:qFormat/>
    <w:uiPriority w:val="99"/>
    <w:pPr>
      <w:ind w:left="2100"/>
    </w:p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仿宋正文"/>
    <w:basedOn w:val="1"/>
    <w:qFormat/>
    <w:uiPriority w:val="0"/>
    <w:rPr>
      <w:rFonts w:eastAsia="仿宋" w:asciiTheme="minorAscii" w:hAnsiTheme="minorAscii"/>
      <w:sz w:val="30"/>
    </w:rPr>
  </w:style>
  <w:style w:type="paragraph" w:customStyle="1" w:styleId="9">
    <w:name w:val="宋体正文"/>
    <w:basedOn w:val="1"/>
    <w:uiPriority w:val="0"/>
    <w:rPr>
      <w:rFonts w:asciiTheme="minorAscii" w:hAnsiTheme="minorAscii"/>
      <w:sz w:val="28"/>
    </w:rPr>
  </w:style>
  <w:style w:type="paragraph" w:customStyle="1" w:styleId="10">
    <w:name w:val="正文缩进1"/>
    <w:basedOn w:val="1"/>
    <w:autoRedefine/>
    <w:qFormat/>
    <w:uiPriority w:val="0"/>
    <w:pPr>
      <w:spacing w:line="360" w:lineRule="auto"/>
      <w:ind w:firstLine="200" w:firstLineChars="200"/>
      <w:jc w:val="left"/>
    </w:pPr>
    <w:rPr>
      <w:rFonts w:ascii="宋体" w:hAnsi="宋体"/>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2026-06-22T09:21:00Z</dcterms:created>
  <dc:creator>NANO259</dc:creator>
  <cp:lastModifiedBy>NANO259</cp:lastModifiedBy>
  <dcterms:modified xsi:type="dcterms:W3CDTF">2026-06-22T09:22:22Z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6CC1A805740343ECA56ED5FE7A7D85B1_11</vt:lpwstr>
  </property>
  <property fmtid="{D5CDD505-2E9C-101B-9397-08002B2CF9AE}" pid="4" name="KSOTemplateDocerSaveRecord">
    <vt:lpwstr>eyJoZGlkIjoiOTNlODE0YjMzMDE0OTA1NTUxYzk0ODBhOTU4NGEwMWYiLCJ1c2VySWQiOiIxMjI2NDQzMzM3In0=</vt:lpwstr>
  </property>
</Properties>
</file>