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版本号：ZMZB2026KFDX-29120260721001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含光校区消防整改（重点）项目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ZMZB2026KFDX-291</w:t>
      </w:r>
      <w:r>
        <w:br/>
      </w:r>
      <w:r>
        <w:br/>
      </w:r>
      <w:r>
        <w:br/>
      </w:r>
    </w:p>
    <w:p>
      <w:pPr>
        <w:pStyle w:val="null3"/>
        <w:jc w:val="center"/>
        <w:outlineLvl w:val="2"/>
      </w:pPr>
      <w:r>
        <w:rPr>
          <w:rFonts w:ascii="仿宋_GB2312" w:hAnsi="仿宋_GB2312" w:cs="仿宋_GB2312" w:eastAsia="仿宋_GB2312"/>
          <w:sz w:val="28"/>
          <w:b/>
        </w:rPr>
        <w:t>陕西开放大学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陕西开放大学</w:t>
      </w:r>
      <w:r>
        <w:rPr>
          <w:rFonts w:ascii="仿宋_GB2312" w:hAnsi="仿宋_GB2312" w:cs="仿宋_GB2312" w:eastAsia="仿宋_GB2312"/>
        </w:rPr>
        <w:t>委托，拟对</w:t>
      </w:r>
      <w:r>
        <w:rPr>
          <w:rFonts w:ascii="仿宋_GB2312" w:hAnsi="仿宋_GB2312" w:cs="仿宋_GB2312" w:eastAsia="仿宋_GB2312"/>
        </w:rPr>
        <w:t>含光校区消防整改（重点）项目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ZMZB2026KFDX-291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含光校区消防整改（重点）项目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含光校区消防整改（重点）项目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采购包1（含光校区消防整改（重点）项目）：属于专门面向中小企业采购。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提供2025年度经审计的财务报告（包括“三表一注”，即资产负债表、利润表、现金流量表及附注，成立时间至提交响应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4、税收缴纳证明：提供2025年6月（含6月）以来任意时间段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5、社会保障资金缴纳证明：提供2025年6月（含6月）以来任意时间段的社会保障资金缴存单据或社保机构开具的社会保险参保缴费情况证明。依法不需要缴纳社会保障资金的供应商应提供相关文件证明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6、没有重大违法记录的书面声明：参加政府采购活动前3年内在经营活动中没有重大违法记录的书面声明</w:t>
      </w:r>
    </w:p>
    <w:p>
      <w:pPr>
        <w:pStyle w:val="null3"/>
      </w:pPr>
      <w:r>
        <w:rPr>
          <w:rFonts w:ascii="仿宋_GB2312" w:hAnsi="仿宋_GB2312" w:cs="仿宋_GB2312" w:eastAsia="仿宋_GB2312"/>
        </w:rPr>
        <w:t>7、法定代表人委托授权书：非法定代表人参加磋商的，须提供法定代表人委托授权书及被授权人身份证，法定代表人参加磋商时,只须提供法定代表人身份证</w:t>
      </w:r>
    </w:p>
    <w:p>
      <w:pPr>
        <w:pStyle w:val="null3"/>
      </w:pPr>
      <w:r>
        <w:rPr>
          <w:rFonts w:ascii="仿宋_GB2312" w:hAnsi="仿宋_GB2312" w:cs="仿宋_GB2312" w:eastAsia="仿宋_GB2312"/>
        </w:rPr>
        <w:t>8、相关资质：具备消防设施工程专业承包二级及以上资质及有效的安全生产许可证</w:t>
      </w:r>
    </w:p>
    <w:p>
      <w:pPr>
        <w:pStyle w:val="null3"/>
      </w:pPr>
      <w:r>
        <w:rPr>
          <w:rFonts w:ascii="仿宋_GB2312" w:hAnsi="仿宋_GB2312" w:cs="仿宋_GB2312" w:eastAsia="仿宋_GB2312"/>
        </w:rPr>
        <w:t>9、项目经理：拟投入的项目经理须提供在本单位注册的机电工程专业贰级（含贰级）以上注册建造师证书及有效的安全生产考核合格证且无在建（提供承诺函）</w:t>
      </w:r>
    </w:p>
    <w:p>
      <w:pPr>
        <w:pStyle w:val="null3"/>
      </w:pPr>
      <w:r>
        <w:rPr>
          <w:rFonts w:ascii="仿宋_GB2312" w:hAnsi="仿宋_GB2312" w:cs="仿宋_GB2312" w:eastAsia="仿宋_GB2312"/>
        </w:rPr>
        <w:t>10、供应商及供应商拟派项目经理须在“全国建筑市场监管公共服务平台https://jzsc.mohurd.gov.cn/home）”可查询：供应商及供应商拟派项目经理须在“全国建筑市场监管公共服务平台https://jzsc.mohurd.gov.cn/home）”可查询：供应商及供应商拟派项目经理须在“全国建筑市场监管公共服务平台https://jzsc.mohurd.gov.cn/home）”可查询：供应商及供应商拟派项目经理须在“全国建筑市场监管公共服务平台</w:t>
      </w:r>
    </w:p>
    <w:p>
      <w:pPr>
        <w:pStyle w:val="null3"/>
      </w:pPr>
      <w:r>
        <w:rPr>
          <w:rFonts w:ascii="仿宋_GB2312" w:hAnsi="仿宋_GB2312" w:cs="仿宋_GB2312" w:eastAsia="仿宋_GB2312"/>
        </w:rPr>
        <w:t>11、非联合体磋商：本项目不接受联合体磋商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陕西开放大学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陕西省西安市长安区郭杜北街 41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任老师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029-81896973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米文佳、侯倩雨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17778966063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说明：履约保证金基本要求：供应商成交后凭成交通知书向采购人缴纳成交金额的5%作为履约保证金，待合同履约完毕后无息退还。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代理服务费收费标准：参照国家计委颁布的《招标代理服务收费管理暂行办法》（计价格〔2002〕1980号）和发改办价格〔2003〕857号文件等法律法规规定的计价标准收取（含税）。 供应商将招标代理服务费计入响应报价但不单独列明，成交单位在领取成交通知书前，须向采购代理机构一次性支付招标代理服务费；代理服务费以转账、电汇或现金等形式交纳。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踏勘时间：2026-07-29 09:30:00</w:t>
            </w:r>
          </w:p>
          <w:p>
            <w:pPr>
              <w:pStyle w:val="null3"/>
              <w:ind w:firstLine="975"/>
            </w:pPr>
            <w:r>
              <w:rPr>
                <w:rFonts w:ascii="仿宋_GB2312" w:hAnsi="仿宋_GB2312" w:cs="仿宋_GB2312" w:eastAsia="仿宋_GB2312"/>
              </w:rPr>
              <w:t>踏勘地点：陕西开放大学含光校区</w:t>
            </w:r>
          </w:p>
          <w:p>
            <w:pPr>
              <w:pStyle w:val="null3"/>
              <w:ind w:firstLine="975"/>
            </w:pPr>
            <w:r>
              <w:rPr>
                <w:rFonts w:ascii="仿宋_GB2312" w:hAnsi="仿宋_GB2312" w:cs="仿宋_GB2312" w:eastAsia="仿宋_GB2312"/>
              </w:rPr>
              <w:t>联系人：米文佳 侯倩雨</w:t>
            </w:r>
          </w:p>
          <w:p>
            <w:pPr>
              <w:pStyle w:val="null3"/>
              <w:ind w:firstLine="975"/>
            </w:pPr>
            <w:r>
              <w:rPr>
                <w:rFonts w:ascii="仿宋_GB2312" w:hAnsi="仿宋_GB2312" w:cs="仿宋_GB2312" w:eastAsia="仿宋_GB2312"/>
              </w:rPr>
              <w:t>联系电话号码：17778966063</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陕西开放大学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陕西开放大学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陕西开放大学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按采购文件、投标文件及合同约定执行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联系人：米文佳</w:t>
      </w:r>
    </w:p>
    <w:p>
      <w:pPr>
        <w:pStyle w:val="null3"/>
      </w:pPr>
      <w:r>
        <w:rPr>
          <w:rFonts w:ascii="仿宋_GB2312" w:hAnsi="仿宋_GB2312" w:cs="仿宋_GB2312" w:eastAsia="仿宋_GB2312"/>
        </w:rPr>
        <w:t>联系电话：17778966063</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803,332.70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含光校区消防整改</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900,000.00</w:t>
            </w:r>
          </w:p>
        </w:tc>
        <w:tc>
          <w:tcPr>
            <w:tcW w:type="dxa" w:w="1384"/>
          </w:tcPr>
          <w:p>
            <w:pPr>
              <w:pStyle w:val="null3"/>
            </w:pPr>
            <w:r>
              <w:rPr>
                <w:rFonts w:ascii="仿宋_GB2312" w:hAnsi="仿宋_GB2312" w:cs="仿宋_GB2312" w:eastAsia="仿宋_GB2312"/>
              </w:rPr>
              <w:t>批次</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标的名称：含光校区消防整改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主要施工内容包括</w:t>
            </w:r>
            <w:r>
              <w:rPr>
                <w:rFonts w:ascii="仿宋_GB2312" w:hAnsi="仿宋_GB2312" w:cs="仿宋_GB2312" w:eastAsia="仿宋_GB2312"/>
                <w:sz w:val="24"/>
              </w:rPr>
              <w:t>:建设约252立方米消防水池，设置消防水泵房并安装水泵4台，整改消火栓系统等消防给水系统;整改消防系统供电等消防供电系统;整改防火分隔及排烟系统隐患;整改封闭楼梯间设置等安全疏散系统隐患;设置消防控制室</w:t>
            </w:r>
            <w:r>
              <w:rPr>
                <w:rFonts w:ascii="仿宋_GB2312" w:hAnsi="仿宋_GB2312" w:cs="仿宋_GB2312" w:eastAsia="仿宋_GB2312"/>
                <w:sz w:val="24"/>
              </w:rPr>
              <w:t>，</w:t>
            </w:r>
            <w:r>
              <w:rPr>
                <w:rFonts w:ascii="仿宋_GB2312" w:hAnsi="仿宋_GB2312" w:cs="仿宋_GB2312" w:eastAsia="仿宋_GB2312"/>
                <w:sz w:val="24"/>
              </w:rPr>
              <w:t>具体详见本采购包工程量清单。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符合本工程磋商文件技术要求及国家、行业强制性标准，达到合格</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一、商务要求 1、工期：合同签订之日起 60 日历天（含节假日、交叉施工、验收时间）。 2、质保期：两年。 3、施工地点：陕西开放大学含光校区； 4.付款方式：本项目合同签订后，项目开工且施工所需物资到达现场后 30 日内，支付合同总金额 30%(含安全文明措施费）；工程完工，依据验收方案，发包人组织验收，合格后 30 日内，支付合同总金额 40%；项目结算审计后 30 日内，支付至结算审计总金额的 100%。（本项目据实结算） 二、其他要求 1.保证金以电子保函形式递交需在开标前给shanxizhuoming_zb@163.com发一份扫描件。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2025年度经审计的财务报告（包括“三表一注”，即资产负债表、利润表、现金流量表及附注，成立时间至提交响应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提供2025年6月（含6月）以来任意时间段的依法缴纳税收的相关凭据（时间以税款所属时期为准），凭据应有税务机关或代收机关的公章或业务专用章。依法免税或无须缴纳税收的供应商应提供相应证明文件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提供2025年6月（含6月）以来任意时间段的社会保障资金缴存单据或社保机构开具的社会保险参保缴费情况证明。依法不需要缴纳社会保障资金的供应商应提供相关文件证明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非法定代表人参加磋商的，须提供法定代表人委托授权书及被授权人身份证，法定代表人参加磋商时,只须提供法定代表人身份证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相关资质</w:t>
            </w:r>
          </w:p>
        </w:tc>
        <w:tc>
          <w:tcPr>
            <w:tcW w:type="dxa" w:w="3322"/>
          </w:tcPr>
          <w:p>
            <w:pPr>
              <w:pStyle w:val="null3"/>
            </w:pPr>
            <w:r>
              <w:rPr>
                <w:rFonts w:ascii="仿宋_GB2312" w:hAnsi="仿宋_GB2312" w:cs="仿宋_GB2312" w:eastAsia="仿宋_GB2312"/>
              </w:rPr>
              <w:t>具备消防设施工程专业承包二级及以上资质及有效的安全生产许可证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拟投入的项目经理须提供在本单位注册的机电工程专业贰级（含贰级）以上注册建造师证书及有效的安全生产考核合格证且无在建（提供承诺函）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供应商及供应商拟派项目经理须在“全国建筑市场监管公共服务平台https://jzsc.mohurd.gov.cn/home）”可查询：供应商及供应商拟派项目经理须在“全国建筑市场监管公共服务平台https://jzsc.mohurd.gov.cn/home）”可查询</w:t>
            </w:r>
          </w:p>
        </w:tc>
        <w:tc>
          <w:tcPr>
            <w:tcW w:type="dxa" w:w="3322"/>
          </w:tcPr>
          <w:p>
            <w:pPr>
              <w:pStyle w:val="null3"/>
            </w:pPr>
            <w:r>
              <w:rPr>
                <w:rFonts w:ascii="仿宋_GB2312" w:hAnsi="仿宋_GB2312" w:cs="仿宋_GB2312" w:eastAsia="仿宋_GB2312"/>
              </w:rPr>
              <w:t>供应商及供应商拟派项目经理须在“全国建筑市场监管公共服务平台https://jzsc.mohurd.gov.cn/home）”可查询：供应商及供应商拟派项目经理须在“全国建筑市场监管公共服务平台</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投标文件的签署、盖章符合采购文件要求 （合格） 投标文件的签署、盖章不符合采购文件要求 (不合格)</w:t>
            </w:r>
          </w:p>
        </w:tc>
        <w:tc>
          <w:tcPr>
            <w:tcW w:type="dxa" w:w="1661"/>
          </w:tcPr>
          <w:p>
            <w:pPr>
              <w:pStyle w:val="null3"/>
            </w:pPr>
            <w:r>
              <w:rPr>
                <w:rFonts w:ascii="仿宋_GB2312" w:hAnsi="仿宋_GB2312" w:cs="仿宋_GB2312" w:eastAsia="仿宋_GB2312"/>
              </w:rPr>
              <w:t>响应文件封面 已标价工程量清单 中小企业声明函 报价函 技术服务合同条款及其他商务要求应答表 标的清单 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响应报价未超过采购预算或最高限价（合格） 响应报价超过采购预算或最高限价（不合格）</w:t>
            </w:r>
          </w:p>
        </w:tc>
        <w:tc>
          <w:tcPr>
            <w:tcW w:type="dxa" w:w="1661"/>
          </w:tcPr>
          <w:p>
            <w:pPr>
              <w:pStyle w:val="null3"/>
            </w:pPr>
            <w:r>
              <w:rPr>
                <w:rFonts w:ascii="仿宋_GB2312" w:hAnsi="仿宋_GB2312" w:cs="仿宋_GB2312" w:eastAsia="仿宋_GB2312"/>
              </w:rPr>
              <w:t>响应文件封面 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工期满足采购文件要求（合格） 工期不满足采购文件要求（不合格）</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质保期满足采购文件要求（合格） 质保期不满足采购文件要求（不合格）</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响应文件无响应有效期</w:t>
            </w:r>
          </w:p>
        </w:tc>
        <w:tc>
          <w:tcPr>
            <w:tcW w:type="dxa" w:w="3322"/>
          </w:tcPr>
          <w:p>
            <w:pPr>
              <w:pStyle w:val="null3"/>
            </w:pPr>
            <w:r>
              <w:rPr>
                <w:rFonts w:ascii="仿宋_GB2312" w:hAnsi="仿宋_GB2312" w:cs="仿宋_GB2312" w:eastAsia="仿宋_GB2312"/>
              </w:rPr>
              <w:t>响应文件有效期达到竞争性磋商文件要求的（合格） 响应文件无响应有效期或有效期达不到竞争性磋商文件要求的（不合格）</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已标价工程量清单扉页是否(仅指投标总价扉页)加盖有注册或登记的造价人员签字并盖执业印章</w:t>
            </w:r>
          </w:p>
        </w:tc>
        <w:tc>
          <w:tcPr>
            <w:tcW w:type="dxa" w:w="3322"/>
          </w:tcPr>
          <w:p>
            <w:pPr>
              <w:pStyle w:val="null3"/>
            </w:pPr>
            <w:r>
              <w:rPr>
                <w:rFonts w:ascii="仿宋_GB2312" w:hAnsi="仿宋_GB2312" w:cs="仿宋_GB2312" w:eastAsia="仿宋_GB2312"/>
              </w:rPr>
              <w:t>已标价工程量清单扉页(仅指投标总价扉页)已加盖有注册或登记在本单位的造价人员签字并盖执业印章或工程造价咨询企业(提供双方合作协议)的造价人员签字并盖执业印章（合格）；已标价工程量清单扉页(仅指投标总价扉页)未加盖注册或登记在本单位的造价人员签字并盖执业印章或工程造价咨询企业(提供双方合作协议)的造价人员签字并盖执业印章（不合格）</w:t>
            </w:r>
          </w:p>
        </w:tc>
        <w:tc>
          <w:tcPr>
            <w:tcW w:type="dxa" w:w="1661"/>
          </w:tcPr>
          <w:p>
            <w:pPr>
              <w:pStyle w:val="null3"/>
            </w:pPr>
            <w:r>
              <w:rPr>
                <w:rFonts w:ascii="仿宋_GB2312" w:hAnsi="仿宋_GB2312" w:cs="仿宋_GB2312" w:eastAsia="仿宋_GB2312"/>
              </w:rPr>
              <w:t>响应文件封面 已标价工程量清单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工程量</w:t>
            </w:r>
          </w:p>
        </w:tc>
        <w:tc>
          <w:tcPr>
            <w:tcW w:type="dxa" w:w="3322"/>
          </w:tcPr>
          <w:p>
            <w:pPr>
              <w:pStyle w:val="null3"/>
            </w:pPr>
            <w:r>
              <w:rPr>
                <w:rFonts w:ascii="仿宋_GB2312" w:hAnsi="仿宋_GB2312" w:cs="仿宋_GB2312" w:eastAsia="仿宋_GB2312"/>
              </w:rPr>
              <w:t>响应文件未出现工程量漏项或工程量清单与要求不符的（合格） 响应文件出现工程量漏项或工程量清单与要求不符的（不合格）</w:t>
            </w:r>
          </w:p>
        </w:tc>
        <w:tc>
          <w:tcPr>
            <w:tcW w:type="dxa" w:w="1661"/>
          </w:tcPr>
          <w:p>
            <w:pPr>
              <w:pStyle w:val="null3"/>
            </w:pPr>
            <w:r>
              <w:rPr>
                <w:rFonts w:ascii="仿宋_GB2312" w:hAnsi="仿宋_GB2312" w:cs="仿宋_GB2312" w:eastAsia="仿宋_GB2312"/>
              </w:rPr>
              <w:t>响应文件封面 已标价工程量清单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 其他无效 情形(合格)，存在法律、法规和招标文件规定的其他无 效情形(不合格)</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技术服务合同条款及其他商务要求应答表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针对本项目提供完善的施工方案，包括但不限于：①施工方案总体说明；②整体施工方案；③施工方法；④垃圾清运方案；⑤验收方案。 二、评审标准 1、完整性：方案须全面，对评审内容中的各项要求有详细描述； 2、可实施性：切合本项目实际情况，实施步骤清晰、合理； 3、针对性：方案能够紧扣项目实际情况，内容科学合理。 三、赋分依据（满分15分） ①施工方案总体说明：每完全满足一个评审标准得1分，有瑕疵得0.5分，有缺陷得0分，满分3分。 ②整体施工方案：每完全满足一个评审标准得1分，有瑕疵得0.5分，有缺陷得0分，满分3分。 ③施工方法：每完全满足一个评审标准得1分，有瑕疵得0.5分，有缺陷得0分，满分3分。 ④垃圾清运方案：每完全满足一个评审标准得1分，有瑕疵得0.5分，有缺陷得0分，满分3分。 ⑤验收方案：每完全满足一个评审标准得1分，有瑕疵得0.5分，有缺陷得0分，满分3分。 注：瑕疵是指存在不完全满足评分标准，但项目仍可实施；缺陷是指不满足评分标准，严重影响项目实施。</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施工进度安排及工期保障措</w:t>
            </w:r>
          </w:p>
        </w:tc>
        <w:tc>
          <w:tcPr>
            <w:tcW w:type="dxa" w:w="2492"/>
          </w:tcPr>
          <w:p>
            <w:pPr>
              <w:pStyle w:val="null3"/>
            </w:pPr>
            <w:r>
              <w:rPr>
                <w:rFonts w:ascii="仿宋_GB2312" w:hAnsi="仿宋_GB2312" w:cs="仿宋_GB2312" w:eastAsia="仿宋_GB2312"/>
              </w:rPr>
              <w:t>一、评审内容 针对本项目提供完善的施工进度安排及工期保障措施，包括但不限于：①进度安排、分析关键节点；②确保进度、保证工期的的技术组织措施（包括施工进度表或施工网络图）。 二、评审标准 1、完整性：方案须全面，对评审内容中的各项要求有详细描述； 2、可实施性：切合本项目实际情况，实施步骤清晰、合理； 3、针对性：方案能够紧扣项目实际情况，内容科学合理。 三、赋分依据（满分6分） ①进度安排、分析关键节点：每完全满足一个评审标准得1分，有瑕疵得0.5分，有缺陷得0分，满分3分。 ②确保进度、保证工期的的技术组织措施（包括施工进度表或施工网络图）：每完全满足一个评审标准得1分，有瑕疵得0.5分，有缺陷得0分，满分3分。 注：瑕疵是指存在不完全满足评分标准，但项目仍可实施；缺陷是指不满足评分标准，严重影响项目实施。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施工进度安排及工期保障措施.docx</w:t>
            </w:r>
          </w:p>
        </w:tc>
      </w:tr>
      <w:tr>
        <w:tc>
          <w:tcPr>
            <w:tcW w:type="dxa" w:w="831"/>
            <w:vMerge/>
          </w:tcP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一、评审内容 针对本项目提供完善的施工质量保证措施，包括但不限于：①质量保证承诺及保证措施；②总体质量控制目标及分阶段施工的重点难点分析；③施工检测及工序方案。 二、评审标准 1、完整性：方案须全面，对评审内容中的各项要求有详细描述； 2、可实施性：切合本项目实际情况，实施步骤清晰、合理； 3、针对性：方案能够紧扣项目实际情况，内容科学合理。 三、赋分依据（满分9分） ①质量保证承诺及保证措施：每完全满足一个评审标准得1分，有瑕疵得0.5分，有缺陷得0分，满分3分。 ②总体质量控制目标及分阶段施工的重点难点分析：每完全满足一个评审标准得1分，有瑕疵得0.5分，有缺陷得0分，满分3分。 ③施工检测及工序方案：每完全满足一个评审标准得1分，有瑕疵得0.5分，有缺陷得0分，满分3分。 注：瑕疵是指存在不完全满足评分标准，但项目仍可实施；缺陷是指不满足评分标准，严重影响项目实施。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施工质量保证措施.docx</w:t>
            </w:r>
          </w:p>
        </w:tc>
      </w:tr>
      <w:tr>
        <w:tc>
          <w:tcPr>
            <w:tcW w:type="dxa" w:w="831"/>
            <w:vMerge/>
          </w:tcPr>
          <w:p/>
        </w:tc>
        <w:tc>
          <w:tcPr>
            <w:tcW w:type="dxa" w:w="1661"/>
          </w:tcPr>
          <w:p>
            <w:pPr>
              <w:pStyle w:val="null3"/>
            </w:pPr>
            <w:r>
              <w:rPr>
                <w:rFonts w:ascii="仿宋_GB2312" w:hAnsi="仿宋_GB2312" w:cs="仿宋_GB2312" w:eastAsia="仿宋_GB2312"/>
              </w:rPr>
              <w:t>安全生产技术组织措施</w:t>
            </w:r>
          </w:p>
        </w:tc>
        <w:tc>
          <w:tcPr>
            <w:tcW w:type="dxa" w:w="2492"/>
          </w:tcPr>
          <w:p>
            <w:pPr>
              <w:pStyle w:val="null3"/>
            </w:pPr>
            <w:r>
              <w:rPr>
                <w:rFonts w:ascii="仿宋_GB2312" w:hAnsi="仿宋_GB2312" w:cs="仿宋_GB2312" w:eastAsia="仿宋_GB2312"/>
              </w:rPr>
              <w:t>一、评审内容 针对本项目提供安全生产技术组织措施，包括但不限于①安全生产管理制度、配置安全组织机构；②安全隐患排查、整改制度；③防火防灾和应急处置措施。 二、评审标准 1、完整性：方案须全面，对评审内容中的各项要求有详细描述； 2、可实施性：切合本项目实际情况，实施步骤清晰、合理； 3、针对性：方案能够紧扣项目实际情况，内容科学合理。 三、赋分依据（满分9分） ①安全生产管理制度、配置安全组织机构：每完全满足一个评审标准得1分，有瑕疵得0.5分，有缺陷得0分，满分3分。 ②安全隐患排查、整改制度：每完全满足一个评审标准得1分，有瑕疵得0.5分，有缺陷得0分，满分3分。 ③防火防灾和应急处置措施：每完全满足一个评审标准得1分，有瑕疵得0.5分，有缺陷得0分，满分3分。 注：瑕疵是指存在不完全满足评分标准，但项目仍可实施；缺陷是指不满足评分标准，严重影响项目实施。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安全生产技术组织措施.docx</w:t>
            </w:r>
          </w:p>
        </w:tc>
      </w:tr>
      <w:tr>
        <w:tc>
          <w:tcPr>
            <w:tcW w:type="dxa" w:w="831"/>
            <w:vMerge/>
          </w:tcPr>
          <w:p/>
        </w:tc>
        <w:tc>
          <w:tcPr>
            <w:tcW w:type="dxa" w:w="1661"/>
          </w:tcPr>
          <w:p>
            <w:pPr>
              <w:pStyle w:val="null3"/>
            </w:pPr>
            <w:r>
              <w:rPr>
                <w:rFonts w:ascii="仿宋_GB2312" w:hAnsi="仿宋_GB2312" w:cs="仿宋_GB2312" w:eastAsia="仿宋_GB2312"/>
              </w:rPr>
              <w:t>文明及环境保护措施</w:t>
            </w:r>
          </w:p>
        </w:tc>
        <w:tc>
          <w:tcPr>
            <w:tcW w:type="dxa" w:w="2492"/>
          </w:tcPr>
          <w:p>
            <w:pPr>
              <w:pStyle w:val="null3"/>
            </w:pPr>
            <w:r>
              <w:rPr>
                <w:rFonts w:ascii="仿宋_GB2312" w:hAnsi="仿宋_GB2312" w:cs="仿宋_GB2312" w:eastAsia="仿宋_GB2312"/>
              </w:rPr>
              <w:t>一、评审内容 针对本项目提供文明及环境保护措施，包括但不限于①文明及环境保护管理制度；②防尘降噪、节能减排措施。 二、评审标准 1、完整性：方案须全面，对评审内容中的各项要求有详细描述； 2、可实施性：切合本项目实际情况，实施步骤清晰、合理。 三、赋分依据（满分4分） ①文明及环境保护管理制度：每完全满足一个评审标准得1分，有瑕疵得0.5分，有缺陷得0分，满分2分。 ②防尘降噪、节能减排措施：每完全满足一个评审标准得1分，有瑕疵得0.5分，有缺陷得0分，满分2分。 注：瑕疵是指存在不完全满足评分标准，但项目仍可实施；缺陷是指不满足评分标准，严重影响项目实施。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文明及环境保护措施.docx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一、评审内容 针对本项目提供完善的施工机械配备和材料投入计划，包括但不限于：①施工机械配置及维护保养计划；②施工材料投入及贮存计划。 二、评审标准 1、完整性：方案须全面，对评审内容中的各项要求有详细描述； 2、可实施性：切合本项目实际情况，实施步骤清晰、合理； 3、针对性：方案能够紧扣项目实际情况，内容科学合理。 三、赋分依据（满分6分） ①施工机械配置及维护保养计划：每完全满足一个评审标准得1分，有瑕疵得0.5分，有缺陷得0分，满分3分。 ②施工材料投入及贮存计划：每完全满足一个评审标准得1分，有瑕疵得0.5分，有缺陷得0分，满分3分。 注：瑕疵是指存在不完全满足评分标准，但项目仍可实施；缺陷是指不满足评分标准，严重影响项目实施。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施工机械配备和材料投入计划.docx</w:t>
            </w:r>
          </w:p>
        </w:tc>
      </w:tr>
      <w:tr>
        <w:tc>
          <w:tcPr>
            <w:tcW w:type="dxa" w:w="831"/>
            <w:vMerge/>
          </w:tcPr>
          <w:p/>
        </w:tc>
        <w:tc>
          <w:tcPr>
            <w:tcW w:type="dxa" w:w="1661"/>
          </w:tcPr>
          <w:p>
            <w:pPr>
              <w:pStyle w:val="null3"/>
            </w:pPr>
            <w:r>
              <w:rPr>
                <w:rFonts w:ascii="仿宋_GB2312" w:hAnsi="仿宋_GB2312" w:cs="仿宋_GB2312" w:eastAsia="仿宋_GB2312"/>
              </w:rPr>
              <w:t>团队配置</w:t>
            </w:r>
          </w:p>
        </w:tc>
        <w:tc>
          <w:tcPr>
            <w:tcW w:type="dxa" w:w="2492"/>
          </w:tcPr>
          <w:p>
            <w:pPr>
              <w:pStyle w:val="null3"/>
            </w:pPr>
            <w:r>
              <w:rPr>
                <w:rFonts w:ascii="仿宋_GB2312" w:hAnsi="仿宋_GB2312" w:cs="仿宋_GB2312" w:eastAsia="仿宋_GB2312"/>
              </w:rPr>
              <w:t>一、评审内容 针对本项目提供完善的团队配置，包括但不限于：①人员岗位分工及管理制度；②专业技术人员投入情况。 二、评审标准 1、完整性：方案须全面，对评审内容中的各项要求有详细描述； 2、可实施性：切合本项目实际情况，实施步骤清晰、合理； 3、针对性：方案能够紧扣项目实际情况，内容科学合理。 三、赋分依据（满分6分） ①人员岗位分工及管理制度：每完全满足一个评审标准得1分，有瑕疵得0.5分，有缺陷得0分，满分3分。 ②专业技术人员投入情况：每完全满足一个评审标准得1分，有瑕疵得0.5分，有缺陷得0分，满分3分。 注：瑕疵是指存在不完全满足评分标准，但项目仍可实施；缺陷是指不满足评分标准，严重影响项目实施。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团队配置.docx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售后保修服务措施</w:t>
            </w:r>
          </w:p>
        </w:tc>
        <w:tc>
          <w:tcPr>
            <w:tcW w:type="dxa" w:w="2492"/>
          </w:tcPr>
          <w:p>
            <w:pPr>
              <w:pStyle w:val="null3"/>
            </w:pPr>
            <w:r>
              <w:rPr>
                <w:rFonts w:ascii="仿宋_GB2312" w:hAnsi="仿宋_GB2312" w:cs="仿宋_GB2312" w:eastAsia="仿宋_GB2312"/>
              </w:rPr>
              <w:t>一、评审内容 针对本项目提供完善的售后保修服务措施，包括但不限于：①售后维保措施；②质量保修责任及保修承诺；③售后响应时间、方式及人员安排。 二、评审标准 1、完整性：方案须全面，对评审内容中的各项要求有详细描述； 2、可实施性：切合本项目实际情况，实施步骤清晰、合理； 3、针对性：方案能够紧扣项目实际情况，内容科学合理。 三、赋分依据（满分9分） ①售后维保措施：每完全满足一个评审标准得1分，有瑕疵得0.5分，有缺陷得0分，满分3分。 ②质量保修责任及保修承诺：每完全满足一个评审标准得1分，有瑕疵得0.5分，有缺陷得0分，满分3分。 ③售后响应时间、方式及人员安排：每完全满足一个评审标准得1分，有瑕疵得0.5分，有缺陷得0分，满分3分。 注：瑕疵是指存在不完全满足评分标准，但项目仍可实施；缺陷是指不满足评分标准，严重影响项目实施。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售后保修服务措施.docx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供应商提供2023年7月1日（以合同签订日期为准）至今承担过的类似项目业绩，每提供一份计1分，满分6分。 注：业绩须提供合同复印件及对应的转账回执单或银行收款证明为准、转账回执单或银行收款证明可为对应合同的任意一笔支付款项；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满足磋商文件要求且最后磋商价格最低的磋商报价为评标基准价，其价格分为满分。其他供应商的价格分统一按照下列公式计算：磋商报价得分=（评标基准价/磋商报价）×30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详见附件：施工方案.docx</w:t>
      </w:r>
    </w:p>
    <w:p>
      <w:pPr>
        <w:pStyle w:val="null3"/>
        <w:ind w:firstLine="960"/>
      </w:pPr>
      <w:r>
        <w:rPr>
          <w:rFonts w:ascii="仿宋_GB2312" w:hAnsi="仿宋_GB2312" w:cs="仿宋_GB2312" w:eastAsia="仿宋_GB2312"/>
        </w:rPr>
        <w:t>详见附件：施工进度安排及工期保障措施.docx</w:t>
      </w:r>
    </w:p>
    <w:p>
      <w:pPr>
        <w:pStyle w:val="null3"/>
        <w:ind w:firstLine="960"/>
      </w:pPr>
      <w:r>
        <w:rPr>
          <w:rFonts w:ascii="仿宋_GB2312" w:hAnsi="仿宋_GB2312" w:cs="仿宋_GB2312" w:eastAsia="仿宋_GB2312"/>
        </w:rPr>
        <w:t>详见附件：施工质量保证措施.docx</w:t>
      </w:r>
    </w:p>
    <w:p>
      <w:pPr>
        <w:pStyle w:val="null3"/>
        <w:ind w:firstLine="960"/>
      </w:pPr>
      <w:r>
        <w:rPr>
          <w:rFonts w:ascii="仿宋_GB2312" w:hAnsi="仿宋_GB2312" w:cs="仿宋_GB2312" w:eastAsia="仿宋_GB2312"/>
        </w:rPr>
        <w:t>详见附件：安全生产技术组织措施.docx</w:t>
      </w:r>
    </w:p>
    <w:p>
      <w:pPr>
        <w:pStyle w:val="null3"/>
        <w:ind w:firstLine="960"/>
      </w:pPr>
      <w:r>
        <w:rPr>
          <w:rFonts w:ascii="仿宋_GB2312" w:hAnsi="仿宋_GB2312" w:cs="仿宋_GB2312" w:eastAsia="仿宋_GB2312"/>
        </w:rPr>
        <w:t>详见附件：文明及环境保护措施.docx</w:t>
      </w:r>
    </w:p>
    <w:p>
      <w:pPr>
        <w:pStyle w:val="null3"/>
        <w:ind w:firstLine="960"/>
      </w:pPr>
      <w:r>
        <w:rPr>
          <w:rFonts w:ascii="仿宋_GB2312" w:hAnsi="仿宋_GB2312" w:cs="仿宋_GB2312" w:eastAsia="仿宋_GB2312"/>
        </w:rPr>
        <w:t>详见附件：施工机械配备和材料投入计划.docx</w:t>
      </w:r>
    </w:p>
    <w:p>
      <w:pPr>
        <w:pStyle w:val="null3"/>
        <w:ind w:firstLine="960"/>
      </w:pPr>
      <w:r>
        <w:rPr>
          <w:rFonts w:ascii="仿宋_GB2312" w:hAnsi="仿宋_GB2312" w:cs="仿宋_GB2312" w:eastAsia="仿宋_GB2312"/>
        </w:rPr>
        <w:t>详见附件：团队配置.docx</w:t>
      </w:r>
    </w:p>
    <w:p>
      <w:pPr>
        <w:pStyle w:val="null3"/>
        <w:ind w:firstLine="960"/>
      </w:pPr>
      <w:r>
        <w:rPr>
          <w:rFonts w:ascii="仿宋_GB2312" w:hAnsi="仿宋_GB2312" w:cs="仿宋_GB2312" w:eastAsia="仿宋_GB2312"/>
        </w:rPr>
        <w:t>详见附件：售后保修服务措施.docx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