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版本号：KY2026-3-24120260702001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新城区应急避难场所建设补助项目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KY2026-3-241</w:t>
      </w:r>
      <w:r>
        <w:br/>
      </w:r>
      <w:r>
        <w:br/>
      </w:r>
      <w:r>
        <w:br/>
      </w:r>
    </w:p>
    <w:p>
      <w:pPr>
        <w:pStyle w:val="null3"/>
        <w:jc w:val="center"/>
        <w:outlineLvl w:val="2"/>
      </w:pPr>
      <w:r>
        <w:rPr>
          <w:rFonts w:ascii="仿宋_GB2312" w:hAnsi="仿宋_GB2312" w:cs="仿宋_GB2312" w:eastAsia="仿宋_GB2312"/>
          <w:sz w:val="28"/>
          <w:b/>
        </w:rPr>
        <w:t>西安市新城区应急管理局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西安市新城区应急管理局</w:t>
      </w:r>
      <w:r>
        <w:rPr>
          <w:rFonts w:ascii="仿宋_GB2312" w:hAnsi="仿宋_GB2312" w:cs="仿宋_GB2312" w:eastAsia="仿宋_GB2312"/>
        </w:rPr>
        <w:t>委托，拟对</w:t>
      </w:r>
      <w:r>
        <w:rPr>
          <w:rFonts w:ascii="仿宋_GB2312" w:hAnsi="仿宋_GB2312" w:cs="仿宋_GB2312" w:eastAsia="仿宋_GB2312"/>
        </w:rPr>
        <w:t>新城区应急避难场所建设补助项目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新城区应急避难场所建设补助项目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西安市新城区应急管理局新城区应急避难场所建设补助项目，具体要求详见磋商文件。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采购包1（新城区应急避难场所建设补助项目）：属于专门面向小微企业采购。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8、中小企业声明函：提供中小企业声明函（本项目为专门面向小型、微型企业采购项目）。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西安市新城区康复路批发市场5号楼5层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029-87417703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代理服务费收费标准：参照国家计委颁布的《招标代理服务收费管理暂行办法》（计价格[2002]1980号）及发改办价格[2003]857号文件的规定标准收取，不足5000元按5000元收取。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西安市新城区应急管理局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联系人：任萍萍、黄梦迪、戈迪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西安市新城区应急管理局新城区应急避难场所建设补助项目，具体要求详见磋商文件。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满足应急避难场所建设标准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标的名称：满足应急避难场所建设标准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项目内容：</w:t>
            </w:r>
          </w:p>
          <w:p>
            <w:pPr>
              <w:pStyle w:val="null3"/>
              <w:jc w:val="both"/>
            </w:pPr>
            <w:r>
              <w:rPr>
                <w:rFonts w:ascii="仿宋_GB2312" w:hAnsi="仿宋_GB2312" w:cs="仿宋_GB2312" w:eastAsia="仿宋_GB2312"/>
                <w:sz w:val="24"/>
              </w:rPr>
              <w:t>(1)完成采购人所选定应急避难场所“四个一”机制建设咨询服务，应包含以下内容：</w:t>
            </w:r>
          </w:p>
          <w:p>
            <w:pPr>
              <w:pStyle w:val="null3"/>
              <w:jc w:val="both"/>
            </w:pPr>
            <w:r>
              <w:rPr>
                <w:rFonts w:ascii="仿宋_GB2312" w:hAnsi="仿宋_GB2312" w:cs="仿宋_GB2312" w:eastAsia="仿宋_GB2312"/>
                <w:sz w:val="24"/>
              </w:rPr>
              <w:t>①避难场所覆盖区域人数及疏散路线统计规划；</w:t>
            </w:r>
          </w:p>
          <w:p>
            <w:pPr>
              <w:pStyle w:val="null3"/>
              <w:jc w:val="both"/>
            </w:pPr>
            <w:r>
              <w:rPr>
                <w:rFonts w:ascii="仿宋_GB2312" w:hAnsi="仿宋_GB2312" w:cs="仿宋_GB2312" w:eastAsia="仿宋_GB2312"/>
                <w:sz w:val="24"/>
              </w:rPr>
              <w:t>②避难场所应急管理队伍信息统计；</w:t>
            </w:r>
          </w:p>
          <w:p>
            <w:pPr>
              <w:pStyle w:val="null3"/>
              <w:jc w:val="both"/>
            </w:pPr>
            <w:r>
              <w:rPr>
                <w:rFonts w:ascii="仿宋_GB2312" w:hAnsi="仿宋_GB2312" w:cs="仿宋_GB2312" w:eastAsia="仿宋_GB2312"/>
                <w:sz w:val="24"/>
              </w:rPr>
              <w:t>③避难场所物资调查统计；</w:t>
            </w:r>
          </w:p>
          <w:p>
            <w:pPr>
              <w:pStyle w:val="null3"/>
              <w:jc w:val="both"/>
            </w:pPr>
            <w:r>
              <w:rPr>
                <w:rFonts w:ascii="仿宋_GB2312" w:hAnsi="仿宋_GB2312" w:cs="仿宋_GB2312" w:eastAsia="仿宋_GB2312"/>
                <w:sz w:val="24"/>
              </w:rPr>
              <w:t>④完善避难场所应急疏散安置预案。</w:t>
            </w:r>
          </w:p>
          <w:p>
            <w:pPr>
              <w:pStyle w:val="null3"/>
              <w:jc w:val="both"/>
            </w:pPr>
            <w:r>
              <w:rPr>
                <w:rFonts w:ascii="仿宋_GB2312" w:hAnsi="仿宋_GB2312" w:cs="仿宋_GB2312" w:eastAsia="仿宋_GB2312"/>
                <w:sz w:val="24"/>
              </w:rPr>
              <w:t>(2)完成采购人所选定《应急避难场所的功能区</w:t>
            </w:r>
            <w:r>
              <w:rPr>
                <w:rFonts w:ascii="仿宋_GB2312" w:hAnsi="仿宋_GB2312" w:cs="仿宋_GB2312" w:eastAsia="仿宋_GB2312"/>
                <w:sz w:val="24"/>
              </w:rPr>
              <w:t>标识标牌规划</w:t>
            </w:r>
            <w:r>
              <w:rPr>
                <w:rFonts w:ascii="仿宋_GB2312" w:hAnsi="仿宋_GB2312" w:cs="仿宋_GB2312" w:eastAsia="仿宋_GB2312"/>
                <w:sz w:val="24"/>
              </w:rPr>
              <w:t>方案》，应包含以下内容：</w:t>
            </w:r>
          </w:p>
          <w:p>
            <w:pPr>
              <w:pStyle w:val="null3"/>
              <w:jc w:val="both"/>
            </w:pPr>
            <w:r>
              <w:rPr>
                <w:rFonts w:ascii="仿宋_GB2312" w:hAnsi="仿宋_GB2312" w:cs="仿宋_GB2312" w:eastAsia="仿宋_GB2312"/>
                <w:sz w:val="24"/>
              </w:rPr>
              <w:t>①编写工作计划；</w:t>
            </w:r>
          </w:p>
          <w:p>
            <w:pPr>
              <w:pStyle w:val="null3"/>
              <w:jc w:val="both"/>
            </w:pPr>
            <w:r>
              <w:rPr>
                <w:rFonts w:ascii="仿宋_GB2312" w:hAnsi="仿宋_GB2312" w:cs="仿宋_GB2312" w:eastAsia="仿宋_GB2312"/>
                <w:sz w:val="24"/>
              </w:rPr>
              <w:t>②对选定的应急避难场所进行调研；</w:t>
            </w:r>
          </w:p>
          <w:p>
            <w:pPr>
              <w:pStyle w:val="null3"/>
              <w:jc w:val="both"/>
            </w:pPr>
            <w:r>
              <w:rPr>
                <w:rFonts w:ascii="仿宋_GB2312" w:hAnsi="仿宋_GB2312" w:cs="仿宋_GB2312" w:eastAsia="仿宋_GB2312"/>
                <w:sz w:val="24"/>
              </w:rPr>
              <w:t>③其中避难场所应按照《应急避难场所通用技术要求》（GB/T 35624-2025）和《应急避难场所标志》（GB/T 44014-2024）要求划分功能区并制作</w:t>
            </w:r>
            <w:r>
              <w:rPr>
                <w:rFonts w:ascii="仿宋_GB2312" w:hAnsi="仿宋_GB2312" w:cs="仿宋_GB2312" w:eastAsia="仿宋_GB2312"/>
                <w:sz w:val="24"/>
              </w:rPr>
              <w:t>和安装</w:t>
            </w:r>
            <w:r>
              <w:rPr>
                <w:rFonts w:ascii="仿宋_GB2312" w:hAnsi="仿宋_GB2312" w:cs="仿宋_GB2312" w:eastAsia="仿宋_GB2312"/>
                <w:sz w:val="24"/>
              </w:rPr>
              <w:t>相应的标志标识；</w:t>
            </w:r>
          </w:p>
          <w:p>
            <w:pPr>
              <w:pStyle w:val="null3"/>
              <w:jc w:val="both"/>
            </w:pPr>
            <w:r>
              <w:rPr>
                <w:rFonts w:ascii="仿宋_GB2312" w:hAnsi="仿宋_GB2312" w:cs="仿宋_GB2312" w:eastAsia="仿宋_GB2312"/>
                <w:sz w:val="24"/>
              </w:rPr>
              <w:t>④避难场所功能</w:t>
            </w:r>
            <w:r>
              <w:rPr>
                <w:rFonts w:ascii="仿宋_GB2312" w:hAnsi="仿宋_GB2312" w:cs="仿宋_GB2312" w:eastAsia="仿宋_GB2312"/>
                <w:sz w:val="24"/>
              </w:rPr>
              <w:t>标识标牌</w:t>
            </w:r>
            <w:r>
              <w:rPr>
                <w:rFonts w:ascii="仿宋_GB2312" w:hAnsi="仿宋_GB2312" w:cs="仿宋_GB2312" w:eastAsia="仿宋_GB2312"/>
                <w:sz w:val="24"/>
              </w:rPr>
              <w:t>布局</w:t>
            </w:r>
            <w:r>
              <w:rPr>
                <w:rFonts w:ascii="仿宋_GB2312" w:hAnsi="仿宋_GB2312" w:cs="仿宋_GB2312" w:eastAsia="仿宋_GB2312"/>
                <w:sz w:val="24"/>
              </w:rPr>
              <w:t>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形成功能区</w:t>
            </w:r>
            <w:r>
              <w:rPr>
                <w:rFonts w:ascii="仿宋_GB2312" w:hAnsi="仿宋_GB2312" w:cs="仿宋_GB2312" w:eastAsia="仿宋_GB2312"/>
                <w:sz w:val="24"/>
              </w:rPr>
              <w:t>标识标牌</w:t>
            </w:r>
            <w:r>
              <w:rPr>
                <w:rFonts w:ascii="仿宋_GB2312" w:hAnsi="仿宋_GB2312" w:cs="仿宋_GB2312" w:eastAsia="仿宋_GB2312"/>
                <w:sz w:val="24"/>
              </w:rPr>
              <w:t>规划方案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)标志标识</w:t>
            </w:r>
            <w:r>
              <w:rPr>
                <w:rFonts w:ascii="仿宋_GB2312" w:hAnsi="仿宋_GB2312" w:cs="仿宋_GB2312" w:eastAsia="仿宋_GB2312"/>
                <w:sz w:val="24"/>
              </w:rPr>
              <w:t>图样制作及安装</w:t>
            </w:r>
            <w:r>
              <w:rPr>
                <w:rFonts w:ascii="仿宋_GB2312" w:hAnsi="仿宋_GB2312" w:cs="仿宋_GB2312" w:eastAsia="仿宋_GB2312"/>
                <w:sz w:val="24"/>
              </w:rPr>
              <w:t>要求如下：</w:t>
            </w:r>
          </w:p>
          <w:tbl>
            <w:tblPr>
              <w:tblBorders>
                <w:top w:val="none" w:color="000000" w:sz="4"/>
                <w:left w:val="none" w:color="000000" w:sz="4"/>
                <w:bottom w:val="none" w:color="000000" w:sz="4"/>
                <w:right w:val="none" w:color="000000" w:sz="4"/>
                <w:insideH w:val="none"/>
                <w:insideV w:val="none"/>
              </w:tblBorders>
            </w:tblPr>
            <w:tblGrid>
              <w:gridCol w:w="252"/>
              <w:gridCol w:w="539"/>
              <w:gridCol w:w="229"/>
              <w:gridCol w:w="247"/>
              <w:gridCol w:w="552"/>
              <w:gridCol w:w="234"/>
              <w:gridCol w:w="501"/>
            </w:tblGrid>
            <w:tr>
              <w:tc>
                <w:tcPr>
                  <w:tcW w:type="dxa" w:w="2554"/>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新城区应急避难场所建设补助项目</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名称</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材质</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牌子数量</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牌子尺寸（高</w:t>
                  </w:r>
                  <w:r>
                    <w:rPr>
                      <w:rFonts w:ascii="仿宋_GB2312" w:hAnsi="仿宋_GB2312" w:cs="仿宋_GB2312" w:eastAsia="仿宋_GB2312"/>
                      <w:sz w:val="24"/>
                    </w:rPr>
                    <w:t>*宽）</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立柱数量</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立柱规格</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避难场所外主标志</w:t>
                  </w: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120cm*90cm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125mm 高3m</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120cm*90cm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125mm 高3m</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120cm*90cm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避难场所出入口标志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18</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避难场所内指向标志</w:t>
                  </w:r>
                </w:p>
              </w:tc>
              <w:tc>
                <w:tcPr>
                  <w:tcW w:type="dxa" w:w="2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50</w:t>
                  </w:r>
                </w:p>
              </w:tc>
              <w:tc>
                <w:tcPr>
                  <w:tcW w:type="dxa" w:w="5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15cm*60cm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125mm 高3m</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112</w:t>
                  </w:r>
                </w:p>
              </w:tc>
              <w:tc>
                <w:tcPr>
                  <w:tcW w:type="dxa" w:w="552"/>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501"/>
                  <w:vMerge/>
                  <w:tcBorders>
                    <w:top w:val="none" w:color="000000" w:sz="4"/>
                    <w:left w:val="none" w:color="000000" w:sz="4"/>
                    <w:bottom w:val="single" w:color="000000" w:sz="4"/>
                    <w:right w:val="single" w:color="000000" w:sz="4"/>
                  </w:tcBorders>
                </w:tc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避难场所功能布局图</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90cm*120cm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18</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高1.5m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应急集散区</w:t>
                  </w:r>
                </w:p>
              </w:tc>
              <w:tc>
                <w:tcPr>
                  <w:tcW w:type="dxa" w:w="22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non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229"/>
                  <w:vMerge/>
                  <w:tcBorders>
                    <w:top w:val="none" w:color="000000" w:sz="4"/>
                    <w:left w:val="none" w:color="000000" w:sz="4"/>
                    <w:bottom w:val="non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指挥管理区</w:t>
                  </w:r>
                </w:p>
              </w:tc>
              <w:tc>
                <w:tcPr>
                  <w:tcW w:type="dxa" w:w="2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single" w:color="000000" w:sz="4"/>
                    <w:left w:val="single" w:color="000000" w:sz="4"/>
                    <w:bottom w:val="single" w:color="000000" w:sz="4"/>
                    <w:right w:val="single" w:color="000000" w:sz="4"/>
                  </w:tcBorders>
                </w:tcP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single" w:color="000000" w:sz="4"/>
                    <w:left w:val="single" w:color="000000" w:sz="4"/>
                    <w:bottom w:val="single" w:color="000000" w:sz="4"/>
                    <w:right w:val="single" w:color="000000" w:sz="4"/>
                  </w:tcBorders>
                </w:tcP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医疗救治区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物资储备区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清洁盥洗区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垃圾储运区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应急停车区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应急宿住区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防疫隔离区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餐饮服务区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5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文体活动区</w:t>
                  </w:r>
                </w:p>
              </w:tc>
              <w:tc>
                <w:tcPr>
                  <w:tcW w:type="dxa" w:w="22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539"/>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临时教学区</w:t>
                  </w:r>
                </w:p>
              </w:tc>
              <w:tc>
                <w:tcPr>
                  <w:tcW w:type="dxa" w:w="22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539"/>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公共服务区</w:t>
                  </w:r>
                </w:p>
              </w:tc>
              <w:tc>
                <w:tcPr>
                  <w:tcW w:type="dxa" w:w="22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53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直升机起降区</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铝，直径</w:t>
                  </w:r>
                  <w:r>
                    <w:rPr>
                      <w:rFonts w:ascii="仿宋_GB2312" w:hAnsi="仿宋_GB2312" w:cs="仿宋_GB2312" w:eastAsia="仿宋_GB2312"/>
                      <w:sz w:val="24"/>
                    </w:rPr>
                    <w:t>100mm 高2m</w:t>
                  </w:r>
                </w:p>
              </w:tc>
            </w:tr>
            <w:tr>
              <w:tc>
                <w:tcPr>
                  <w:tcW w:type="dxa" w:w="2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应急供电</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singl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singl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应急供水</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应急消防</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应急通风</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应急供暖</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应急通道</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539"/>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抢修抢建</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non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539"/>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应急排污</w:t>
                  </w:r>
                </w:p>
              </w:tc>
              <w:tc>
                <w:tcPr>
                  <w:tcW w:type="dxa" w:w="2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none" w:color="000000" w:sz="4"/>
                    <w:right w:val="single" w:color="000000" w:sz="4"/>
                  </w:tcBorders>
                </w:tcPr>
                <w:p/>
              </w:tc>
              <w:tc>
                <w:tcPr>
                  <w:tcW w:type="dxa" w:w="539"/>
                  <w:vMerge/>
                  <w:tcBorders>
                    <w:top w:val="none" w:color="000000" w:sz="4"/>
                    <w:left w:val="none" w:color="000000" w:sz="4"/>
                    <w:bottom w:val="none" w:color="000000" w:sz="4"/>
                    <w:right w:val="none" w:color="000000" w:sz="4"/>
                  </w:tcBorders>
                </w:tcPr>
                <w:p/>
              </w:tc>
              <w:tc>
                <w:tcPr>
                  <w:tcW w:type="dxa" w:w="229"/>
                  <w:vMerge/>
                  <w:tcBorders>
                    <w:top w:val="none" w:color="000000" w:sz="4"/>
                    <w:left w:val="single" w:color="000000" w:sz="4"/>
                    <w:bottom w:val="non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none" w:color="000000" w:sz="4"/>
                    <w:left w:val="single" w:color="000000" w:sz="4"/>
                    <w:bottom w:val="none" w:color="000000" w:sz="4"/>
                    <w:right w:val="single" w:color="000000" w:sz="4"/>
                  </w:tcBorders>
                </w:tcPr>
                <w:p/>
              </w:tc>
              <w:tc>
                <w:tcPr>
                  <w:tcW w:type="dxa" w:w="539"/>
                  <w:vMerge/>
                  <w:tcBorders>
                    <w:top w:val="none" w:color="000000" w:sz="4"/>
                    <w:left w:val="none" w:color="000000" w:sz="4"/>
                    <w:bottom w:val="none" w:color="000000" w:sz="4"/>
                    <w:right w:val="none" w:color="000000" w:sz="4"/>
                  </w:tcBorders>
                </w:tcPr>
                <w:p/>
              </w:tc>
              <w:tc>
                <w:tcPr>
                  <w:tcW w:type="dxa" w:w="229"/>
                  <w:vMerge/>
                  <w:tcBorders>
                    <w:top w:val="none" w:color="000000" w:sz="4"/>
                    <w:left w:val="single" w:color="000000" w:sz="4"/>
                    <w:bottom w:val="none" w:color="000000" w:sz="4"/>
                    <w:right w:val="single" w:color="000000" w:sz="4"/>
                  </w:tcBorders>
                </w:tcPr>
                <w:p/>
              </w:tc>
              <w:tc>
                <w:tcPr>
                  <w:tcW w:type="dxa" w:w="2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5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安全保卫</w:t>
                  </w:r>
                </w:p>
              </w:tc>
              <w:tc>
                <w:tcPr>
                  <w:tcW w:type="dxa" w:w="2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铝</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25cm*50cm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single" w:color="000000" w:sz="4"/>
                    <w:left w:val="singl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229"/>
                  <w:vMerge/>
                  <w:tcBorders>
                    <w:top w:val="singl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15cm*30cm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r>
              <w:tc>
                <w:tcPr>
                  <w:tcW w:type="dxa" w:w="252"/>
                  <w:vMerge/>
                  <w:tcBorders>
                    <w:top w:val="single" w:color="000000" w:sz="4"/>
                    <w:left w:val="singl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229"/>
                  <w:vMerge/>
                  <w:tcBorders>
                    <w:top w:val="singl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35cm*70cm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交付期：合同签订之日起至2026年9月底前完成；质保期：自验收合格之日起5年。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预付款，合同签订后，达到付款条件起45个工作日内，支付合同总金额的40.0%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其他，项目交付并验收合格后，达到付款条件起45个工作日内，支付合同总金额的60.0%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（二）未按合同要求的提供服务或服务质量不能满足技术要求，采购人有权终止合同，甚至对供方违约行为进行追究。 （三）如有纠纷，双方友好协商解决，协商不成时可诉讼到甲方所在地人民法院解决。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成交供应商需要提交与电子化交易系统中一致的纸质版响应文件正本壹份、副本贰份，正、副本分别胶装（可顺丰邮寄），邮寄地址：西安市雁展路1111号莱安中心T6-15层，联系人：任萍萍，联系电话：029-81206622/81206633-842）。若电子响应文件与纸质响应文件不一致的，以电子响应文件为准。 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提供中小企业声明函（本项目为专门面向小型、微型企业采购项目）。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提交的相关说明和证明材料，应当加盖供应商（法定名称）电子印章，在评审委员会要求的时间内通过项目电子化交易系统进行提交，否则提交的相关证明材料无效。供应商不能证明其响应报价合理性的，评审委员会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项目理解与现状分析</w:t>
            </w:r>
          </w:p>
        </w:tc>
        <w:tc>
          <w:tcPr>
            <w:tcW w:type="dxa" w:w="2492"/>
          </w:tcPr>
          <w:p>
            <w:pPr>
              <w:pStyle w:val="null3"/>
            </w:pPr>
            <w:r>
              <w:rPr>
                <w:rFonts w:ascii="仿宋_GB2312" w:hAnsi="仿宋_GB2312" w:cs="仿宋_GB2312" w:eastAsia="仿宋_GB2312"/>
              </w:rPr>
              <w:t>根据供应商提供的对本项目的理解、现状分析及需求把握情况进行打分。内容需包含：①对项目所在区域应急避难场所建设现状的认知；②对“四个一”机制建设任务的理解与分析；③对项目重点、难点及关键节点的分析和应对。以上方案每有一项缺项扣2分，每有一项内容中有一处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详细评审-项目理解与现状分析.docx</w:t>
            </w:r>
          </w:p>
        </w:tc>
      </w:tr>
      <w:tr>
        <w:tc>
          <w:tcPr>
            <w:tcW w:type="dxa" w:w="831"/>
            <w:vMerge/>
          </w:tcPr>
          <w:p/>
        </w:tc>
        <w:tc>
          <w:tcPr>
            <w:tcW w:type="dxa" w:w="1661"/>
          </w:tcPr>
          <w:p>
            <w:pPr>
              <w:pStyle w:val="null3"/>
            </w:pPr>
            <w:r>
              <w:rPr>
                <w:rFonts w:ascii="仿宋_GB2312" w:hAnsi="仿宋_GB2312" w:cs="仿宋_GB2312" w:eastAsia="仿宋_GB2312"/>
              </w:rPr>
              <w:t>编制方案</w:t>
            </w:r>
          </w:p>
        </w:tc>
        <w:tc>
          <w:tcPr>
            <w:tcW w:type="dxa" w:w="2492"/>
          </w:tcPr>
          <w:p>
            <w:pPr>
              <w:pStyle w:val="null3"/>
            </w:pPr>
            <w:r>
              <w:rPr>
                <w:rFonts w:ascii="仿宋_GB2312" w:hAnsi="仿宋_GB2312" w:cs="仿宋_GB2312" w:eastAsia="仿宋_GB2312"/>
              </w:rPr>
              <w:t>供应商根据项目实际情况，提供项目编制方案，包括但不限于：①《“四个一”机制建设咨询服务方案》的编制方案；②《应急避难场所的功能区标志标识规划方案》的编制方案；③《应急避难场所的功能区标志标识制作方案》的编制方案；④《应急避难场所的功能区标志标识安装方案》的编制方案。以上方案每有一项缺项扣5分，每有一项内容中有一处缺陷，扣2.5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详细评审-编制方案.docx</w:t>
            </w:r>
          </w:p>
        </w:tc>
      </w:tr>
      <w:tr>
        <w:tc>
          <w:tcPr>
            <w:tcW w:type="dxa" w:w="831"/>
            <w:vMerge/>
          </w:tcPr>
          <w:p/>
        </w:tc>
        <w:tc>
          <w:tcPr>
            <w:tcW w:type="dxa" w:w="1661"/>
          </w:tcPr>
          <w:p>
            <w:pPr>
              <w:pStyle w:val="null3"/>
            </w:pPr>
            <w:r>
              <w:rPr>
                <w:rFonts w:ascii="仿宋_GB2312" w:hAnsi="仿宋_GB2312" w:cs="仿宋_GB2312" w:eastAsia="仿宋_GB2312"/>
              </w:rPr>
              <w:t>质量与进度保障措施</w:t>
            </w:r>
          </w:p>
        </w:tc>
        <w:tc>
          <w:tcPr>
            <w:tcW w:type="dxa" w:w="2492"/>
          </w:tcPr>
          <w:p>
            <w:pPr>
              <w:pStyle w:val="null3"/>
            </w:pPr>
            <w:r>
              <w:rPr>
                <w:rFonts w:ascii="仿宋_GB2312" w:hAnsi="仿宋_GB2312" w:cs="仿宋_GB2312" w:eastAsia="仿宋_GB2312"/>
              </w:rPr>
              <w:t>根据供应商提供的项目质量保证体系和进度计划安排进行打分。内容需包含：①进度保证应包含项目的时间安排，按照进度保证措施的完整性，时间进度安排的合理性、可行性；②针对本项目质量保障措施，质量控制方法，措施得当，目标可控。质量控制方案内容的针对性强，保障质量达到要求。以上方案每有一项缺项扣4分，每有一项内容中有一处缺陷，扣2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详细评审-质量与进度保障措施.docx</w:t>
            </w:r>
          </w:p>
        </w:tc>
      </w:tr>
      <w:tr>
        <w:tc>
          <w:tcPr>
            <w:tcW w:type="dxa" w:w="831"/>
            <w:vMerge/>
          </w:tcPr>
          <w:p/>
        </w:tc>
        <w:tc>
          <w:tcPr>
            <w:tcW w:type="dxa" w:w="1661"/>
          </w:tcPr>
          <w:p>
            <w:pPr>
              <w:pStyle w:val="null3"/>
            </w:pPr>
            <w:r>
              <w:rPr>
                <w:rFonts w:ascii="仿宋_GB2312" w:hAnsi="仿宋_GB2312" w:cs="仿宋_GB2312" w:eastAsia="仿宋_GB2312"/>
              </w:rPr>
              <w:t>售后服务与保密方案</w:t>
            </w:r>
          </w:p>
        </w:tc>
        <w:tc>
          <w:tcPr>
            <w:tcW w:type="dxa" w:w="2492"/>
          </w:tcPr>
          <w:p>
            <w:pPr>
              <w:pStyle w:val="null3"/>
            </w:pPr>
            <w:r>
              <w:rPr>
                <w:rFonts w:ascii="仿宋_GB2312" w:hAnsi="仿宋_GB2312" w:cs="仿宋_GB2312" w:eastAsia="仿宋_GB2312"/>
              </w:rPr>
              <w:t>根据供应商提供的售后服务承诺及保密管理方案进行打分。内容需包含：①售后服务承诺（含标志标识的质保期限、维修响应时间、服务方式）；②项目资料保密管理方案（对本项目涉及的基础数据、场所信息、规划图纸等资料的保密措施）。以上方案每有一项缺项扣3分，每有一项内容中有一处缺陷，扣1.5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详细评审-售后服务与保密方案.docx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1、项目负责人（7分） ①具有高级及以上技术职称或持有省级、市级应急管理部门所颁发聘书的专家（安全类、规划类、应急管理类、市政类等），计4分； ②完成过同类项目（应急避难场所规划、应急管理咨询、功能区规划编制等）经验；提供业绩证明材料，计3分； 2、团队成员（8分） 供应商针对本项目配备的实施团队需结构合理、分工明确，内容包括但不限于：①人员配备数量及清单（须列明拟投入本项目全部人员的姓名、岗位、专业背景）； ②人员职责与分工（须明确项目负责人、各技术岗位人员的具体职责）；③人员管理制度（须包含日常管理、考勤、考核等内容）；④人员稳定性保障措施（须包含替补人员安排、人员变更报备机制等）。以上内容每提供一项计2分，每有一项内容描述不完整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详细评审-人员配备.docx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1.供应商承诺在接到采购人维修通知后24小时内响应、48小时内到达现场处理的，得2分；承诺12小时内响应、24小时内到达现场的，得4分。以供应商出具的《售后服务承诺函》为准，未提供不得分。 2.供应商提供标志标识制作核心原材料合格证明或检测报告，计3分。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详细评审-服务承诺.docx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供应商提供为完成本项目拟投入的设备（不限于剪板机，液压折板机，铝材二保焊机，小型发电机，电镐等标志标识生产加工设备），提供设备清单及图片的，每提供一类设备得2分，本项最高得8分。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详细评审-投入设备.docx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提供供应商2023年1月1日至今同类项目完整合同（以合同签订日期为准），每提供1个得2分，最高得10分。 备注:1.同类项目指同类型或包含但不限于本项目主要标的物的业绩证明材料。 2.项目负责人业绩与本项业绩不重复计分。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供应商的报价明显低于其他通过符合性审查投标人的报价（数量报价下，投标人的报价明显高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价格分采用低价优先法计算，即满足竞争性磋商文件要求且最终报价最低的磋商报价作为评标基准价，其价格分为满分。其他供应商的价格分统一按照下列公式计算： 报价得分=（评标基准价/磋商报价）×价格权重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详见附件：详细评审-项目理解与现状分析.docx</w:t>
      </w:r>
    </w:p>
    <w:p>
      <w:pPr>
        <w:pStyle w:val="null3"/>
        <w:ind w:firstLine="960"/>
      </w:pPr>
      <w:r>
        <w:rPr>
          <w:rFonts w:ascii="仿宋_GB2312" w:hAnsi="仿宋_GB2312" w:cs="仿宋_GB2312" w:eastAsia="仿宋_GB2312"/>
        </w:rPr>
        <w:t>详见附件：详细评审-编制方案.docx</w:t>
      </w:r>
    </w:p>
    <w:p>
      <w:pPr>
        <w:pStyle w:val="null3"/>
        <w:ind w:firstLine="960"/>
      </w:pPr>
      <w:r>
        <w:rPr>
          <w:rFonts w:ascii="仿宋_GB2312" w:hAnsi="仿宋_GB2312" w:cs="仿宋_GB2312" w:eastAsia="仿宋_GB2312"/>
        </w:rPr>
        <w:t>详见附件：详细评审-质量与进度保障措施.docx</w:t>
      </w:r>
    </w:p>
    <w:p>
      <w:pPr>
        <w:pStyle w:val="null3"/>
        <w:ind w:firstLine="960"/>
      </w:pPr>
      <w:r>
        <w:rPr>
          <w:rFonts w:ascii="仿宋_GB2312" w:hAnsi="仿宋_GB2312" w:cs="仿宋_GB2312" w:eastAsia="仿宋_GB2312"/>
        </w:rPr>
        <w:t>详见附件：详细评审-售后服务与保密方案.docx</w:t>
      </w:r>
    </w:p>
    <w:p>
      <w:pPr>
        <w:pStyle w:val="null3"/>
        <w:ind w:firstLine="960"/>
      </w:pPr>
      <w:r>
        <w:rPr>
          <w:rFonts w:ascii="仿宋_GB2312" w:hAnsi="仿宋_GB2312" w:cs="仿宋_GB2312" w:eastAsia="仿宋_GB2312"/>
        </w:rPr>
        <w:t>详见附件：详细评审-人员配备.docx</w:t>
      </w:r>
    </w:p>
    <w:p>
      <w:pPr>
        <w:pStyle w:val="null3"/>
        <w:ind w:firstLine="960"/>
      </w:pPr>
      <w:r>
        <w:rPr>
          <w:rFonts w:ascii="仿宋_GB2312" w:hAnsi="仿宋_GB2312" w:cs="仿宋_GB2312" w:eastAsia="仿宋_GB2312"/>
        </w:rPr>
        <w:t>详见附件：详细评审-服务承诺.docx</w:t>
      </w:r>
    </w:p>
    <w:p>
      <w:pPr>
        <w:pStyle w:val="null3"/>
        <w:ind w:firstLine="960"/>
      </w:pPr>
      <w:r>
        <w:rPr>
          <w:rFonts w:ascii="仿宋_GB2312" w:hAnsi="仿宋_GB2312" w:cs="仿宋_GB2312" w:eastAsia="仿宋_GB2312"/>
        </w:rPr>
        <w:t>详见附件：详细评审-投入设备.docx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