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版本号：ZJCG2026-06-0220260617001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西安市水务局2026年信息化设备设施设备运行维护项目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ZJCG2026-06-02</w:t>
      </w:r>
      <w:r>
        <w:br/>
      </w:r>
      <w:r>
        <w:br/>
      </w:r>
      <w:r>
        <w:br/>
      </w:r>
    </w:p>
    <w:p>
      <w:pPr>
        <w:pStyle w:val="null3"/>
        <w:jc w:val="center"/>
        <w:outlineLvl w:val="2"/>
      </w:pPr>
      <w:r>
        <w:rPr>
          <w:rFonts w:ascii="仿宋_GB2312" w:hAnsi="仿宋_GB2312" w:cs="仿宋_GB2312" w:eastAsia="仿宋_GB2312"/>
          <w:sz w:val="28"/>
          <w:b/>
        </w:rPr>
        <w:t>西安市水务信息宣传教育中心</w:t>
      </w:r>
    </w:p>
    <w:p>
      <w:pPr>
        <w:pStyle w:val="null3"/>
        <w:jc w:val="center"/>
        <w:outlineLvl w:val="2"/>
      </w:pPr>
      <w:r>
        <w:rPr>
          <w:rFonts w:ascii="仿宋_GB2312" w:hAnsi="仿宋_GB2312" w:cs="仿宋_GB2312" w:eastAsia="仿宋_GB2312"/>
          <w:sz w:val="28"/>
          <w:b/>
        </w:rPr>
        <w:t>陕西贞吉建设项目管理有限公司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陕西贞吉建设项目管理有限公司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西安市水务信息宣传教育中心</w:t>
      </w:r>
      <w:r>
        <w:rPr>
          <w:rFonts w:ascii="仿宋_GB2312" w:hAnsi="仿宋_GB2312" w:cs="仿宋_GB2312" w:eastAsia="仿宋_GB2312"/>
        </w:rPr>
        <w:t>委托，拟对</w:t>
      </w:r>
      <w:r>
        <w:rPr>
          <w:rFonts w:ascii="仿宋_GB2312" w:hAnsi="仿宋_GB2312" w:cs="仿宋_GB2312" w:eastAsia="仿宋_GB2312"/>
        </w:rPr>
        <w:t>西安市水务局2026年信息化设备设施设备运行维护项目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ZJCG2026-06-02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西安市水务局2026年信息化设备设施设备运行维护项目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西安市水务局2026年信息化设备设施设备运行维护项目。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采购包1（水灾害及河长等模块设施设备运维）：属于专门面向中小企业采购。</w:t>
      </w:r>
    </w:p>
    <w:p>
      <w:pPr>
        <w:pStyle w:val="null3"/>
      </w:pPr>
      <w:r>
        <w:rPr>
          <w:rFonts w:ascii="仿宋_GB2312" w:hAnsi="仿宋_GB2312" w:cs="仿宋_GB2312" w:eastAsia="仿宋_GB2312"/>
        </w:rPr>
        <w:t>采购包2（水利工程及水资源管理等模块设施设备运维）：属于专门面向中小企业采购。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1、营业执照：在中华人民共和国境内注册，依法取得并有效存续的营业执照（含电子营业执照）\事业单位法人证书\民办非企业单位登记证书\非企业专业服务机构执业许可\自然人的提供身份证明文件；</w:t>
      </w:r>
    </w:p>
    <w:p>
      <w:pPr>
        <w:pStyle w:val="null3"/>
      </w:pPr>
      <w:r>
        <w:rPr>
          <w:rFonts w:ascii="仿宋_GB2312" w:hAnsi="仿宋_GB2312" w:cs="仿宋_GB2312" w:eastAsia="仿宋_GB2312"/>
        </w:rPr>
        <w:t>2、法定代表人（负责人）委托授权书\身份证明：法定代表人（负责人）参加投标的，须出具法定代表人（负责人）身份证明书及身份证正反两面扫描件；法定代表人（负责人）授权委托代理人参加投标的，须出具法定代表人（负责人）授权委托书及委托代理人身份证正反两面扫描件；</w:t>
      </w:r>
    </w:p>
    <w:p>
      <w:pPr>
        <w:pStyle w:val="null3"/>
      </w:pPr>
      <w:r>
        <w:rPr>
          <w:rFonts w:ascii="仿宋_GB2312" w:hAnsi="仿宋_GB2312" w:cs="仿宋_GB2312" w:eastAsia="仿宋_GB2312"/>
        </w:rPr>
        <w:t>3、财务状况报告：提供经审计的2023年度或2024年度或2025年度的财务会计报告（至少包括审计报告、资产负债表和利润表，成立时间至提交投标文件截止时间不足一年的可提供成立后任意时段的资产负债表）或2026年1月至今其基本账户开户银行出具的资信证明；其他组织和自然人提供银行出具的资信证明或财务报表；</w:t>
      </w:r>
    </w:p>
    <w:p>
      <w:pPr>
        <w:pStyle w:val="null3"/>
      </w:pPr>
      <w:r>
        <w:rPr>
          <w:rFonts w:ascii="仿宋_GB2312" w:hAnsi="仿宋_GB2312" w:cs="仿宋_GB2312" w:eastAsia="仿宋_GB2312"/>
        </w:rPr>
        <w:t>4、税收缴纳证明：提供2025年6月至今已缴纳的至少一个月（以税款所属期为准）的纳税证明或完税证明（税种为营业税或增值税或企业所得税），依法免税的单位应提供相关证明材料；</w:t>
      </w:r>
    </w:p>
    <w:p>
      <w:pPr>
        <w:pStyle w:val="null3"/>
      </w:pPr>
      <w:r>
        <w:rPr>
          <w:rFonts w:ascii="仿宋_GB2312" w:hAnsi="仿宋_GB2312" w:cs="仿宋_GB2312" w:eastAsia="仿宋_GB2312"/>
        </w:rPr>
        <w:t>5、社保资金缴纳证明：提供2025年6月至今已缴存的至少一个月的社会保障资金缴存单据或社保机构开具的社会保险参保缴费情况证明，依法不需要缴纳社会保障资金的单位应提供相关证明材料；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6、设备、技术能力书面声明：提供具有履行合同所必需的设备和专业技术能力的书面声明；</w:t>
      </w:r>
    </w:p>
    <w:p>
      <w:pPr>
        <w:pStyle w:val="null3"/>
      </w:pPr>
      <w:r>
        <w:rPr>
          <w:rFonts w:ascii="仿宋_GB2312" w:hAnsi="仿宋_GB2312" w:cs="仿宋_GB2312" w:eastAsia="仿宋_GB2312"/>
        </w:rPr>
        <w:t>7、信用查询记录：供应商不得为“信用中国” 网站（www.creditchina.gov.cn）中列入失信被执行人和重大税收违法失信主体的供应商，不得为中国政府采购网（www.ccgp.gov.cn）政府采购严重违法失信行为记录名单中被财政部门禁止参加政府采购活动的供应商；（采购代理机构将在开标当日打印查询记录作为证据留存，对列入失信被执行人、重大税收违法失信主体当事人名单、政府采购严重违法失信行为记录名单及其他不符合《中华人民共和国政府采购法》第二十二条规定的供应商，采购代理机构将拒绝其参与政府采购活动，查询结果以电子或纸质方式留存。）</w:t>
      </w:r>
    </w:p>
    <w:p>
      <w:pPr>
        <w:pStyle w:val="null3"/>
      </w:pPr>
      <w:r>
        <w:rPr>
          <w:rFonts w:ascii="仿宋_GB2312" w:hAnsi="仿宋_GB2312" w:cs="仿宋_GB2312" w:eastAsia="仿宋_GB2312"/>
        </w:rPr>
        <w:t>8、关联关系：单位负责人为同一人或者存在控股、管理关系的不同单位不得同时投标；为本项目提供整体设计、规范编制或者项目管理、监理、检测等服务的供应商，不得再参加该采购项目的其他采购活动；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9、本次项目不接受联合体投标：提供非联合体投标承诺书；</w:t>
      </w:r>
    </w:p>
    <w:p>
      <w:pPr>
        <w:pStyle w:val="null3"/>
      </w:pPr>
      <w:r>
        <w:rPr>
          <w:rFonts w:ascii="仿宋_GB2312" w:hAnsi="仿宋_GB2312" w:cs="仿宋_GB2312" w:eastAsia="仿宋_GB2312"/>
        </w:rPr>
        <w:t>10、中小企业声明函：本项目专门面向中小企业采购，仅限符合《政府采购促进中小企业发展管理办法》（ 财库〔2020〕46号）条件的中小企业参与，提供中小企业声明函（残疾人福利性单位、监狱企业视同小、微企业）。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1、营业执照：在中华人民共和国境内注册，依法取得并有效存续的营业执照（含电子营业执照）\事业单位法人证书\民办非企业单位登记证书\非企业专业服务机构执业许可\自然人的提供身份证明文件；</w:t>
      </w:r>
    </w:p>
    <w:p>
      <w:pPr>
        <w:pStyle w:val="null3"/>
      </w:pPr>
      <w:r>
        <w:rPr>
          <w:rFonts w:ascii="仿宋_GB2312" w:hAnsi="仿宋_GB2312" w:cs="仿宋_GB2312" w:eastAsia="仿宋_GB2312"/>
        </w:rPr>
        <w:t>2、法定代表人（负责人）委托授权书\身份证明：法定代表人（负责人）参加投标的，须出具法定代表人（负责人）身份证明书及身份证正反两面扫描件；法定代表人（负责人）授权委托代理人参加投标的，须出具法定代表人（负责人）授权委托书及委托代理人身份证正反两面扫描件；</w:t>
      </w:r>
    </w:p>
    <w:p>
      <w:pPr>
        <w:pStyle w:val="null3"/>
      </w:pPr>
      <w:r>
        <w:rPr>
          <w:rFonts w:ascii="仿宋_GB2312" w:hAnsi="仿宋_GB2312" w:cs="仿宋_GB2312" w:eastAsia="仿宋_GB2312"/>
        </w:rPr>
        <w:t>3、财务状况报告：提供经审计的2023年度或2024年度或2025年度的财务会计报告（至少包括审计报告、资产负债表和利润表，成立时间至提交投标文件截止时间不足一年的可提供成立后任意时段的资产负债表）或2026年1月至今其基本账户开户银行出具的资信证明；其他组织和自然人提供银行出具的资信证明或财务报表；</w:t>
      </w:r>
    </w:p>
    <w:p>
      <w:pPr>
        <w:pStyle w:val="null3"/>
      </w:pPr>
      <w:r>
        <w:rPr>
          <w:rFonts w:ascii="仿宋_GB2312" w:hAnsi="仿宋_GB2312" w:cs="仿宋_GB2312" w:eastAsia="仿宋_GB2312"/>
        </w:rPr>
        <w:t>4、税收缴纳证明：提供2025年6月至今已缴纳的至少一个月（以税款所属期为准）的纳税证明或完税证明（税种为营业税或增值税或企业所得税），依法免税的单位应提供相关证明材料；</w:t>
      </w:r>
    </w:p>
    <w:p>
      <w:pPr>
        <w:pStyle w:val="null3"/>
      </w:pPr>
      <w:r>
        <w:rPr>
          <w:rFonts w:ascii="仿宋_GB2312" w:hAnsi="仿宋_GB2312" w:cs="仿宋_GB2312" w:eastAsia="仿宋_GB2312"/>
        </w:rPr>
        <w:t>5、社保资金缴纳证明：提供2025年6月至今已缴存的至少一个月的社会保障资金缴存单据或社保机构开具的社会保险参保缴费情况证明，依法不需要缴纳社会保障资金的单位应提供相关证明材料；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6、设备、技术能力书面声明：提供具有履行合同所必需的设备和专业技术能力的书面声明；</w:t>
      </w:r>
    </w:p>
    <w:p>
      <w:pPr>
        <w:pStyle w:val="null3"/>
      </w:pPr>
      <w:r>
        <w:rPr>
          <w:rFonts w:ascii="仿宋_GB2312" w:hAnsi="仿宋_GB2312" w:cs="仿宋_GB2312" w:eastAsia="仿宋_GB2312"/>
        </w:rPr>
        <w:t>7、信用查询记录：供应商不得为“信用中国” 网站（www.creditchina.gov.cn）中列入失信被执行人和重大税收违法失信主体的供应商，不得为中国政府采购网（www.ccgp.gov.cn）政府采购严重违法失信行为记录名单中被财政部门禁止参加政府采购活动的供应商；（采购代理机构将在开标当日打印查询记录作为证据留存，对列入失信被执行人、重大税收违法失信主体当事人名单、政府采购严重违法失信行为记录名单及其他不符合《中华人民共和国政府采购法》第二十二条规定的供应商，采购代理机构将拒绝其参与政府采购活动，查询结果以电子或纸质方式留存。）</w:t>
      </w:r>
    </w:p>
    <w:p>
      <w:pPr>
        <w:pStyle w:val="null3"/>
      </w:pPr>
      <w:r>
        <w:rPr>
          <w:rFonts w:ascii="仿宋_GB2312" w:hAnsi="仿宋_GB2312" w:cs="仿宋_GB2312" w:eastAsia="仿宋_GB2312"/>
        </w:rPr>
        <w:t>8、关联关系：单位负责人为同一人或者存在控股、管理关系的不同单位不得同时投标；为本项目提供整体设计、规范编制或者项目管理、监理、检测等服务的供应商，不得再参加该采购项目的其他采购活动；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9、本次项目不接受联合体投标：提供非联合体投标承诺书；</w:t>
      </w:r>
    </w:p>
    <w:p>
      <w:pPr>
        <w:pStyle w:val="null3"/>
      </w:pPr>
      <w:r>
        <w:rPr>
          <w:rFonts w:ascii="仿宋_GB2312" w:hAnsi="仿宋_GB2312" w:cs="仿宋_GB2312" w:eastAsia="仿宋_GB2312"/>
        </w:rPr>
        <w:t>10、中小企业声明函：本项目专门面向中小企业采购，仅限符合《政府采购促进中小企业发展管理办法》（ 财库〔2020〕46号）条件的中小企业参与，提供中小企业声明函（残疾人福利性单位、监狱企业视同小、微企业）。</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西安市水务信息宣传教育中心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西安市未央区凤锦路58号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029-86250052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陕西贞吉建设项目管理有限公司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西安经济技术开发区赛高国际D座603室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杨亚妮 姜培栋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029-86679931/15353738403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采购包1：3,627,625.58元</w:t>
            </w:r>
          </w:p>
          <w:p>
            <w:pPr>
              <w:pStyle w:val="null3"/>
            </w:pPr>
            <w:r>
              <w:rPr>
                <w:rFonts w:ascii="仿宋_GB2312" w:hAnsi="仿宋_GB2312" w:cs="仿宋_GB2312" w:eastAsia="仿宋_GB2312"/>
              </w:rPr>
              <w:t>采购包2：1,470,390.42元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 857号）、《国家发展改革委关于降低部分建设项目收费标准规范收费行为等有关问题的通知》（发改价格[2011]534号）的有关规定下浮20%，向代理机构一次支付招标代理服务费，招标代理服务费用不足捌仟元（¥：8000元）时按捌仟元收取。2、代理费缴存账户： 开户名称：陕西贞吉建设项目管理有限公司 开户银行：兴业银行股份有限公司西安经济开发区支行 账号：4568 5010 0100 250 478 （备注：项目名称+代理服务费）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西安市水务信息宣传教育中心</w:t>
      </w:r>
      <w:r>
        <w:rPr>
          <w:rFonts w:ascii="仿宋_GB2312" w:hAnsi="仿宋_GB2312" w:cs="仿宋_GB2312" w:eastAsia="仿宋_GB2312"/>
        </w:rPr>
        <w:t>和</w:t>
      </w:r>
      <w:r>
        <w:rPr>
          <w:rFonts w:ascii="仿宋_GB2312" w:hAnsi="仿宋_GB2312" w:cs="仿宋_GB2312" w:eastAsia="仿宋_GB2312"/>
        </w:rPr>
        <w:t>陕西贞吉建设项目管理有限公司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西安市水务信息宣传教育中心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陕西贞吉建设项目管理有限公司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西安市水务信息宣传教育中心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陕西贞吉建设项目管理有限公司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按采购⽂件要求执⾏，符合现⾏国家验收规范合格标准。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按采购⽂件要求执⾏，符合现⾏国家验收规范合格标准。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陕西贞吉建设项目管理有限公司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陕西贞吉建设项目管理有限公司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陕西贞吉建设项目管理有限公司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联系人：杨亚妮 姜培栋</w:t>
      </w:r>
    </w:p>
    <w:p>
      <w:pPr>
        <w:pStyle w:val="null3"/>
      </w:pPr>
      <w:r>
        <w:rPr>
          <w:rFonts w:ascii="仿宋_GB2312" w:hAnsi="仿宋_GB2312" w:cs="仿宋_GB2312" w:eastAsia="仿宋_GB2312"/>
        </w:rPr>
        <w:t>联系电话：029-86679931</w:t>
      </w:r>
    </w:p>
    <w:p>
      <w:pPr>
        <w:pStyle w:val="null3"/>
      </w:pPr>
      <w:r>
        <w:rPr>
          <w:rFonts w:ascii="仿宋_GB2312" w:hAnsi="仿宋_GB2312" w:cs="仿宋_GB2312" w:eastAsia="仿宋_GB2312"/>
        </w:rPr>
        <w:t>地址：西安经济技术开发区赛高国际D座603室</w:t>
      </w:r>
    </w:p>
    <w:p>
      <w:pPr>
        <w:pStyle w:val="null3"/>
      </w:pPr>
      <w:r>
        <w:rPr>
          <w:rFonts w:ascii="仿宋_GB2312" w:hAnsi="仿宋_GB2312" w:cs="仿宋_GB2312" w:eastAsia="仿宋_GB2312"/>
        </w:rPr>
        <w:t>邮编：710021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西安市⽔务局2026年信息化设备设施设备运⾏维护项⽬，旨在保障⽔务信息系统前端设施设备的稳定运⾏。通过整 合运维资源、优化运维流程、深化技术应⽤，持续提升信息化设施设备运⾏效能，为⽔灾害防御、⽔资源管理、排⽔防涝 等业务提供可靠保障，助⼒西安市⽔务事业⾼质量发展。其中：项⽬包1涵盖西安市⽔灾害防御模块、西安排⽔管⽹信息管理模块、西安市河⻓制管理模块、主要河流县（区）界⾏政断⾯⽔质⽔量监测模块4个模块；项⽬包2涵盖引调⽔运管 模块、渭河光纤及信息化设施模块、西安市排洪渠道管理模块、西安市城区污⽔污泥智慧监管模块、⽔灾害防御物资智慧 化管理模块5个模块。涉及前端监测、视频会商等设备的维护。通过专业化运维团队的集中化、规范化管理，实现设备的 实时监测与快速响应，确保汛期等关键时期的可靠运⾏。遵循多项国家及⾏业标准，以提升运维效率，降低管理成本，为 西安市⽔务⼯作提供坚实技术⽀撑，保障城市防洪排涝与⽔资源管理能⼒的提升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3,627,625.58</w:t>
      </w:r>
    </w:p>
    <w:p>
      <w:pPr>
        <w:pStyle w:val="null3"/>
      </w:pPr>
      <w:r>
        <w:rPr>
          <w:rFonts w:ascii="仿宋_GB2312" w:hAnsi="仿宋_GB2312" w:cs="仿宋_GB2312" w:eastAsia="仿宋_GB2312"/>
        </w:rPr>
        <w:t>采购包最高限价（元）: 3,627,625.58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水灾害及河长等模块设施设备运维</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3,627,625.58</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1,470,390.42</w:t>
      </w:r>
    </w:p>
    <w:p>
      <w:pPr>
        <w:pStyle w:val="null3"/>
      </w:pPr>
      <w:r>
        <w:rPr>
          <w:rFonts w:ascii="仿宋_GB2312" w:hAnsi="仿宋_GB2312" w:cs="仿宋_GB2312" w:eastAsia="仿宋_GB2312"/>
        </w:rPr>
        <w:t>采购包最高限价（元）: 1,470,390.42</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水利工程及水资源管理等模块设施设备运维</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1,470,390.42</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标的名称：水灾害及河长等模块设施设备运维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一、项目名称：西安市水务局</w:t>
            </w:r>
            <w:r>
              <w:rPr>
                <w:rFonts w:ascii="仿宋_GB2312" w:hAnsi="仿宋_GB2312" w:cs="仿宋_GB2312" w:eastAsia="仿宋_GB2312"/>
                <w:sz w:val="18"/>
              </w:rPr>
              <w:t>2026年信息化设备设施设备运行维护项目</w:t>
            </w:r>
          </w:p>
          <w:p>
            <w:pPr>
              <w:pStyle w:val="null3"/>
              <w:jc w:val="both"/>
            </w:pPr>
            <w:r>
              <w:rPr>
                <w:rFonts w:ascii="仿宋_GB2312" w:hAnsi="仿宋_GB2312" w:cs="仿宋_GB2312" w:eastAsia="仿宋_GB2312"/>
                <w:sz w:val="18"/>
              </w:rPr>
              <w:t>二、采购预算：</w:t>
            </w:r>
            <w:r>
              <w:rPr>
                <w:rFonts w:ascii="仿宋_GB2312" w:hAnsi="仿宋_GB2312" w:cs="仿宋_GB2312" w:eastAsia="仿宋_GB2312"/>
                <w:sz w:val="18"/>
              </w:rPr>
              <w:t>3627625.58</w:t>
            </w:r>
            <w:r>
              <w:rPr>
                <w:rFonts w:ascii="仿宋_GB2312" w:hAnsi="仿宋_GB2312" w:cs="仿宋_GB2312" w:eastAsia="仿宋_GB2312"/>
                <w:sz w:val="18"/>
              </w:rPr>
              <w:t>元</w:t>
            </w:r>
          </w:p>
          <w:p>
            <w:pPr>
              <w:pStyle w:val="null3"/>
              <w:jc w:val="both"/>
            </w:pPr>
            <w:r>
              <w:rPr>
                <w:rFonts w:ascii="仿宋_GB2312" w:hAnsi="仿宋_GB2312" w:cs="仿宋_GB2312" w:eastAsia="仿宋_GB2312"/>
                <w:sz w:val="18"/>
              </w:rPr>
              <w:t>三、采购内容：西安市水务局</w:t>
            </w:r>
            <w:r>
              <w:rPr>
                <w:rFonts w:ascii="仿宋_GB2312" w:hAnsi="仿宋_GB2312" w:cs="仿宋_GB2312" w:eastAsia="仿宋_GB2312"/>
                <w:sz w:val="18"/>
              </w:rPr>
              <w:t>2026年信息化设备设施设备运行维护项目，主要内容为西安市水灾害防御模块、西安排水管网信息管理模块、西安市河长制管理模块、主要河流县（区）界行政断面水质水量监测模块四个专业模块的设施设备</w:t>
            </w:r>
            <w:r>
              <w:rPr>
                <w:rFonts w:ascii="仿宋_GB2312" w:hAnsi="仿宋_GB2312" w:cs="仿宋_GB2312" w:eastAsia="仿宋_GB2312"/>
                <w:sz w:val="18"/>
              </w:rPr>
              <w:t>运维</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四</w:t>
            </w:r>
            <w:r>
              <w:rPr>
                <w:rFonts w:ascii="仿宋_GB2312" w:hAnsi="仿宋_GB2312" w:cs="仿宋_GB2312" w:eastAsia="仿宋_GB2312"/>
                <w:sz w:val="18"/>
              </w:rPr>
              <w:t>、</w:t>
            </w:r>
            <w:r>
              <w:rPr>
                <w:rFonts w:ascii="仿宋_GB2312" w:hAnsi="仿宋_GB2312" w:cs="仿宋_GB2312" w:eastAsia="仿宋_GB2312"/>
                <w:sz w:val="18"/>
              </w:rPr>
              <w:t>服务期限：</w:t>
            </w:r>
            <w:r>
              <w:rPr>
                <w:rFonts w:ascii="仿宋_GB2312" w:hAnsi="仿宋_GB2312" w:cs="仿宋_GB2312" w:eastAsia="仿宋_GB2312"/>
                <w:sz w:val="18"/>
              </w:rPr>
              <w:t>2026年7月16日—2027年7月15日</w:t>
            </w:r>
          </w:p>
          <w:p>
            <w:pPr>
              <w:pStyle w:val="null3"/>
              <w:jc w:val="both"/>
            </w:pPr>
            <w:r>
              <w:rPr>
                <w:rFonts w:ascii="仿宋_GB2312" w:hAnsi="仿宋_GB2312" w:cs="仿宋_GB2312" w:eastAsia="仿宋_GB2312"/>
                <w:sz w:val="18"/>
              </w:rPr>
              <w:t>五</w:t>
            </w:r>
            <w:r>
              <w:rPr>
                <w:rFonts w:ascii="仿宋_GB2312" w:hAnsi="仿宋_GB2312" w:cs="仿宋_GB2312" w:eastAsia="仿宋_GB2312"/>
                <w:sz w:val="18"/>
              </w:rPr>
              <w:t>、资金来源：财政资金，资金来源已落实。</w:t>
            </w:r>
          </w:p>
          <w:p>
            <w:pPr>
              <w:pStyle w:val="null3"/>
            </w:pPr>
            <w:r>
              <w:rPr>
                <w:rFonts w:ascii="仿宋_GB2312" w:hAnsi="仿宋_GB2312" w:cs="仿宋_GB2312" w:eastAsia="仿宋_GB2312"/>
                <w:sz w:val="18"/>
              </w:rPr>
              <w:t>六</w:t>
            </w:r>
            <w:r>
              <w:rPr>
                <w:rFonts w:ascii="仿宋_GB2312" w:hAnsi="仿宋_GB2312" w:cs="仿宋_GB2312" w:eastAsia="仿宋_GB2312"/>
                <w:sz w:val="18"/>
              </w:rPr>
              <w:t>、</w:t>
            </w:r>
            <w:r>
              <w:rPr>
                <w:rFonts w:ascii="仿宋_GB2312" w:hAnsi="仿宋_GB2312" w:cs="仿宋_GB2312" w:eastAsia="仿宋_GB2312"/>
                <w:sz w:val="18"/>
              </w:rPr>
              <w:t>工作要求</w:t>
            </w:r>
            <w:r>
              <w:rPr>
                <w:rFonts w:ascii="仿宋_GB2312" w:hAnsi="仿宋_GB2312" w:cs="仿宋_GB2312" w:eastAsia="仿宋_GB2312"/>
                <w:sz w:val="18"/>
              </w:rPr>
              <w:t>：</w:t>
            </w:r>
            <w:r>
              <w:rPr>
                <w:rFonts w:ascii="仿宋_GB2312" w:hAnsi="仿宋_GB2312" w:cs="仿宋_GB2312" w:eastAsia="仿宋_GB2312"/>
                <w:sz w:val="18"/>
              </w:rPr>
              <w:t>详见附件：采购内容及要求。</w:t>
            </w: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标的名称：水利工程及水资源管理等模块设施设备运维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一、项目名称：西安市水务局</w:t>
            </w:r>
            <w:r>
              <w:rPr>
                <w:rFonts w:ascii="仿宋_GB2312" w:hAnsi="仿宋_GB2312" w:cs="仿宋_GB2312" w:eastAsia="仿宋_GB2312"/>
                <w:sz w:val="18"/>
              </w:rPr>
              <w:t>2026年信息化设备设施设备运行维护项目</w:t>
            </w:r>
          </w:p>
          <w:p>
            <w:pPr>
              <w:pStyle w:val="null3"/>
              <w:jc w:val="both"/>
            </w:pPr>
            <w:r>
              <w:rPr>
                <w:rFonts w:ascii="仿宋_GB2312" w:hAnsi="仿宋_GB2312" w:cs="仿宋_GB2312" w:eastAsia="仿宋_GB2312"/>
                <w:sz w:val="18"/>
              </w:rPr>
              <w:t>二、采购预算：</w:t>
            </w:r>
            <w:r>
              <w:rPr>
                <w:rFonts w:ascii="仿宋_GB2312" w:hAnsi="仿宋_GB2312" w:cs="仿宋_GB2312" w:eastAsia="仿宋_GB2312"/>
                <w:sz w:val="18"/>
              </w:rPr>
              <w:t>1470390.42</w:t>
            </w:r>
            <w:r>
              <w:rPr>
                <w:rFonts w:ascii="仿宋_GB2312" w:hAnsi="仿宋_GB2312" w:cs="仿宋_GB2312" w:eastAsia="仿宋_GB2312"/>
                <w:sz w:val="18"/>
              </w:rPr>
              <w:t>元</w:t>
            </w:r>
          </w:p>
          <w:p>
            <w:pPr>
              <w:pStyle w:val="null3"/>
              <w:jc w:val="both"/>
            </w:pPr>
            <w:r>
              <w:rPr>
                <w:rFonts w:ascii="仿宋_GB2312" w:hAnsi="仿宋_GB2312" w:cs="仿宋_GB2312" w:eastAsia="仿宋_GB2312"/>
                <w:sz w:val="18"/>
              </w:rPr>
              <w:t>三、采购内容：西安市水务局</w:t>
            </w:r>
            <w:r>
              <w:rPr>
                <w:rFonts w:ascii="仿宋_GB2312" w:hAnsi="仿宋_GB2312" w:cs="仿宋_GB2312" w:eastAsia="仿宋_GB2312"/>
                <w:sz w:val="18"/>
              </w:rPr>
              <w:t>2026年信息化设备设施设备运行维护项目，主要内容为包含引调水运管模块、渭河光纤及信息化设施模块、西安市排洪渠道管理模块、西安市城区污水污泥智慧监管模块、水灾害防御物资智慧化管理模块五个专业模块的设施设备。</w:t>
            </w:r>
          </w:p>
          <w:p>
            <w:pPr>
              <w:pStyle w:val="null3"/>
              <w:jc w:val="both"/>
            </w:pPr>
            <w:r>
              <w:rPr>
                <w:rFonts w:ascii="仿宋_GB2312" w:hAnsi="仿宋_GB2312" w:cs="仿宋_GB2312" w:eastAsia="仿宋_GB2312"/>
                <w:sz w:val="18"/>
              </w:rPr>
              <w:t>四</w:t>
            </w:r>
            <w:r>
              <w:rPr>
                <w:rFonts w:ascii="仿宋_GB2312" w:hAnsi="仿宋_GB2312" w:cs="仿宋_GB2312" w:eastAsia="仿宋_GB2312"/>
                <w:sz w:val="18"/>
              </w:rPr>
              <w:t>、服务期限：</w:t>
            </w:r>
            <w:r>
              <w:rPr>
                <w:rFonts w:ascii="仿宋_GB2312" w:hAnsi="仿宋_GB2312" w:cs="仿宋_GB2312" w:eastAsia="仿宋_GB2312"/>
                <w:sz w:val="18"/>
              </w:rPr>
              <w:t>2026年7月16日—2027年7月15日</w:t>
            </w:r>
          </w:p>
          <w:p>
            <w:pPr>
              <w:pStyle w:val="null3"/>
              <w:jc w:val="both"/>
            </w:pPr>
            <w:r>
              <w:rPr>
                <w:rFonts w:ascii="仿宋_GB2312" w:hAnsi="仿宋_GB2312" w:cs="仿宋_GB2312" w:eastAsia="仿宋_GB2312"/>
                <w:sz w:val="18"/>
              </w:rPr>
              <w:t>五</w:t>
            </w:r>
            <w:r>
              <w:rPr>
                <w:rFonts w:ascii="仿宋_GB2312" w:hAnsi="仿宋_GB2312" w:cs="仿宋_GB2312" w:eastAsia="仿宋_GB2312"/>
                <w:sz w:val="18"/>
              </w:rPr>
              <w:t>、资金来源：财政资金，资金来源已落实。</w:t>
            </w:r>
          </w:p>
          <w:p>
            <w:pPr>
              <w:pStyle w:val="null3"/>
            </w:pPr>
            <w:r>
              <w:rPr>
                <w:rFonts w:ascii="仿宋_GB2312" w:hAnsi="仿宋_GB2312" w:cs="仿宋_GB2312" w:eastAsia="仿宋_GB2312"/>
                <w:sz w:val="18"/>
              </w:rPr>
              <w:t>六</w:t>
            </w:r>
            <w:r>
              <w:rPr>
                <w:rFonts w:ascii="仿宋_GB2312" w:hAnsi="仿宋_GB2312" w:cs="仿宋_GB2312" w:eastAsia="仿宋_GB2312"/>
                <w:sz w:val="18"/>
              </w:rPr>
              <w:t>、</w:t>
            </w:r>
            <w:r>
              <w:rPr>
                <w:rFonts w:ascii="仿宋_GB2312" w:hAnsi="仿宋_GB2312" w:cs="仿宋_GB2312" w:eastAsia="仿宋_GB2312"/>
                <w:sz w:val="18"/>
              </w:rPr>
              <w:t>工作要求</w:t>
            </w:r>
            <w:r>
              <w:rPr>
                <w:rFonts w:ascii="仿宋_GB2312" w:hAnsi="仿宋_GB2312" w:cs="仿宋_GB2312" w:eastAsia="仿宋_GB2312"/>
                <w:sz w:val="18"/>
              </w:rPr>
              <w:t>：</w:t>
            </w:r>
            <w:r>
              <w:rPr>
                <w:rFonts w:ascii="仿宋_GB2312" w:hAnsi="仿宋_GB2312" w:cs="仿宋_GB2312" w:eastAsia="仿宋_GB2312"/>
                <w:sz w:val="18"/>
              </w:rPr>
              <w:t>详见附件：采购内容及要求。</w:t>
            </w: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满足项目采购需求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满足项目采购需求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2026年7月16日—2027年7月15日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2026年7月16日—2027年7月15日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1）工作完成后，由甲方验收，评审和验收标准应符合甲方采购要求，评审达不到要求的，继续完善至符合要求。 2）验收依据：合同文本、合同附件、招标文件及投标文件。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①⼯作完成后，由甲⽅验收，评审和验收标准应符合甲⽅采购要求，评审达不到要求的，继 续完善⾄符合要求。 ②验收依据：合同⽂本、合同附件、招标⽂件及投标⽂件。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 年汛后进行阶段评价，合格后，达到付款条件起10个工作日内，支付合同总金额的8.0%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进度款，2027年汛前进行阶段评价，合格后，达到付款条件起10个工作日内，支付合同总金额的40.0%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进度款，项目履约验收合格后，达到付款条件起10个工作日内，支付合同总金额的12.0%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 年汛后进行阶段评价，合格后，达到付款条件起10个工作日内，支付合同总金额的7.0%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进度款，2027年汛前进行阶段评价，合格后，达到付款条件起10个工作日内，支付合同总金额的40.0%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进度款，项目履约验收合格后，达到付款条件起10个工作日内，支付合同总金额的13.0%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供应商未全面履行合同义务或者发生违约，采购人有权终止合同，依法向成交供应商进行经济索赔，并报请政府采购监督管理机关进行相应的行政处罚。合同执行中发生争议的，当事人双方应协商解决，协商达不成一致时，可向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中华人民共和国民法典》《中华人民共和国政府采购法》的相关条款和本合同约定，供应商未全面履行合同义务或者发生违约，采购人有权终止合同，依法向成交供应商进行经济索赔，并报请政府采购监督管理机关进行相应的行政处罚。合同执行中发生争议的，当事人双方应协商解决，协商达不成一致时，可向人民法院提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为顺利推进政府采购电子化交易平台应用工作，供应商需要在线提交所有通过电子化交易平台实施的政府采购项目的响应文件，同时，成交供应商领取成交通知书时，应线下提交纸质版响应文件，正本壹份、副本贰套、电子版壹套（U盘）至代理机构。 线上电子响应文件与纸质响应文件一致；若正本和副本不符，以正本为准。 2.落实政府采购政策需满足的资格要求：依据《中华人民共和国政府采购法》和《中华人民共和国政府采购法实施条例》的有关规定，落实政府采购“优先购买节能环保产品、扶持小微企业、监狱企业、福利企业”等相关政策。1、《政府采购促进中小企业发展管理办法》（财库〔2020〕46号）、《陕西省财政厅关于进一步加大政府采购支持中小企业力度的通知》（陕财办采〔2022〕5号）、《陕西省财政厅关于落实政府采购支持中小企业政策有关事项的通知》（陕财办采〔2022〕10号）、《财政部关于进一步加大政府采购支持中小企业力度》的通知（财库〔2022〕19号）；2、《财政部司法部关于政府采购支持监狱企业发展有关问题的通知》（财库〔2014〕68号）；3、《国务院办公厅关于建立政府强制采购节能产品制度的通知》（国办发〔2007〕51号）；4、《节能产品政府采购实施意见》（财库〔2004〕185号）； 5、《环境标志产品政府采购实施的意见》（财库〔2006〕90号）；6、《三部门联合发布关于促进残疾人就业政府采购政策的通知》（财库〔2017〕141号）；7、《财政部发展改革委生态环境部市场监管总局关于调整优化节能产品、环境标志产品政府采购执行机制的通知》（财库〔2019〕9号）；8、关于印发环境标志产品政府采购品目清单的通知（财库〔2019〕18号）；9、《关于印发节能产品政府采购品目清单的通知》（财库〔2019〕19号）；10、《财政部、农业农村部、国家乡村振兴局关于运用政府采购政策支持乡村产业振兴的通知》（财库〔2021〕19号）；11、《陕西省中小企业政府采购信用融资办法》（陕财办采〔2018〕23号）、陕西省财政厅、中国人民银行西安分行关于深入推进政府采购信用融资业务的通知（陕财办采〔2023〕5号）；12、《关于政府采购支持绿色建材促进建筑品质提升试点工作的通知》（财库〔2020〕31 号）；13、融资平台：根据《陕西省财政厅关于加快推进我省中小企业政府采购信用融资工作的通知》陕财办采〔2020〕15号文件精神，有融资需求的供应商可根据自身情况，在陕西省政府采购信用融资平台（含各市分平台）自主选择金融机构及其融资产品，凭政府采购中标（成交）通知书或政府采购合同向金融机构提出融资申请；14、关于推动解决政府采购异常低价问题的通知（财库〔2026〕2号）；15、其他需要落实的政府采购政策。 3.成交说明：各供应商可同时参与包1、包2投标及评审，但每个供应商最多只能成交一个包。 注：本项目按照合同包1、合同包2顺序进行评审，若供应商已被推荐为合同包1第一名中标候选人，则该供应商不再获得合同包2中标候选人推荐资格。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在中华人民共和国境内注册，依法取得并有效存续的营业执照（含电子营业执照）\事业单位法人证书\民办非企业单位登记证书\非企业专业服务机构执业许可\自然人的提供身份证明文件；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法定代表人（负责人）委托授权书\身份证明</w:t>
            </w:r>
          </w:p>
        </w:tc>
        <w:tc>
          <w:tcPr>
            <w:tcW w:type="dxa" w:w="3322"/>
          </w:tcPr>
          <w:p>
            <w:pPr>
              <w:pStyle w:val="null3"/>
            </w:pPr>
            <w:r>
              <w:rPr>
                <w:rFonts w:ascii="仿宋_GB2312" w:hAnsi="仿宋_GB2312" w:cs="仿宋_GB2312" w:eastAsia="仿宋_GB2312"/>
              </w:rPr>
              <w:t>法定代表人（负责人）参加投标的，须出具法定代表人（负责人）身份证明书及身份证正反两面扫描件；法定代表人（负责人）授权委托代理人参加投标的，须出具法定代表人（负责人）授权委托书及委托代理人身份证正反两面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2023年度或2024年度或2025年度的财务会计报告（至少包括审计报告、资产负债表和利润表，成立时间至提交投标文件截止时间不足一年的可提供成立后任意时段的资产负债表）或2026年1月至今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提供2025年6月至今已缴纳的至少一个月（以税款所属期为准）的纳税证明或完税证明（税种为营业税或增值税或企业所得税），依法免税的单位应提供相关证明材料；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设备、技术能力书面声明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信用查询记录</w:t>
            </w:r>
          </w:p>
        </w:tc>
        <w:tc>
          <w:tcPr>
            <w:tcW w:type="dxa" w:w="3322"/>
          </w:tcPr>
          <w:p>
            <w:pPr>
              <w:pStyle w:val="null3"/>
            </w:pPr>
            <w:r>
              <w:rPr>
                <w:rFonts w:ascii="仿宋_GB2312" w:hAnsi="仿宋_GB2312" w:cs="仿宋_GB2312" w:eastAsia="仿宋_GB2312"/>
              </w:rPr>
              <w:t>供应商不得为“信用中国” 网站（www.creditchina.gov.cn）中列入失信被执行人和重大税收违法失信主体的供应商，不得为中国政府采购网（www.ccgp.gov.cn）政府采购严重违法失信行为记录名单中被财政部门禁止参加政府采购活动的供应商；（采购代理机构将在开标当日打印查询记录作为证据留存，对列入失信被执行人、重大税收违法失信主体当事人名单、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单位负责人为同一人或者存在控股、管理关系的不同单位不得同时投标；为本项目提供整体设计、规范编制或者项目管理、监理、检测等服务的供应商，不得再参加该采购项目的其他采购活动；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本次项目不接受联合体投标</w:t>
            </w:r>
          </w:p>
        </w:tc>
        <w:tc>
          <w:tcPr>
            <w:tcW w:type="dxa" w:w="3322"/>
          </w:tcPr>
          <w:p>
            <w:pPr>
              <w:pStyle w:val="null3"/>
            </w:pPr>
            <w:r>
              <w:rPr>
                <w:rFonts w:ascii="仿宋_GB2312" w:hAnsi="仿宋_GB2312" w:cs="仿宋_GB2312" w:eastAsia="仿宋_GB2312"/>
              </w:rPr>
              <w:t>提供非联合体投标承诺书；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 财库〔2020〕46号）条件的中小企业参与，提供中小企业声明函（残疾人福利性单位、监狱企业视同小、微企业）。</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在中华人民共和国境内注册，依法取得并有效存续的营业执照（含电子营业执照）\事业单位法人证书\民办非企业单位登记证书\非企业专业服务机构执业许可\自然人的提供身份证明文件；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法定代表人（负责人）委托授权书\身份证明</w:t>
            </w:r>
          </w:p>
        </w:tc>
        <w:tc>
          <w:tcPr>
            <w:tcW w:type="dxa" w:w="3322"/>
          </w:tcPr>
          <w:p>
            <w:pPr>
              <w:pStyle w:val="null3"/>
            </w:pPr>
            <w:r>
              <w:rPr>
                <w:rFonts w:ascii="仿宋_GB2312" w:hAnsi="仿宋_GB2312" w:cs="仿宋_GB2312" w:eastAsia="仿宋_GB2312"/>
              </w:rPr>
              <w:t>法定代表人（负责人）参加投标的，须出具法定代表人（负责人）身份证明书及身份证正反两面扫描件；法定代表人（负责人）授权委托代理人参加投标的，须出具法定代表人（负责人）授权委托书及委托代理人身份证正反两面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2023年度或2024年度或2025年度的财务会计报告（至少包括审计报告、资产负债表和利润表，成立时间至提交投标文件截止时间不足一年的可提供成立后任意时段的资产负债表）或2026年1月至今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提供2025年6月至今已缴纳的至少一个月（以税款所属期为准）的纳税证明或完税证明（税种为营业税或增值税或企业所得税），依法免税的单位应提供相关证明材料；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设备、技术能力书面声明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信用查询记录</w:t>
            </w:r>
          </w:p>
        </w:tc>
        <w:tc>
          <w:tcPr>
            <w:tcW w:type="dxa" w:w="3322"/>
          </w:tcPr>
          <w:p>
            <w:pPr>
              <w:pStyle w:val="null3"/>
            </w:pPr>
            <w:r>
              <w:rPr>
                <w:rFonts w:ascii="仿宋_GB2312" w:hAnsi="仿宋_GB2312" w:cs="仿宋_GB2312" w:eastAsia="仿宋_GB2312"/>
              </w:rPr>
              <w:t>供应商不得为“信用中国” 网站（www.creditchina.gov.cn）中列入失信被执行人和重大税收违法失信主体的供应商，不得为中国政府采购网（www.ccgp.gov.cn）政府采购严重违法失信行为记录名单中被财政部门禁止参加政府采购活动的供应商；（采购代理机构将在开标当日打印查询记录作为证据留存，对列入失信被执行人、重大税收违法失信主体当事人名单、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单位负责人为同一人或者存在控股、管理关系的不同单位不得同时投标；为本项目提供整体设计、规范编制或者项目管理、监理、检测等服务的供应商，不得再参加该采购项目的其他采购活动；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本次项目不接受联合体投标</w:t>
            </w:r>
          </w:p>
        </w:tc>
        <w:tc>
          <w:tcPr>
            <w:tcW w:type="dxa" w:w="3322"/>
          </w:tcPr>
          <w:p>
            <w:pPr>
              <w:pStyle w:val="null3"/>
            </w:pPr>
            <w:r>
              <w:rPr>
                <w:rFonts w:ascii="仿宋_GB2312" w:hAnsi="仿宋_GB2312" w:cs="仿宋_GB2312" w:eastAsia="仿宋_GB2312"/>
              </w:rPr>
              <w:t>提供非联合体投标承诺书；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 财库〔2020〕46号）条件的中小企业参与，提供中小企业声明函（残疾人福利性单位、监狱企业视同小、微企业）。</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 价</w:t>
            </w:r>
          </w:p>
        </w:tc>
        <w:tc>
          <w:tcPr>
            <w:tcW w:type="dxa" w:w="3322"/>
          </w:tcPr>
          <w:p>
            <w:pPr>
              <w:pStyle w:val="null3"/>
            </w:pPr>
            <w:r>
              <w:rPr>
                <w:rFonts w:ascii="仿宋_GB2312" w:hAnsi="仿宋_GB2312" w:cs="仿宋_GB2312" w:eastAsia="仿宋_GB2312"/>
              </w:rPr>
              <w:t>同时满足以下条款： （1）货币单位符合要求 （2）报价符合唯一性要求 （3）未超出采购预算或最高限价</w:t>
            </w:r>
          </w:p>
        </w:tc>
        <w:tc>
          <w:tcPr>
            <w:tcW w:type="dxa" w:w="1661"/>
          </w:tcPr>
          <w:p>
            <w:pPr>
              <w:pStyle w:val="null3"/>
            </w:pPr>
            <w:r>
              <w:rPr>
                <w:rFonts w:ascii="仿宋_GB2312" w:hAnsi="仿宋_GB2312" w:cs="仿宋_GB2312" w:eastAsia="仿宋_GB2312"/>
              </w:rPr>
              <w:t>开标一览表 响应文件.docx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自投标文件递交截止之日起90个日历日</w:t>
            </w:r>
          </w:p>
        </w:tc>
        <w:tc>
          <w:tcPr>
            <w:tcW w:type="dxa" w:w="1661"/>
          </w:tcPr>
          <w:p>
            <w:pPr>
              <w:pStyle w:val="null3"/>
            </w:pPr>
            <w:r>
              <w:rPr>
                <w:rFonts w:ascii="仿宋_GB2312" w:hAnsi="仿宋_GB2312" w:cs="仿宋_GB2312" w:eastAsia="仿宋_GB2312"/>
              </w:rPr>
              <w:t>响应文件.docx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响应文件.docx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是否符合法律、法规和招标文件中规定的其他实质性要求</w:t>
            </w:r>
          </w:p>
        </w:tc>
        <w:tc>
          <w:tcPr>
            <w:tcW w:type="dxa" w:w="1661"/>
          </w:tcPr>
          <w:p>
            <w:pPr>
              <w:pStyle w:val="null3"/>
            </w:pPr>
            <w:r>
              <w:rPr>
                <w:rFonts w:ascii="仿宋_GB2312" w:hAnsi="仿宋_GB2312" w:cs="仿宋_GB2312" w:eastAsia="仿宋_GB2312"/>
              </w:rPr>
              <w:t>响应文件.docx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 价</w:t>
            </w:r>
          </w:p>
        </w:tc>
        <w:tc>
          <w:tcPr>
            <w:tcW w:type="dxa" w:w="3322"/>
          </w:tcPr>
          <w:p>
            <w:pPr>
              <w:pStyle w:val="null3"/>
            </w:pPr>
            <w:r>
              <w:rPr>
                <w:rFonts w:ascii="仿宋_GB2312" w:hAnsi="仿宋_GB2312" w:cs="仿宋_GB2312" w:eastAsia="仿宋_GB2312"/>
              </w:rPr>
              <w:t>同时满足以下条款： （1）货币单位符合要求 （2）报价符合唯一性要求 （3）未超出采购预算或最高限价</w:t>
            </w:r>
          </w:p>
        </w:tc>
        <w:tc>
          <w:tcPr>
            <w:tcW w:type="dxa" w:w="1661"/>
          </w:tcPr>
          <w:p>
            <w:pPr>
              <w:pStyle w:val="null3"/>
            </w:pPr>
            <w:r>
              <w:rPr>
                <w:rFonts w:ascii="仿宋_GB2312" w:hAnsi="仿宋_GB2312" w:cs="仿宋_GB2312" w:eastAsia="仿宋_GB2312"/>
              </w:rPr>
              <w:t>开标一览表 响应文件.docx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自投标文件递交截止之日起90个日历日</w:t>
            </w:r>
          </w:p>
        </w:tc>
        <w:tc>
          <w:tcPr>
            <w:tcW w:type="dxa" w:w="1661"/>
          </w:tcPr>
          <w:p>
            <w:pPr>
              <w:pStyle w:val="null3"/>
            </w:pPr>
            <w:r>
              <w:rPr>
                <w:rFonts w:ascii="仿宋_GB2312" w:hAnsi="仿宋_GB2312" w:cs="仿宋_GB2312" w:eastAsia="仿宋_GB2312"/>
              </w:rPr>
              <w:t>响应文件.docx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响应文件.docx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是否符合法律、法规和招标文件中规定的其他实质性要求</w:t>
            </w:r>
          </w:p>
        </w:tc>
        <w:tc>
          <w:tcPr>
            <w:tcW w:type="dxa" w:w="1661"/>
          </w:tcPr>
          <w:p>
            <w:pPr>
              <w:pStyle w:val="null3"/>
            </w:pPr>
            <w:r>
              <w:rPr>
                <w:rFonts w:ascii="仿宋_GB2312" w:hAnsi="仿宋_GB2312" w:cs="仿宋_GB2312" w:eastAsia="仿宋_GB2312"/>
              </w:rPr>
              <w:t>响应文件.docx 资格证明文件.docx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项目整体服务方案</w:t>
            </w:r>
          </w:p>
        </w:tc>
        <w:tc>
          <w:tcPr>
            <w:tcW w:type="dxa" w:w="2492"/>
          </w:tcPr>
          <w:p>
            <w:pPr>
              <w:pStyle w:val="null3"/>
            </w:pPr>
            <w:r>
              <w:rPr>
                <w:rFonts w:ascii="仿宋_GB2312" w:hAnsi="仿宋_GB2312" w:cs="仿宋_GB2312" w:eastAsia="仿宋_GB2312"/>
              </w:rPr>
              <w:t>一、评审内容： 针对本项目的整体服务方案，要求工作业务流程符合国家相关标准、规范，并提供详细说明。内容包括 ①服务内容； ②服务标准；③服务措施；④服务目标。 二、评分标准： ①完整性：方案必须全面，对评审内容中的各项要求有详细描述；②可实施性：切合本项目实际情况，提出切实可行、合理的方案；③针对性：方案能够紧扣项目实际情况，内容科学合理。 三、赋分标准（满分10分）： ①对项目评审内容理解准确，内容齐全、结构完整、表述准确、条理清晰得10分； ②方案每缺失一项，扣2.5分； ③针对每条评审内容，每一条不符合本项目特点和实际需求，存在缺陷或实用性不强的扣0.5—1.5分，扣完为止。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响应文件.docx</w:t>
            </w:r>
          </w:p>
        </w:tc>
      </w:tr>
      <w:tr>
        <w:tc>
          <w:tcPr>
            <w:tcW w:type="dxa" w:w="831"/>
            <w:vMerge/>
          </w:tcPr>
          <w:p/>
        </w:tc>
        <w:tc>
          <w:tcPr>
            <w:tcW w:type="dxa" w:w="1661"/>
          </w:tcPr>
          <w:p>
            <w:pPr>
              <w:pStyle w:val="null3"/>
            </w:pPr>
            <w:r>
              <w:rPr>
                <w:rFonts w:ascii="仿宋_GB2312" w:hAnsi="仿宋_GB2312" w:cs="仿宋_GB2312" w:eastAsia="仿宋_GB2312"/>
              </w:rPr>
              <w:t>运行维护方案</w:t>
            </w:r>
          </w:p>
        </w:tc>
        <w:tc>
          <w:tcPr>
            <w:tcW w:type="dxa" w:w="2492"/>
          </w:tcPr>
          <w:p>
            <w:pPr>
              <w:pStyle w:val="null3"/>
            </w:pPr>
            <w:r>
              <w:rPr>
                <w:rFonts w:ascii="仿宋_GB2312" w:hAnsi="仿宋_GB2312" w:cs="仿宋_GB2312" w:eastAsia="仿宋_GB2312"/>
              </w:rPr>
              <w:t>一、评审内容： 针对本项目的运行维护方案，内容包含：①运维服务前期准备方案；②硬件维护方案；③现场/远程故障处理服务方案； ④培训服务方案；⑤应急演练及处置方案；⑥运维档案记录。 二、评分标准： ①完整性：方案必须全面，对评审内容中的各项要求有详细描述；②可实施性：切合本项目实际情况，提出切实可行、合理的方案；③针对性：方案能够紧扣项目实际情况，内容科学合理。 三、赋分标准（满分18分）： ①对项目评审内容理解准确，内容齐全、结构完整、表述准确、条理清晰得18分； ②方案每缺失一项，扣3分； ③针对每条评审内容，每一条不符合本项目特点和实际需求，存在缺陷或实用性不强的扣0.5—1.5分，扣完为止。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针对本项目的质量保障方案，内容包含：①质量控制标准；②质量控制措施；③质量控制流程。 二、评分标准： ①完整性：方案必须全面，对评审内容中的各项要求有详细描述；②可实施性：切合本项目实际情况，提出切实可行、合理的方案；③针对性：方案能够紧扣项目实际情况，内容科学合理。 三、赋分标准（满分6分）： ①对项目评审内容理解准确，内容齐全、结构完整、表述准确、条理清晰得6分； ②方案每缺失一项，扣2分； ③针对每条评审内容，每一条不符合本项目特点和实际需求，存在缺陷或实用性不强的扣0.5—1.5分，扣完为止。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针对本项目的服务方案，内容包含：①服务承诺、质量保证期限及质量保证的范围承诺；②服务响应时间；③后续增值服务的安排及保证措施。 二、评分标准： ①完整性：方案必须全面，对评审内容中的各项要求有详细描述；②可实施性：切合本项目实际情况，提出切实可行、合理的方案；③针对性：方案能够紧扣项目实际情况，内容科学合理。 三、赋分标准（满分6分）： ①对项目评审内容理解准确，内容齐全、结构完整、表述准确、条理清晰得6分； ②方案每缺失一项，扣2分； ③针对每条评审内容，每一条不符合本项目特点和实际需求，存在缺陷或实用性不强的扣0.5—1.5分，扣完为止。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响应文件.docx</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技术队伍配备合理，有针对本项目的专项服务小组，项目负责人、工作人员分工明确，人员配备能够满足系统运维的需要（以服务商人员情况表为依据，包括但不限于姓名、工作职责、联系方式等，格式自拟）。 （1）项目负责人（6分） 拟派项目负责人具备信息系统项目管理师（高级）证书+本单位近一年内任意1个月社保缴纳证明或劳动合同，得6分； （2）专业技术人员（12分） 拟派本项目专职技术人员（项目负责人除外）具备以下任意中级及以上证书：系统集成项目管理工程师、网络工程师、信息安全管理师、安全运维工程师、机电工程二级建造师证书、注册信息安全专业人员（CISP）、低压电工证、网络信息安全工程师等。 赋分标准：每人证书+本单位近一年内任意1个月社保缴纳证明或劳动合同，齐全得3分，累计最高12分，人员不重复计分。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响应文件.docx</w:t>
            </w:r>
          </w:p>
        </w:tc>
      </w:tr>
      <w:tr>
        <w:tc>
          <w:tcPr>
            <w:tcW w:type="dxa" w:w="831"/>
            <w:vMerge/>
          </w:tcPr>
          <w:p/>
        </w:tc>
        <w:tc>
          <w:tcPr>
            <w:tcW w:type="dxa" w:w="1661"/>
          </w:tcPr>
          <w:p>
            <w:pPr>
              <w:pStyle w:val="null3"/>
            </w:pPr>
            <w:r>
              <w:rPr>
                <w:rFonts w:ascii="仿宋_GB2312" w:hAnsi="仿宋_GB2312" w:cs="仿宋_GB2312" w:eastAsia="仿宋_GB2312"/>
              </w:rPr>
              <w:t>企业管理体系认证</w:t>
            </w:r>
          </w:p>
        </w:tc>
        <w:tc>
          <w:tcPr>
            <w:tcW w:type="dxa" w:w="2492"/>
          </w:tcPr>
          <w:p>
            <w:pPr>
              <w:pStyle w:val="null3"/>
            </w:pPr>
            <w:r>
              <w:rPr>
                <w:rFonts w:ascii="仿宋_GB2312" w:hAnsi="仿宋_GB2312" w:cs="仿宋_GB2312" w:eastAsia="仿宋_GB2312"/>
              </w:rPr>
              <w:t>投标供应商具有 ISO9001质量管理体系认证证书、ISO27001信息安全管理体系证书，每具有1项，得1分，最高2分； 注：按上述要求，提供加盖公章的相应资料的复印件，未提供不得分；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响应文件.docx</w:t>
            </w:r>
          </w:p>
        </w:tc>
      </w:tr>
      <w:tr>
        <w:tc>
          <w:tcPr>
            <w:tcW w:type="dxa" w:w="831"/>
            <w:vMerge/>
          </w:tcPr>
          <w:p/>
        </w:tc>
        <w:tc>
          <w:tcPr>
            <w:tcW w:type="dxa" w:w="1661"/>
          </w:tcPr>
          <w:p>
            <w:pPr>
              <w:pStyle w:val="null3"/>
            </w:pPr>
            <w:r>
              <w:rPr>
                <w:rFonts w:ascii="仿宋_GB2312" w:hAnsi="仿宋_GB2312" w:cs="仿宋_GB2312" w:eastAsia="仿宋_GB2312"/>
              </w:rPr>
              <w:t>本地应急资源</w:t>
            </w:r>
          </w:p>
        </w:tc>
        <w:tc>
          <w:tcPr>
            <w:tcW w:type="dxa" w:w="2492"/>
          </w:tcPr>
          <w:p>
            <w:pPr>
              <w:pStyle w:val="null3"/>
            </w:pPr>
            <w:r>
              <w:rPr>
                <w:rFonts w:ascii="仿宋_GB2312" w:hAnsi="仿宋_GB2312" w:cs="仿宋_GB2312" w:eastAsia="仿宋_GB2312"/>
              </w:rPr>
              <w:t>①提供本地化服务并在当地设立售后服务固定机构，提供服务机构场所证明材料（产权证或场地租赁合同复印件加盖公章）； ②具备本地常驻运维服务车辆（行驶证+公司名下证明）； ③7×24小时固定运维热线（书面承诺）； 赋分证明：每提供一项得2分，最高得6分，未提供不得分。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响应文件.docx</w:t>
            </w:r>
          </w:p>
        </w:tc>
      </w:tr>
      <w:tr>
        <w:tc>
          <w:tcPr>
            <w:tcW w:type="dxa" w:w="831"/>
            <w:vMerge/>
          </w:tcPr>
          <w:p/>
        </w:tc>
        <w:tc>
          <w:tcPr>
            <w:tcW w:type="dxa" w:w="1661"/>
          </w:tcPr>
          <w:p>
            <w:pPr>
              <w:pStyle w:val="null3"/>
            </w:pPr>
            <w:r>
              <w:rPr>
                <w:rFonts w:ascii="仿宋_GB2312" w:hAnsi="仿宋_GB2312" w:cs="仿宋_GB2312" w:eastAsia="仿宋_GB2312"/>
              </w:rPr>
              <w:t>专业运维工具设备</w:t>
            </w:r>
          </w:p>
        </w:tc>
        <w:tc>
          <w:tcPr>
            <w:tcW w:type="dxa" w:w="2492"/>
          </w:tcPr>
          <w:p>
            <w:pPr>
              <w:pStyle w:val="null3"/>
            </w:pPr>
            <w:r>
              <w:rPr>
                <w:rFonts w:ascii="仿宋_GB2312" w:hAnsi="仿宋_GB2312" w:cs="仿宋_GB2312" w:eastAsia="仿宋_GB2312"/>
              </w:rPr>
              <w:t>针对本项目配备光功率计、光纤熔接机、OTDR、标签打印机、钳形电流表、手持流量计等专业运维设备，每提供一项得1分，最高得6分;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2023年1月1日起至今，具有类似项目业绩（以合同或协议签订日期为准，响应文件中附加盖公章的合同或协议复印件，否则不作为评审依据），每提供一份有效业绩得3分，最多得18分。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满足招标文件要求且投标价格最低的投标报价为评审基准价，其价格分为满分。其他投标人的价格分统一按照下列公式计算：投标报价得分=（评标基准价/投标报价）×10%×100 注：本项目为专门面向中小企业，符合招标文件规定的小微企业、监狱企业、残疾人福利性单位优惠条件的投标人价格不再予以扣除。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项目整体服务方案</w:t>
            </w:r>
          </w:p>
        </w:tc>
        <w:tc>
          <w:tcPr>
            <w:tcW w:type="dxa" w:w="2492"/>
          </w:tcPr>
          <w:p>
            <w:pPr>
              <w:pStyle w:val="null3"/>
            </w:pPr>
            <w:r>
              <w:rPr>
                <w:rFonts w:ascii="仿宋_GB2312" w:hAnsi="仿宋_GB2312" w:cs="仿宋_GB2312" w:eastAsia="仿宋_GB2312"/>
              </w:rPr>
              <w:t>一、评审内容： 针对本项目的整体服务方案，要求工作业务流程符合国家相关标准、规范，并提供详细说明。内容包括 ①服务内容； ②服务标准；③服务措施；④服务目标。 二、评分标准： ①完整性：方案必须全面，对评审内容中的各项要求有详细描述；②可实施性：切合本项目实际情况，提出切实可行、合理的方案；③针对性：方案能够紧扣项目实际情况，内容科学合理。 三、赋分标准（满分10分）： ①对项目评审内容理解准确，内容齐全、结构完整、表述准确、条理清晰得10分； ②方案每缺失一项，扣2.5分； ③针对每条评审内容，每一条不符合本项目特点和实际需求，存在缺陷或实用性不强的扣0.5—1.5分，扣完为止。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响应文件.docx</w:t>
            </w:r>
          </w:p>
        </w:tc>
      </w:tr>
      <w:tr>
        <w:tc>
          <w:tcPr>
            <w:tcW w:type="dxa" w:w="831"/>
            <w:vMerge/>
          </w:tcPr>
          <w:p/>
        </w:tc>
        <w:tc>
          <w:tcPr>
            <w:tcW w:type="dxa" w:w="1661"/>
          </w:tcPr>
          <w:p>
            <w:pPr>
              <w:pStyle w:val="null3"/>
            </w:pPr>
            <w:r>
              <w:rPr>
                <w:rFonts w:ascii="仿宋_GB2312" w:hAnsi="仿宋_GB2312" w:cs="仿宋_GB2312" w:eastAsia="仿宋_GB2312"/>
              </w:rPr>
              <w:t>运行维护方案</w:t>
            </w:r>
          </w:p>
        </w:tc>
        <w:tc>
          <w:tcPr>
            <w:tcW w:type="dxa" w:w="2492"/>
          </w:tcPr>
          <w:p>
            <w:pPr>
              <w:pStyle w:val="null3"/>
            </w:pPr>
            <w:r>
              <w:rPr>
                <w:rFonts w:ascii="仿宋_GB2312" w:hAnsi="仿宋_GB2312" w:cs="仿宋_GB2312" w:eastAsia="仿宋_GB2312"/>
              </w:rPr>
              <w:t>一、评审内容： 针对本项目的运行维护方案，内容包含：①运维服务前期准备方案；②硬件维护方案；③现场/远程故障处理服务方案； ④培训服务方案；⑤应急演练及处置方案；⑥运维档案记录。 二、评分标准： ①完整性：方案必须全面，对评审内容中的各项要求有详细描述；②可实施性：切合本项目实际情况，提出切实可行、合理的方案；③针对性：方案能够紧扣项目实际情况，内容科学合理。 三、赋分标准（满分18分）： ①对项目评审内容理解准确，内容齐全、结构完整、表述准确、条理清晰得18分； ②方案每缺失一项，扣3分； ③针对每条评审内容，每一条不符合本项目特点和实际需求，存在缺陷或实用性不强的扣0.5—1.5分，扣完为止。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针对本项目的质量保障方案，内容包含：①质量控制标准；②质量控制措施；③质量控制流程。 二、评分标准： ①完整性：方案必须全面，对评审内容中的各项要求有详细描述；②可实施性：切合本项目实际情况，提出切实可行、合理的方案；③针对性：方案能够紧扣项目实际情况，内容科学合理。 三、赋分标准（满分6分）： ①对项目评审内容理解准确，内容齐全、结构完整、表述准确、条理清晰得6分； ②方案每缺失一项，扣2分； ③针对每条评审内容，每一条不符合本项目特点和实际需求，存在缺陷或实用性不强的扣0.5—1.5分，扣完为止。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针对本项目的服务方案，内容包含：①服务承诺、质量保证期限及质量保证的范围承诺；②服务响应时间；③后续增值服务的安排及保证措施。 二、评分标准： ①完整性：方案必须全面，对评审内容中的各项要求有详细描述；②可实施性：切合本项目实际情况，提出切实可行、合理的方案；③针对性：方案能够紧扣项目实际情况，内容科学合理。 三、赋分标准（满分6分）： ①对项目评审内容理解准确，内容齐全、结构完整、表述准确、条理清晰得6分； ②方案每缺失一项，扣2分； ③针对每条评审内容，每一条不符合本项目特点和实际需求，存在缺陷或实用性不强的扣0.5—1.5分，扣完为止。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响应文件.docx</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技术队伍配备合理，有针对本项目的专项服务小组，项目负责人、工作人员分工明确，人员配备能够满足系统运维的需要（以服务商人员情况表为依据，包括但不限于姓名、工作职责、联系方式等，格式自拟）。 （1）项目负责人（6分） 拟派项目负责人具备信息系统项目管理师（高级）证书+本单位近一年内任意1个月社保缴纳证明或劳动合同，得6分； （2）专业技术人员（12分） 拟派本项目专职技术人员（项目负责人除外）具备以下任意中级及以上证书：系统集成项目管理工程师、网络工程师、信息安全管理师、安全运维工程师、机电工程二级建造师证书、注册信息安全专业人员（CISP）、低压电工证、网络信息安全工程师等。 赋分标准：每人证书+本单位近一年内任意1个月社保缴纳证明或劳动合同，齐全得3分，累计最高12分，人员不重复计分。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响应文件.docx</w:t>
            </w:r>
          </w:p>
        </w:tc>
      </w:tr>
      <w:tr>
        <w:tc>
          <w:tcPr>
            <w:tcW w:type="dxa" w:w="831"/>
            <w:vMerge/>
          </w:tcPr>
          <w:p/>
        </w:tc>
        <w:tc>
          <w:tcPr>
            <w:tcW w:type="dxa" w:w="1661"/>
          </w:tcPr>
          <w:p>
            <w:pPr>
              <w:pStyle w:val="null3"/>
            </w:pPr>
            <w:r>
              <w:rPr>
                <w:rFonts w:ascii="仿宋_GB2312" w:hAnsi="仿宋_GB2312" w:cs="仿宋_GB2312" w:eastAsia="仿宋_GB2312"/>
              </w:rPr>
              <w:t>企业管理体系认证</w:t>
            </w:r>
          </w:p>
        </w:tc>
        <w:tc>
          <w:tcPr>
            <w:tcW w:type="dxa" w:w="2492"/>
          </w:tcPr>
          <w:p>
            <w:pPr>
              <w:pStyle w:val="null3"/>
            </w:pPr>
            <w:r>
              <w:rPr>
                <w:rFonts w:ascii="仿宋_GB2312" w:hAnsi="仿宋_GB2312" w:cs="仿宋_GB2312" w:eastAsia="仿宋_GB2312"/>
              </w:rPr>
              <w:t>投标供应商具有 ISO9001质量管理体系认证证书、ISO27001信息安全管理体系证书，每具有1项，得1分，最高2分； 注：按上述要求，提供加盖公章的相应资料的复印件，未提供不得分；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响应文件.docx</w:t>
            </w:r>
          </w:p>
        </w:tc>
      </w:tr>
      <w:tr>
        <w:tc>
          <w:tcPr>
            <w:tcW w:type="dxa" w:w="831"/>
            <w:vMerge/>
          </w:tcPr>
          <w:p/>
        </w:tc>
        <w:tc>
          <w:tcPr>
            <w:tcW w:type="dxa" w:w="1661"/>
          </w:tcPr>
          <w:p>
            <w:pPr>
              <w:pStyle w:val="null3"/>
            </w:pPr>
            <w:r>
              <w:rPr>
                <w:rFonts w:ascii="仿宋_GB2312" w:hAnsi="仿宋_GB2312" w:cs="仿宋_GB2312" w:eastAsia="仿宋_GB2312"/>
              </w:rPr>
              <w:t>本地应急资源</w:t>
            </w:r>
          </w:p>
        </w:tc>
        <w:tc>
          <w:tcPr>
            <w:tcW w:type="dxa" w:w="2492"/>
          </w:tcPr>
          <w:p>
            <w:pPr>
              <w:pStyle w:val="null3"/>
            </w:pPr>
            <w:r>
              <w:rPr>
                <w:rFonts w:ascii="仿宋_GB2312" w:hAnsi="仿宋_GB2312" w:cs="仿宋_GB2312" w:eastAsia="仿宋_GB2312"/>
              </w:rPr>
              <w:t>①提供本地化服务并在当地设立售后服务固定机构，提供服务机构场所证明材料（产权证或场地租赁合同复印件加盖公章）； ②具备本地常驻运维服务车辆（行驶证+公司名下证明）； ③7×24小时固定运维热线（书面承诺）； 赋分证明：每提供一项得2分，最高得6分，未提供不得分。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响应文件.docx</w:t>
            </w:r>
          </w:p>
        </w:tc>
      </w:tr>
      <w:tr>
        <w:tc>
          <w:tcPr>
            <w:tcW w:type="dxa" w:w="831"/>
            <w:vMerge/>
          </w:tcPr>
          <w:p/>
        </w:tc>
        <w:tc>
          <w:tcPr>
            <w:tcW w:type="dxa" w:w="1661"/>
          </w:tcPr>
          <w:p>
            <w:pPr>
              <w:pStyle w:val="null3"/>
            </w:pPr>
            <w:r>
              <w:rPr>
                <w:rFonts w:ascii="仿宋_GB2312" w:hAnsi="仿宋_GB2312" w:cs="仿宋_GB2312" w:eastAsia="仿宋_GB2312"/>
              </w:rPr>
              <w:t>专业运维工具设备</w:t>
            </w:r>
          </w:p>
        </w:tc>
        <w:tc>
          <w:tcPr>
            <w:tcW w:type="dxa" w:w="2492"/>
          </w:tcPr>
          <w:p>
            <w:pPr>
              <w:pStyle w:val="null3"/>
            </w:pPr>
            <w:r>
              <w:rPr>
                <w:rFonts w:ascii="仿宋_GB2312" w:hAnsi="仿宋_GB2312" w:cs="仿宋_GB2312" w:eastAsia="仿宋_GB2312"/>
              </w:rPr>
              <w:t>针对本项目配备光功率计、光纤熔接机、OTDR、标签打印机、钳形电流表、手持流量计等专业运维设备，每提供一项得1分，最高得6分；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2023年1月1日起至今，具有类似项目业绩（以合同或协议签订日期为准，响应文件中附加盖公章的合同或协议复印件，否则不作为评审依据），每提供一份有效业绩得3分，最多得18分。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满足招标文件要求且投标价格最低的投标报价为评审基准价，其价格分为满分。其他投标人的价格分统一按照下列公式计算：投标报价得分=（评标基准价/投标报价）×10%×100 注：本项目为专门面向中小企业，符合招标文件规定的小微企业、监狱企业、残疾人福利性单位优惠条件的投标人价格不再予以扣除。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详见附件：响应文件.docx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详见附件：响应文件.docx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