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版本号：SXZHZC2026-GK02120260608001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开元路派出所租赁房屋项目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SXZHZC2026-GK021</w:t>
      </w:r>
      <w:r>
        <w:br/>
      </w:r>
      <w:r>
        <w:br/>
      </w:r>
      <w:r>
        <w:br/>
      </w:r>
    </w:p>
    <w:p>
      <w:pPr>
        <w:pStyle w:val="null3"/>
        <w:jc w:val="center"/>
        <w:outlineLvl w:val="2"/>
      </w:pPr>
      <w:r>
        <w:rPr>
          <w:rFonts w:ascii="仿宋_GB2312" w:hAnsi="仿宋_GB2312" w:cs="仿宋_GB2312" w:eastAsia="仿宋_GB2312"/>
          <w:sz w:val="28"/>
          <w:b/>
        </w:rPr>
        <w:t>西安市公安局经济技术开发区分局</w:t>
      </w:r>
    </w:p>
    <w:p>
      <w:pPr>
        <w:pStyle w:val="null3"/>
        <w:jc w:val="center"/>
        <w:outlineLvl w:val="2"/>
      </w:pPr>
      <w:r>
        <w:rPr>
          <w:rFonts w:ascii="仿宋_GB2312" w:hAnsi="仿宋_GB2312" w:cs="仿宋_GB2312" w:eastAsia="仿宋_GB2312"/>
          <w:sz w:val="28"/>
          <w:b/>
        </w:rPr>
        <w:t>陕西泽航项目管理有限公司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陕西泽航项目管理有限公司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西安市公安局经济技术开发区分局</w:t>
      </w:r>
      <w:r>
        <w:rPr>
          <w:rFonts w:ascii="仿宋_GB2312" w:hAnsi="仿宋_GB2312" w:cs="仿宋_GB2312" w:eastAsia="仿宋_GB2312"/>
        </w:rPr>
        <w:t>委托，拟对</w:t>
      </w:r>
      <w:r>
        <w:rPr>
          <w:rFonts w:ascii="仿宋_GB2312" w:hAnsi="仿宋_GB2312" w:cs="仿宋_GB2312" w:eastAsia="仿宋_GB2312"/>
        </w:rPr>
        <w:t>开元路派出所租赁房屋项目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SXZHZC2026-GK021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开元路派出所租赁房屋项目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开元路派出所租赁房屋项目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西安市公安局经济技术开发区分局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文景路132号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029-86757365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陕西泽航项目管理有限公司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西安市未央区未央路80号盛龙广场A区1号楼1单元2601-619室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张婉莹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029-86477988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 成交供应商在领取成交通知书前，须向采购代理机构一次性支付招标代理服务费。 户名：陕西泽航项目管理有限公司 开户行：中国工商银行股份有限公司西安经济技术开发区支行 账号：3700000609200406578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西安市公安局经济技术开发区分局</w:t>
      </w:r>
      <w:r>
        <w:rPr>
          <w:rFonts w:ascii="仿宋_GB2312" w:hAnsi="仿宋_GB2312" w:cs="仿宋_GB2312" w:eastAsia="仿宋_GB2312"/>
        </w:rPr>
        <w:t>和</w:t>
      </w:r>
      <w:r>
        <w:rPr>
          <w:rFonts w:ascii="仿宋_GB2312" w:hAnsi="仿宋_GB2312" w:cs="仿宋_GB2312" w:eastAsia="仿宋_GB2312"/>
        </w:rPr>
        <w:t>陕西泽航项目管理有限公司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西安市公安局经济技术开发区分局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陕西泽航项目管理有限公司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西安市公安局经济技术开发区分局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陕西泽航项目管理有限公司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联系人：张婉莹 程康</w:t>
      </w:r>
    </w:p>
    <w:p>
      <w:pPr>
        <w:pStyle w:val="null3"/>
      </w:pPr>
      <w:r>
        <w:rPr>
          <w:rFonts w:ascii="仿宋_GB2312" w:hAnsi="仿宋_GB2312" w:cs="仿宋_GB2312" w:eastAsia="仿宋_GB2312"/>
        </w:rPr>
        <w:t>联系电话：029-86477988</w:t>
      </w:r>
    </w:p>
    <w:p>
      <w:pPr>
        <w:pStyle w:val="null3"/>
      </w:pPr>
      <w:r>
        <w:rPr>
          <w:rFonts w:ascii="仿宋_GB2312" w:hAnsi="仿宋_GB2312" w:cs="仿宋_GB2312" w:eastAsia="仿宋_GB2312"/>
        </w:rPr>
        <w:t>地址：西安市未央区未央路80号盛龙广场A区1号楼1单元2601-619室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开元路派出所租赁房屋项目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546,000.00</w:t>
      </w:r>
    </w:p>
    <w:p>
      <w:pPr>
        <w:pStyle w:val="null3"/>
      </w:pPr>
      <w:r>
        <w:rPr>
          <w:rFonts w:ascii="仿宋_GB2312" w:hAnsi="仿宋_GB2312" w:cs="仿宋_GB2312" w:eastAsia="仿宋_GB2312"/>
        </w:rPr>
        <w:t>采购包最高限价（元）: 546,000.00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开元路派出所租赁房屋项目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房地产开发经营</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标的名称：开元路派出所租赁房屋项目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拟承租房屋位于经开区开元路，配套设施（水、电、暖）需齐全，且交通便利，环境适宜，安全保障</w:t>
            </w:r>
            <w:r>
              <w:rPr>
                <w:rFonts w:ascii="仿宋_GB2312" w:hAnsi="仿宋_GB2312" w:cs="仿宋_GB2312" w:eastAsia="仿宋_GB2312"/>
                <w:sz w:val="24"/>
              </w:rPr>
              <w:t>。</w:t>
            </w:r>
          </w:p>
          <w:p>
            <w:pPr>
              <w:pStyle w:val="null3"/>
            </w:pPr>
            <w:r>
              <w:rPr>
                <w:rFonts w:ascii="仿宋_GB2312" w:hAnsi="仿宋_GB2312" w:cs="仿宋_GB2312" w:eastAsia="仿宋_GB2312"/>
                <w:sz w:val="24"/>
              </w:rPr>
              <w:t>承租房屋屋面积约</w:t>
            </w:r>
            <w:r>
              <w:rPr>
                <w:rFonts w:ascii="仿宋_GB2312" w:hAnsi="仿宋_GB2312" w:cs="仿宋_GB2312" w:eastAsia="仿宋_GB2312"/>
                <w:sz w:val="24"/>
              </w:rPr>
              <w:t>350㎡，计划承租年限2年，租金标准不超过65元/㎡/月，租金包含物业、水电费、暖气费，房屋现状需良好、安全环保消防配套设施满足租用用途。</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具有履行合同所必需的专业技术能力人员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2年，合同一年一签。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进度款，合同签订后，供应商应及时向采购人提供等额的增值税（普通）发票，采购人收到发票后，达到付款条件起30个工作日内，支付合同总金额的50.0%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进度款，租赁期满一年后续签下一年合同，供应商向采购人提供等额的增值税（普通）发票，采购人收到发票后，达到付款条件起30个工作日内，支付合同总金额的50.0%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详见合同文件</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3.5.1关于弃标的说明：按照《西安市财政局关于促进政府采购公平竞争优化营商环境的通知》（市财函〔2021〕431号）规定：供应商登记免费领取招标文件的，如不参与项目投标，应在提交投标文件截止时间前一日以书面形式告知采购代理机构（出具弃标函发送至代理机构邮箱：sxzhxmgl001@163.com）。否则，采购代理机构可以向财政部门反映情况并提供相应的佐证。供应商一年内累计出现三次该情形，将被监管部门记录为失信行为。 3.5.2纸质版投标文件要求：中标供应商在领取中标通知书前，须向采购代理机构提供纸质版投标文件3套（1正2副）且提供的投标文件必须与在陕西省政府采购综合管理平台的项目电子化交易系统中提交的电子投标文件内容一致，纸质版投标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 （2）提供资信证明及基本账户开户银行开户许可证复印件或基本存款账户信息，应满足以下要求:①资信证明须为投标文件提交截止时间前三个月内由供应商基本账户开户银行出具。②银行出具的存款证明不能替代银行资信证明〔注：（1）或（2）提供任意一种即可〕； 3.提供具有履行合同所必需的设备和专业技术能力的承诺； 4.提交投标文件截止时间前一年内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5.提交投标文件截止时间前一年内已缴存的至少一个月的社会保障资金缴存单据或社保机构开具的社会保险参保缴费情况证明，依法不需要缴纳社会保障资金的供应商应提供相应证明文件；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开标一览表 中小企业声明函 技术和商务偏离表 资格证明文件 业绩证明材料 投标函 残疾人福利性单位声明函 服务方案 标的清单 陕西省政府采购供应商拒绝政府采购领域商业贿赂承诺书 投标文件封面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标的清单 技术和商务偏离表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投标内容数量与要求符合招标文件要求或投标内容的技术指标应符合招标文件标记★要求</w:t>
            </w:r>
          </w:p>
        </w:tc>
        <w:tc>
          <w:tcPr>
            <w:tcW w:type="dxa" w:w="1661"/>
          </w:tcPr>
          <w:p>
            <w:pPr>
              <w:pStyle w:val="null3"/>
            </w:pPr>
            <w:r>
              <w:rPr>
                <w:rFonts w:ascii="仿宋_GB2312" w:hAnsi="仿宋_GB2312" w:cs="仿宋_GB2312" w:eastAsia="仿宋_GB2312"/>
              </w:rPr>
              <w:t>技术和商务偏离表 合同条款响应</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无其它不符合法律法规或招标文件规定的投标无效条款</w:t>
            </w:r>
          </w:p>
        </w:tc>
        <w:tc>
          <w:tcPr>
            <w:tcW w:type="dxa" w:w="1661"/>
          </w:tcPr>
          <w:p>
            <w:pPr>
              <w:pStyle w:val="null3"/>
            </w:pPr>
            <w:r>
              <w:rPr>
                <w:rFonts w:ascii="仿宋_GB2312" w:hAnsi="仿宋_GB2312" w:cs="仿宋_GB2312" w:eastAsia="仿宋_GB2312"/>
              </w:rPr>
              <w:t>开标一览表 中小企业声明函 技术和商务偏离表 资格证明文件 业绩证明材料 投标函 残疾人福利性单位声明函 服务方案 标的清单 陕西省政府采购供应商拒绝政府采购领域商业贿赂承诺书 投标文件封面 合同条款响应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保密承诺书</w:t>
            </w:r>
          </w:p>
        </w:tc>
        <w:tc>
          <w:tcPr>
            <w:tcW w:type="dxa" w:w="3322"/>
          </w:tcPr>
          <w:p>
            <w:pPr>
              <w:pStyle w:val="null3"/>
            </w:pPr>
            <w:r>
              <w:rPr>
                <w:rFonts w:ascii="仿宋_GB2312" w:hAnsi="仿宋_GB2312" w:cs="仿宋_GB2312" w:eastAsia="仿宋_GB2312"/>
              </w:rPr>
              <w:t>供应商需要提交保密承诺书（格式后附）</w:t>
            </w:r>
          </w:p>
        </w:tc>
        <w:tc>
          <w:tcPr>
            <w:tcW w:type="dxa" w:w="1661"/>
          </w:tcPr>
          <w:p>
            <w:pPr>
              <w:pStyle w:val="null3"/>
            </w:pPr>
            <w:r>
              <w:rPr>
                <w:rFonts w:ascii="仿宋_GB2312" w:hAnsi="仿宋_GB2312" w:cs="仿宋_GB2312" w:eastAsia="仿宋_GB2312"/>
              </w:rPr>
              <w:t>保密承诺书</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租赁服务方案</w:t>
            </w:r>
          </w:p>
        </w:tc>
        <w:tc>
          <w:tcPr>
            <w:tcW w:type="dxa" w:w="2492"/>
          </w:tcPr>
          <w:p>
            <w:pPr>
              <w:pStyle w:val="null3"/>
            </w:pPr>
            <w:r>
              <w:rPr>
                <w:rFonts w:ascii="仿宋_GB2312" w:hAnsi="仿宋_GB2312" w:cs="仿宋_GB2312" w:eastAsia="仿宋_GB2312"/>
              </w:rPr>
              <w:t>评审内容：①投标人对本项目的了解情况；②针对出租房屋有合理规划；③房屋状况描述；④房屋地理位置描述。 评审标准： 评审标准：方案内容专门针对本项目编制，切合本项目实际情况及实施要求，内容与要点相符、每个要点均有展开详细的阐述且能够适用于本项目的，得24分；每缺一项扣6分，存在缺陷的一项扣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评审内容：①租赁区域设施、管线等配套及公共部分附属设备维修保障措施；②租赁区域安全保障措施（包含但不限于燃气、电路、火灾等）；③服务保障承诺。 评审标准：方案内容专门针对本项目编制，切合本项目实际情况及实施要求，内容与要点相符、每个要点均有展开详细的阐述且能够适用于本项目的，得12分；每缺一项扣4分，存在缺陷的一项扣1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配套服务方案</w:t>
            </w:r>
          </w:p>
        </w:tc>
        <w:tc>
          <w:tcPr>
            <w:tcW w:type="dxa" w:w="2492"/>
          </w:tcPr>
          <w:p>
            <w:pPr>
              <w:pStyle w:val="null3"/>
            </w:pPr>
            <w:r>
              <w:rPr>
                <w:rFonts w:ascii="仿宋_GB2312" w:hAnsi="仿宋_GB2312" w:cs="仿宋_GB2312" w:eastAsia="仿宋_GB2312"/>
              </w:rPr>
              <w:t>评审内容：①房屋质量定期检查及修缮方案；②水电暖设施定期检查及修缮方案。 评审标准： 评审标准：方案内容专门针对本项目编制，切合本项目实际情况及实施要求，内容与要点相符、每个要点均有展开详细的阐述且能够适用于本项目的，得10分；每缺一项5分，存在缺陷的一项扣1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拟投入场所</w:t>
            </w:r>
          </w:p>
        </w:tc>
        <w:tc>
          <w:tcPr>
            <w:tcW w:type="dxa" w:w="2492"/>
          </w:tcPr>
          <w:p>
            <w:pPr>
              <w:pStyle w:val="null3"/>
            </w:pPr>
            <w:r>
              <w:rPr>
                <w:rFonts w:ascii="仿宋_GB2312" w:hAnsi="仿宋_GB2312" w:cs="仿宋_GB2312" w:eastAsia="仿宋_GB2312"/>
              </w:rPr>
              <w:t>评审内容：①场所面积；②场所位置。 ①评审标准：投标人拟出租场所面积为340-400㎡的，得5分；投标人拟出租场所面积为311-339㎡的，得3分；投标人拟出租场所面积为300-310㎡的，得1分；投标人拟出租场所面积大于400㎡或小于299㎡的，本项不得分。（提供拟租赁房屋的产权证或其他有效证明文件，须体现场所面积） ②评审标准：投标人拟投入场所位于开元路得5分；其他不得分。（提供拟租赁场所在开元路位置的高德、百度或其他导航截图）</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评审内容：①房屋设施故障应急预案；②突发其他不可预见状况应急预案。 评审标准： 评审标准：方案内容专门针对本项目编制，切合本项目实际情况及实施要求，内容与要点相符、每个要点均有展开详细的阐述且能够适用于本项目的，得6分；每缺一项扣3分，存在缺陷的一项扣1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评审内容：①对房屋状况的分析报告②提出专业指导及合理建议。 评审标准：方案内容专门针对本项目编制，切合本项目实际情况及实施要求，内容与要点相符、每个要点均有展开详细的阐述且能够适用于本项目的，得8分；每缺一项扣4分，存在缺陷的一项扣1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评审内容：服务承诺（不限于服务内容、响应时间等）。 评审标准：方案各部分内容全面详细、阐述条理清晰详尽、符合本项目采购需求得4分；评审内容缺项扣4分；存在缺陷的一项扣1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交接方案</w:t>
            </w:r>
          </w:p>
        </w:tc>
        <w:tc>
          <w:tcPr>
            <w:tcW w:type="dxa" w:w="2492"/>
          </w:tcPr>
          <w:p>
            <w:pPr>
              <w:pStyle w:val="null3"/>
            </w:pPr>
            <w:r>
              <w:rPr>
                <w:rFonts w:ascii="仿宋_GB2312" w:hAnsi="仿宋_GB2312" w:cs="仿宋_GB2312" w:eastAsia="仿宋_GB2312"/>
              </w:rPr>
              <w:t>评审内容：①租赁时交接方案；②退租时的实施方案。 评审标准：方案内容专门针对本项目编制，切合本项目实际情况及实施要求，内容与要点相符、每个要点均有展开详细的阐述且能够适用于本项目的，得6分；每缺一项扣3分，存在缺陷的一项扣1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投标人需提供2023年1月1日以来至今类似项目合同，每提供一份得2分。最高得10分，未提供不得分。 业绩证明（以合同签订时间落款时间为准，须在投标文件中附合同的扫描件加盖单位公章）弄虚作假者，取消其中标资格。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详见附件：保密承诺书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