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63273D">
      <w:pPr>
        <w:pStyle w:val="4"/>
        <w:jc w:val="center"/>
        <w:outlineLvl w:val="1"/>
        <w:rPr>
          <w:color w:val="auto"/>
        </w:rPr>
      </w:pPr>
      <w:r>
        <w:rPr>
          <w:rFonts w:ascii="仿宋_GB2312" w:hAnsi="仿宋_GB2312" w:eastAsia="仿宋_GB2312" w:cs="仿宋_GB2312"/>
          <w:b/>
          <w:color w:val="auto"/>
          <w:sz w:val="36"/>
        </w:rPr>
        <w:t>拟签订采购合同文本</w:t>
      </w:r>
    </w:p>
    <w:p w14:paraId="0A45631F">
      <w:pPr>
        <w:rPr>
          <w:rFonts w:hint="eastAsia" w:ascii="仿宋" w:hAnsi="仿宋" w:eastAsia="仿宋" w:cs="仿宋"/>
          <w:b/>
          <w:color w:val="auto"/>
          <w:kern w:val="0"/>
          <w:sz w:val="40"/>
          <w:szCs w:val="40"/>
          <w:highlight w:val="none"/>
          <w:lang w:eastAsia="zh-CN"/>
        </w:rPr>
      </w:pPr>
    </w:p>
    <w:p w14:paraId="0C54EC8C">
      <w:pPr>
        <w:rPr>
          <w:rFonts w:hint="eastAsia" w:ascii="仿宋" w:hAnsi="仿宋" w:eastAsia="仿宋" w:cs="仿宋"/>
          <w:b/>
          <w:color w:val="auto"/>
          <w:kern w:val="0"/>
          <w:sz w:val="40"/>
          <w:szCs w:val="40"/>
          <w:highlight w:val="none"/>
          <w:lang w:eastAsia="zh-CN"/>
        </w:rPr>
      </w:pPr>
    </w:p>
    <w:p w14:paraId="467AEFAC">
      <w:pPr>
        <w:jc w:val="center"/>
        <w:rPr>
          <w:rFonts w:hint="eastAsia" w:ascii="仿宋" w:hAnsi="仿宋" w:eastAsia="仿宋" w:cs="仿宋"/>
          <w:b/>
          <w:color w:val="auto"/>
          <w:kern w:val="0"/>
          <w:sz w:val="40"/>
          <w:szCs w:val="40"/>
          <w:highlight w:val="none"/>
          <w:lang w:val="en-US" w:eastAsia="zh-CN"/>
        </w:rPr>
      </w:pPr>
    </w:p>
    <w:p w14:paraId="3A34012A">
      <w:pPr>
        <w:jc w:val="center"/>
        <w:rPr>
          <w:rFonts w:hint="default" w:ascii="仿宋" w:hAnsi="仿宋" w:eastAsia="仿宋" w:cs="仿宋"/>
          <w:b/>
          <w:color w:val="auto"/>
          <w:kern w:val="0"/>
          <w:sz w:val="40"/>
          <w:szCs w:val="40"/>
          <w:highlight w:val="none"/>
          <w:lang w:val="en-US" w:eastAsia="zh-CN"/>
        </w:rPr>
      </w:pPr>
      <w:r>
        <w:rPr>
          <w:rFonts w:hint="eastAsia" w:ascii="仿宋" w:hAnsi="仿宋" w:eastAsia="仿宋" w:cs="仿宋"/>
          <w:b/>
          <w:color w:val="auto"/>
          <w:kern w:val="0"/>
          <w:sz w:val="40"/>
          <w:szCs w:val="40"/>
          <w:highlight w:val="none"/>
          <w:lang w:val="en-US" w:eastAsia="zh-CN"/>
        </w:rPr>
        <w:t>开元路派出所租赁房屋项目</w:t>
      </w:r>
    </w:p>
    <w:p w14:paraId="7372F112">
      <w:pPr>
        <w:spacing w:line="360" w:lineRule="auto"/>
        <w:jc w:val="center"/>
        <w:rPr>
          <w:rFonts w:hint="eastAsia" w:ascii="仿宋" w:hAnsi="仿宋" w:eastAsia="仿宋" w:cs="仿宋"/>
          <w:color w:val="auto"/>
          <w:highlight w:val="none"/>
          <w:u w:val="single"/>
        </w:rPr>
      </w:pPr>
    </w:p>
    <w:p w14:paraId="21185AF3">
      <w:pPr>
        <w:spacing w:line="360" w:lineRule="auto"/>
        <w:jc w:val="center"/>
        <w:rPr>
          <w:rFonts w:hint="eastAsia" w:ascii="仿宋" w:hAnsi="仿宋" w:eastAsia="仿宋" w:cs="仿宋"/>
          <w:color w:val="auto"/>
          <w:highlight w:val="none"/>
          <w:u w:val="single"/>
        </w:rPr>
      </w:pPr>
    </w:p>
    <w:p w14:paraId="0F8D57D0">
      <w:pPr>
        <w:pStyle w:val="5"/>
        <w:spacing w:line="360" w:lineRule="auto"/>
        <w:jc w:val="center"/>
        <w:rPr>
          <w:rFonts w:hint="eastAsia" w:ascii="仿宋" w:hAnsi="仿宋" w:eastAsia="仿宋" w:cs="仿宋"/>
          <w:color w:val="auto"/>
          <w:highlight w:val="none"/>
        </w:rPr>
      </w:pPr>
    </w:p>
    <w:p w14:paraId="2B6E1F6C">
      <w:pPr>
        <w:pStyle w:val="5"/>
        <w:spacing w:line="360" w:lineRule="auto"/>
        <w:jc w:val="center"/>
        <w:rPr>
          <w:rFonts w:hint="eastAsia" w:ascii="仿宋" w:hAnsi="仿宋" w:eastAsia="仿宋" w:cs="仿宋"/>
          <w:color w:val="auto"/>
          <w:highlight w:val="none"/>
        </w:rPr>
      </w:pPr>
    </w:p>
    <w:p w14:paraId="7CEED80D">
      <w:pPr>
        <w:pStyle w:val="5"/>
        <w:spacing w:line="360" w:lineRule="auto"/>
        <w:jc w:val="center"/>
        <w:rPr>
          <w:rFonts w:hint="eastAsia" w:ascii="仿宋" w:hAnsi="仿宋" w:eastAsia="仿宋" w:cs="仿宋"/>
          <w:color w:val="auto"/>
          <w:highlight w:val="none"/>
        </w:rPr>
      </w:pPr>
    </w:p>
    <w:p w14:paraId="7AC20E59">
      <w:pPr>
        <w:pStyle w:val="5"/>
        <w:spacing w:line="360" w:lineRule="auto"/>
        <w:jc w:val="center"/>
        <w:rPr>
          <w:rFonts w:hint="eastAsia" w:ascii="仿宋" w:hAnsi="仿宋" w:eastAsia="仿宋" w:cs="仿宋"/>
          <w:color w:val="auto"/>
          <w:highlight w:val="none"/>
        </w:rPr>
      </w:pPr>
    </w:p>
    <w:p w14:paraId="1D3EEE50">
      <w:pPr>
        <w:adjustRightInd w:val="0"/>
        <w:snapToGrid w:val="0"/>
        <w:spacing w:line="360" w:lineRule="auto"/>
        <w:jc w:val="center"/>
        <w:rPr>
          <w:rFonts w:hint="eastAsia" w:ascii="仿宋" w:hAnsi="仿宋" w:eastAsia="仿宋" w:cs="仿宋"/>
          <w:b/>
          <w:bCs/>
          <w:color w:val="auto"/>
          <w:sz w:val="84"/>
          <w:szCs w:val="84"/>
          <w:highlight w:val="none"/>
        </w:rPr>
      </w:pPr>
      <w:r>
        <w:rPr>
          <w:rFonts w:hint="eastAsia" w:ascii="仿宋" w:hAnsi="仿宋" w:eastAsia="仿宋" w:cs="仿宋"/>
          <w:b/>
          <w:bCs/>
          <w:color w:val="auto"/>
          <w:sz w:val="84"/>
          <w:szCs w:val="84"/>
          <w:highlight w:val="none"/>
        </w:rPr>
        <w:t>合 同 文 件</w:t>
      </w:r>
    </w:p>
    <w:p w14:paraId="75351BAA">
      <w:pPr>
        <w:adjustRightInd w:val="0"/>
        <w:snapToGrid w:val="0"/>
        <w:spacing w:line="360" w:lineRule="auto"/>
        <w:jc w:val="center"/>
        <w:rPr>
          <w:rFonts w:hint="eastAsia" w:ascii="仿宋" w:hAnsi="仿宋" w:eastAsia="仿宋" w:cs="仿宋"/>
          <w:color w:val="auto"/>
          <w:highlight w:val="none"/>
        </w:rPr>
      </w:pPr>
    </w:p>
    <w:p w14:paraId="4F0116A9">
      <w:pPr>
        <w:adjustRightInd w:val="0"/>
        <w:snapToGrid w:val="0"/>
        <w:spacing w:line="360" w:lineRule="auto"/>
        <w:jc w:val="center"/>
        <w:rPr>
          <w:rFonts w:hint="eastAsia" w:ascii="仿宋" w:hAnsi="仿宋" w:eastAsia="仿宋" w:cs="仿宋"/>
          <w:color w:val="auto"/>
          <w:highlight w:val="none"/>
        </w:rPr>
      </w:pPr>
    </w:p>
    <w:p w14:paraId="6F3FB64E">
      <w:pPr>
        <w:adjustRightInd w:val="0"/>
        <w:snapToGrid w:val="0"/>
        <w:spacing w:line="360" w:lineRule="auto"/>
        <w:jc w:val="center"/>
        <w:rPr>
          <w:rFonts w:hint="eastAsia" w:ascii="仿宋" w:hAnsi="仿宋" w:eastAsia="仿宋" w:cs="仿宋"/>
          <w:color w:val="auto"/>
          <w:highlight w:val="none"/>
        </w:rPr>
      </w:pPr>
    </w:p>
    <w:p w14:paraId="05BA878B">
      <w:pPr>
        <w:pStyle w:val="6"/>
        <w:jc w:val="center"/>
        <w:rPr>
          <w:rFonts w:hint="eastAsia" w:ascii="仿宋" w:hAnsi="仿宋" w:eastAsia="仿宋" w:cs="仿宋"/>
          <w:color w:val="auto"/>
          <w:highlight w:val="none"/>
        </w:rPr>
      </w:pPr>
    </w:p>
    <w:p w14:paraId="7B526B60">
      <w:pPr>
        <w:pStyle w:val="6"/>
        <w:jc w:val="center"/>
        <w:rPr>
          <w:rFonts w:hint="eastAsia" w:ascii="仿宋" w:hAnsi="仿宋" w:eastAsia="仿宋" w:cs="仿宋"/>
          <w:color w:val="auto"/>
          <w:highlight w:val="none"/>
        </w:rPr>
      </w:pPr>
    </w:p>
    <w:p w14:paraId="16E7DD63">
      <w:pPr>
        <w:pStyle w:val="6"/>
        <w:jc w:val="center"/>
        <w:rPr>
          <w:rFonts w:hint="eastAsia" w:ascii="仿宋" w:hAnsi="仿宋" w:eastAsia="仿宋" w:cs="仿宋"/>
          <w:color w:val="auto"/>
          <w:highlight w:val="none"/>
        </w:rPr>
      </w:pPr>
    </w:p>
    <w:p w14:paraId="4A207716">
      <w:pPr>
        <w:pStyle w:val="6"/>
        <w:jc w:val="center"/>
        <w:rPr>
          <w:rFonts w:hint="eastAsia" w:ascii="仿宋" w:hAnsi="仿宋" w:eastAsia="仿宋" w:cs="仿宋"/>
          <w:color w:val="auto"/>
          <w:highlight w:val="none"/>
        </w:rPr>
      </w:pPr>
    </w:p>
    <w:p w14:paraId="6DB9E8F5">
      <w:pPr>
        <w:pStyle w:val="6"/>
        <w:jc w:val="center"/>
        <w:rPr>
          <w:rFonts w:hint="eastAsia" w:ascii="仿宋" w:hAnsi="仿宋" w:eastAsia="仿宋" w:cs="仿宋"/>
          <w:color w:val="auto"/>
          <w:highlight w:val="none"/>
        </w:rPr>
      </w:pPr>
    </w:p>
    <w:p w14:paraId="07E163B3">
      <w:pPr>
        <w:pStyle w:val="6"/>
        <w:jc w:val="center"/>
        <w:rPr>
          <w:rFonts w:hint="eastAsia" w:ascii="仿宋" w:hAnsi="仿宋" w:eastAsia="仿宋" w:cs="仿宋"/>
          <w:color w:val="auto"/>
          <w:highlight w:val="none"/>
        </w:rPr>
      </w:pPr>
    </w:p>
    <w:p w14:paraId="1782C776">
      <w:pPr>
        <w:ind w:firstLine="1968" w:firstLineChars="700"/>
        <w:jc w:val="both"/>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采购人(甲方) :</w:t>
      </w:r>
    </w:p>
    <w:p w14:paraId="0EDA1D92">
      <w:pPr>
        <w:keepNext w:val="0"/>
        <w:keepLines w:val="0"/>
        <w:pageBreakBefore w:val="0"/>
        <w:widowControl w:val="0"/>
        <w:kinsoku/>
        <w:wordWrap/>
        <w:overflowPunct/>
        <w:topLinePunct w:val="0"/>
        <w:autoSpaceDE/>
        <w:autoSpaceDN/>
        <w:bidi w:val="0"/>
        <w:adjustRightInd w:val="0"/>
        <w:snapToGrid w:val="0"/>
        <w:spacing w:before="157" w:beforeLines="50" w:line="480" w:lineRule="auto"/>
        <w:ind w:firstLine="1968" w:firstLineChars="700"/>
        <w:jc w:val="both"/>
        <w:textAlignment w:val="auto"/>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供应商(乙方) :</w:t>
      </w:r>
    </w:p>
    <w:p w14:paraId="45E86DDF">
      <w:pPr>
        <w:pStyle w:val="4"/>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二〇二</w:t>
      </w:r>
      <w:r>
        <w:rPr>
          <w:rFonts w:hint="eastAsia" w:ascii="仿宋" w:hAnsi="仿宋" w:eastAsia="仿宋" w:cs="仿宋"/>
          <w:b/>
          <w:color w:val="auto"/>
          <w:sz w:val="32"/>
          <w:szCs w:val="32"/>
          <w:highlight w:val="none"/>
          <w:lang w:val="en-US" w:eastAsia="zh-CN"/>
        </w:rPr>
        <w:t>六</w:t>
      </w:r>
      <w:r>
        <w:rPr>
          <w:rFonts w:hint="eastAsia" w:ascii="仿宋" w:hAnsi="仿宋" w:eastAsia="仿宋" w:cs="仿宋"/>
          <w:b/>
          <w:color w:val="auto"/>
          <w:sz w:val="32"/>
          <w:szCs w:val="32"/>
          <w:highlight w:val="none"/>
        </w:rPr>
        <w:t>年   月   日</w:t>
      </w:r>
    </w:p>
    <w:p w14:paraId="5D292D69">
      <w:pPr>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br w:type="page"/>
      </w:r>
    </w:p>
    <w:p w14:paraId="038A9831">
      <w:pPr>
        <w:pStyle w:val="4"/>
        <w:ind w:firstLine="482" w:firstLineChars="200"/>
        <w:rPr>
          <w:rFonts w:hint="default" w:ascii="仿宋" w:hAnsi="仿宋" w:eastAsia="仿宋" w:cs="仿宋"/>
          <w:b/>
          <w:color w:val="auto"/>
          <w:sz w:val="24"/>
          <w:highlight w:val="none"/>
          <w:lang w:val="en-US" w:eastAsia="zh-CN"/>
        </w:rPr>
      </w:pPr>
      <w:r>
        <w:rPr>
          <w:rFonts w:hint="eastAsia" w:ascii="仿宋" w:hAnsi="仿宋" w:eastAsia="仿宋" w:cs="仿宋"/>
          <w:b/>
          <w:color w:val="auto"/>
          <w:sz w:val="24"/>
          <w:highlight w:val="none"/>
        </w:rPr>
        <w:t>甲 方（采购单位） ：</w:t>
      </w:r>
      <w:r>
        <w:rPr>
          <w:rFonts w:hint="eastAsia" w:ascii="仿宋" w:hAnsi="仿宋" w:eastAsia="仿宋" w:cs="仿宋"/>
          <w:b/>
          <w:color w:val="auto"/>
          <w:sz w:val="24"/>
          <w:highlight w:val="none"/>
          <w:u w:val="single"/>
          <w:lang w:val="en-US" w:eastAsia="zh-CN"/>
        </w:rPr>
        <w:t xml:space="preserve">                          </w:t>
      </w:r>
    </w:p>
    <w:p w14:paraId="3C7C8A39">
      <w:pPr>
        <w:spacing w:line="360" w:lineRule="auto"/>
        <w:ind w:firstLine="482" w:firstLineChars="200"/>
        <w:rPr>
          <w:rFonts w:ascii="仿宋" w:hAnsi="仿宋" w:eastAsia="仿宋" w:cs="仿宋"/>
          <w:b/>
          <w:color w:val="auto"/>
          <w:sz w:val="24"/>
          <w:highlight w:val="none"/>
          <w:u w:val="single"/>
        </w:rPr>
      </w:pPr>
      <w:r>
        <w:rPr>
          <w:rFonts w:hint="eastAsia" w:ascii="仿宋" w:hAnsi="仿宋" w:eastAsia="仿宋" w:cs="仿宋"/>
          <w:b/>
          <w:color w:val="auto"/>
          <w:sz w:val="24"/>
          <w:highlight w:val="none"/>
        </w:rPr>
        <w:t>乙 方（中标单位）：</w:t>
      </w:r>
      <w:r>
        <w:rPr>
          <w:rFonts w:hint="eastAsia" w:ascii="仿宋" w:hAnsi="仿宋" w:eastAsia="仿宋" w:cs="仿宋"/>
          <w:b/>
          <w:color w:val="auto"/>
          <w:sz w:val="24"/>
          <w:highlight w:val="none"/>
          <w:u w:val="single"/>
        </w:rPr>
        <w:t xml:space="preserve">                           </w:t>
      </w:r>
    </w:p>
    <w:p w14:paraId="629D77DF">
      <w:pPr>
        <w:keepNext w:val="0"/>
        <w:keepLines w:val="0"/>
        <w:pageBreakBefore w:val="0"/>
        <w:widowControl w:val="0"/>
        <w:shd w:val="clear" w:color="auto" w:fill="auto"/>
        <w:kinsoku/>
        <w:wordWrap/>
        <w:overflowPunct/>
        <w:topLinePunct w:val="0"/>
        <w:autoSpaceDE/>
        <w:autoSpaceDN/>
        <w:bidi w:val="0"/>
        <w:adjustRightInd/>
        <w:snapToGrid/>
        <w:spacing w:line="540" w:lineRule="exact"/>
        <w:ind w:firstLine="480" w:firstLineChars="200"/>
        <w:jc w:val="left"/>
        <w:textAlignment w:val="auto"/>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依照《中华人民共和国政府采购法》及实施条例、《中华人民共和国民法典》等法律、行政法规，遵循平等、自愿、公平和诚实信用的原则，双方就下述项目范围与相关服务事项协商一致，订立本合同。</w:t>
      </w:r>
    </w:p>
    <w:p w14:paraId="6050708A">
      <w:pPr>
        <w:keepNext w:val="0"/>
        <w:keepLines w:val="0"/>
        <w:pageBreakBefore w:val="0"/>
        <w:widowControl w:val="0"/>
        <w:numPr>
          <w:ilvl w:val="0"/>
          <w:numId w:val="1"/>
        </w:numPr>
        <w:shd w:val="clear" w:color="auto" w:fill="auto"/>
        <w:kinsoku/>
        <w:wordWrap/>
        <w:overflowPunct/>
        <w:topLinePunct w:val="0"/>
        <w:autoSpaceDE/>
        <w:autoSpaceDN/>
        <w:bidi w:val="0"/>
        <w:adjustRightInd/>
        <w:snapToGrid/>
        <w:spacing w:line="540" w:lineRule="exac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出租房屋的位置、面积、租金、用途</w:t>
      </w:r>
    </w:p>
    <w:p w14:paraId="7C3E9F58">
      <w:pPr>
        <w:keepNext w:val="0"/>
        <w:keepLines w:val="0"/>
        <w:pageBreakBefore w:val="0"/>
        <w:widowControl w:val="0"/>
        <w:numPr>
          <w:ilvl w:val="0"/>
          <w:numId w:val="0"/>
        </w:numPr>
        <w:shd w:val="clear" w:color="auto" w:fill="auto"/>
        <w:tabs>
          <w:tab w:val="left" w:pos="4500"/>
        </w:tabs>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2"/>
          <w:sz w:val="24"/>
          <w:szCs w:val="24"/>
          <w:highlight w:val="none"/>
          <w:lang w:val="en-US" w:eastAsia="zh-CN" w:bidi="ar-SA"/>
        </w:rPr>
        <w:t>1.</w:t>
      </w:r>
      <w:r>
        <w:rPr>
          <w:rFonts w:hint="eastAsia" w:ascii="仿宋" w:hAnsi="仿宋" w:eastAsia="仿宋" w:cs="仿宋"/>
          <w:color w:val="auto"/>
          <w:sz w:val="24"/>
          <w:szCs w:val="24"/>
          <w:highlight w:val="none"/>
        </w:rPr>
        <w:t>位置：</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D0CA1EF">
      <w:pPr>
        <w:keepNext w:val="0"/>
        <w:keepLines w:val="0"/>
        <w:pageBreakBefore w:val="0"/>
        <w:widowControl w:val="0"/>
        <w:numPr>
          <w:ilvl w:val="0"/>
          <w:numId w:val="0"/>
        </w:numPr>
        <w:shd w:val="clear" w:color="auto" w:fill="auto"/>
        <w:tabs>
          <w:tab w:val="left" w:pos="4500"/>
        </w:tabs>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2"/>
          <w:sz w:val="24"/>
          <w:szCs w:val="24"/>
          <w:highlight w:val="none"/>
          <w:lang w:val="en-US" w:eastAsia="zh-CN" w:bidi="ar-SA"/>
        </w:rPr>
        <w:t>2.</w:t>
      </w:r>
      <w:r>
        <w:rPr>
          <w:rFonts w:hint="eastAsia" w:ascii="仿宋" w:hAnsi="仿宋" w:eastAsia="仿宋" w:cs="仿宋"/>
          <w:color w:val="auto"/>
          <w:sz w:val="24"/>
          <w:szCs w:val="24"/>
          <w:highlight w:val="none"/>
        </w:rPr>
        <w:t>办公楼面积、租金</w:t>
      </w:r>
    </w:p>
    <w:tbl>
      <w:tblPr>
        <w:tblStyle w:val="2"/>
        <w:tblpPr w:leftFromText="180" w:rightFromText="180" w:vertAnchor="text" w:horzAnchor="page" w:tblpX="1559" w:tblpY="46"/>
        <w:tblOverlap w:val="never"/>
        <w:tblW w:w="92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3"/>
        <w:gridCol w:w="1875"/>
        <w:gridCol w:w="1753"/>
        <w:gridCol w:w="1681"/>
        <w:gridCol w:w="2151"/>
      </w:tblGrid>
      <w:tr w14:paraId="23DC8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3" w:type="dxa"/>
            <w:noWrap w:val="0"/>
            <w:vAlign w:val="center"/>
          </w:tcPr>
          <w:p w14:paraId="332171B8">
            <w:pPr>
              <w:keepNext w:val="0"/>
              <w:keepLines w:val="0"/>
              <w:pageBreakBefore w:val="0"/>
              <w:widowControl w:val="0"/>
              <w:shd w:val="clear" w:color="auto" w:fill="auto"/>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房号</w:t>
            </w:r>
          </w:p>
        </w:tc>
        <w:tc>
          <w:tcPr>
            <w:tcW w:w="1875" w:type="dxa"/>
            <w:noWrap w:val="0"/>
            <w:vAlign w:val="center"/>
          </w:tcPr>
          <w:p w14:paraId="7EB96A88">
            <w:pPr>
              <w:keepNext w:val="0"/>
              <w:keepLines w:val="0"/>
              <w:pageBreakBefore w:val="0"/>
              <w:widowControl w:val="0"/>
              <w:shd w:val="clear" w:color="auto" w:fill="auto"/>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承租面积</w:t>
            </w:r>
          </w:p>
          <w:p w14:paraId="3448060F">
            <w:pPr>
              <w:keepNext w:val="0"/>
              <w:keepLines w:val="0"/>
              <w:pageBreakBefore w:val="0"/>
              <w:widowControl w:val="0"/>
              <w:shd w:val="clear" w:color="auto" w:fill="auto"/>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p>
        </w:tc>
        <w:tc>
          <w:tcPr>
            <w:tcW w:w="1753" w:type="dxa"/>
            <w:noWrap w:val="0"/>
            <w:vAlign w:val="center"/>
          </w:tcPr>
          <w:p w14:paraId="42D2F377">
            <w:pPr>
              <w:keepNext w:val="0"/>
              <w:keepLines w:val="0"/>
              <w:pageBreakBefore w:val="0"/>
              <w:widowControl w:val="0"/>
              <w:shd w:val="clear" w:color="auto" w:fill="auto"/>
              <w:kinsoku/>
              <w:wordWrap/>
              <w:overflowPunct/>
              <w:topLinePunct w:val="0"/>
              <w:autoSpaceDE/>
              <w:autoSpaceDN/>
              <w:bidi w:val="0"/>
              <w:adjustRightInd/>
              <w:snapToGrid/>
              <w:spacing w:line="540" w:lineRule="exact"/>
              <w:ind w:left="-84" w:leftChars="-40" w:right="-107" w:rightChars="-51"/>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房屋租金</w:t>
            </w:r>
          </w:p>
          <w:p w14:paraId="0A3B5D20">
            <w:pPr>
              <w:keepNext w:val="0"/>
              <w:keepLines w:val="0"/>
              <w:pageBreakBefore w:val="0"/>
              <w:widowControl w:val="0"/>
              <w:shd w:val="clear" w:color="auto" w:fill="auto"/>
              <w:kinsoku/>
              <w:wordWrap/>
              <w:overflowPunct/>
              <w:topLinePunct w:val="0"/>
              <w:autoSpaceDE/>
              <w:autoSpaceDN/>
              <w:bidi w:val="0"/>
              <w:adjustRightInd/>
              <w:snapToGrid/>
              <w:spacing w:line="540" w:lineRule="exact"/>
              <w:ind w:left="-84" w:leftChars="-40" w:right="-107" w:rightChars="-51"/>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(元/㎡</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月)</w:t>
            </w:r>
          </w:p>
        </w:tc>
        <w:tc>
          <w:tcPr>
            <w:tcW w:w="1681" w:type="dxa"/>
            <w:noWrap w:val="0"/>
            <w:vAlign w:val="center"/>
          </w:tcPr>
          <w:p w14:paraId="22F69FD6">
            <w:pPr>
              <w:keepNext w:val="0"/>
              <w:keepLines w:val="0"/>
              <w:pageBreakBefore w:val="0"/>
              <w:widowControl w:val="0"/>
              <w:shd w:val="clear" w:color="auto" w:fill="auto"/>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年租金合计（元）</w:t>
            </w:r>
          </w:p>
        </w:tc>
        <w:tc>
          <w:tcPr>
            <w:tcW w:w="2151" w:type="dxa"/>
            <w:noWrap w:val="0"/>
            <w:vAlign w:val="center"/>
          </w:tcPr>
          <w:p w14:paraId="4ECAEA45">
            <w:pPr>
              <w:keepNext w:val="0"/>
              <w:keepLines w:val="0"/>
              <w:pageBreakBefore w:val="0"/>
              <w:widowControl w:val="0"/>
              <w:shd w:val="clear" w:color="auto" w:fill="auto"/>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二年</w:t>
            </w:r>
            <w:r>
              <w:rPr>
                <w:rFonts w:hint="eastAsia" w:ascii="仿宋" w:hAnsi="仿宋" w:eastAsia="仿宋" w:cs="仿宋"/>
                <w:color w:val="auto"/>
                <w:sz w:val="24"/>
                <w:szCs w:val="24"/>
                <w:highlight w:val="none"/>
              </w:rPr>
              <w:t>合计（元）</w:t>
            </w:r>
          </w:p>
        </w:tc>
      </w:tr>
      <w:tr w14:paraId="5BD93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73" w:type="dxa"/>
            <w:noWrap w:val="0"/>
            <w:vAlign w:val="center"/>
          </w:tcPr>
          <w:p w14:paraId="590E0EDC">
            <w:pPr>
              <w:keepNext w:val="0"/>
              <w:keepLines w:val="0"/>
              <w:pageBreakBefore w:val="0"/>
              <w:widowControl w:val="0"/>
              <w:shd w:val="clear" w:color="auto" w:fill="auto"/>
              <w:tabs>
                <w:tab w:val="left" w:pos="4500"/>
              </w:tabs>
              <w:kinsoku/>
              <w:wordWrap/>
              <w:overflowPunct/>
              <w:topLinePunct w:val="0"/>
              <w:autoSpaceDE/>
              <w:autoSpaceDN/>
              <w:bidi w:val="0"/>
              <w:adjustRightInd/>
              <w:snapToGrid/>
              <w:spacing w:line="540" w:lineRule="exact"/>
              <w:ind w:firstLine="360" w:firstLineChars="150"/>
              <w:textAlignment w:val="auto"/>
              <w:rPr>
                <w:rFonts w:hint="eastAsia" w:ascii="仿宋" w:hAnsi="仿宋" w:eastAsia="仿宋" w:cs="仿宋"/>
                <w:color w:val="auto"/>
                <w:sz w:val="24"/>
                <w:szCs w:val="24"/>
                <w:highlight w:val="none"/>
                <w:lang w:val="en-US" w:eastAsia="zh-CN"/>
              </w:rPr>
            </w:pPr>
          </w:p>
        </w:tc>
        <w:tc>
          <w:tcPr>
            <w:tcW w:w="1875" w:type="dxa"/>
            <w:noWrap w:val="0"/>
            <w:vAlign w:val="center"/>
          </w:tcPr>
          <w:p w14:paraId="319CD154">
            <w:pPr>
              <w:keepNext w:val="0"/>
              <w:keepLines w:val="0"/>
              <w:pageBreakBefore w:val="0"/>
              <w:widowControl w:val="0"/>
              <w:shd w:val="clear" w:color="auto" w:fill="auto"/>
              <w:kinsoku/>
              <w:wordWrap/>
              <w:overflowPunct/>
              <w:topLinePunct w:val="0"/>
              <w:autoSpaceDE/>
              <w:autoSpaceDN/>
              <w:bidi w:val="0"/>
              <w:adjustRightInd/>
              <w:snapToGrid/>
              <w:spacing w:line="540" w:lineRule="exact"/>
              <w:jc w:val="center"/>
              <w:textAlignment w:val="auto"/>
              <w:rPr>
                <w:rFonts w:hint="eastAsia" w:ascii="仿宋" w:hAnsi="仿宋" w:eastAsia="仿宋" w:cs="仿宋"/>
                <w:iCs/>
                <w:color w:val="auto"/>
                <w:sz w:val="24"/>
                <w:szCs w:val="24"/>
                <w:highlight w:val="none"/>
                <w:lang w:val="en-US" w:eastAsia="zh-CN"/>
              </w:rPr>
            </w:pPr>
          </w:p>
        </w:tc>
        <w:tc>
          <w:tcPr>
            <w:tcW w:w="1753" w:type="dxa"/>
            <w:noWrap w:val="0"/>
            <w:vAlign w:val="center"/>
          </w:tcPr>
          <w:p w14:paraId="05AAB28B">
            <w:pPr>
              <w:keepNext w:val="0"/>
              <w:keepLines w:val="0"/>
              <w:pageBreakBefore w:val="0"/>
              <w:widowControl w:val="0"/>
              <w:shd w:val="clear" w:color="auto" w:fill="auto"/>
              <w:kinsoku/>
              <w:wordWrap/>
              <w:overflowPunct/>
              <w:topLinePunct w:val="0"/>
              <w:autoSpaceDE/>
              <w:autoSpaceDN/>
              <w:bidi w:val="0"/>
              <w:adjustRightInd/>
              <w:snapToGrid/>
              <w:spacing w:line="540" w:lineRule="exact"/>
              <w:jc w:val="center"/>
              <w:textAlignment w:val="auto"/>
              <w:rPr>
                <w:rFonts w:hint="eastAsia" w:ascii="仿宋" w:hAnsi="仿宋" w:eastAsia="仿宋" w:cs="仿宋"/>
                <w:iCs/>
                <w:color w:val="auto"/>
                <w:sz w:val="24"/>
                <w:szCs w:val="24"/>
                <w:highlight w:val="none"/>
                <w:lang w:val="en-US" w:eastAsia="zh-CN"/>
              </w:rPr>
            </w:pPr>
          </w:p>
        </w:tc>
        <w:tc>
          <w:tcPr>
            <w:tcW w:w="1681" w:type="dxa"/>
            <w:noWrap w:val="0"/>
            <w:vAlign w:val="center"/>
          </w:tcPr>
          <w:p w14:paraId="43449E2B">
            <w:pPr>
              <w:keepNext w:val="0"/>
              <w:keepLines w:val="0"/>
              <w:pageBreakBefore w:val="0"/>
              <w:widowControl w:val="0"/>
              <w:shd w:val="clear" w:color="auto" w:fill="auto"/>
              <w:kinsoku/>
              <w:wordWrap/>
              <w:overflowPunct/>
              <w:topLinePunct w:val="0"/>
              <w:autoSpaceDE/>
              <w:autoSpaceDN/>
              <w:bidi w:val="0"/>
              <w:adjustRightInd/>
              <w:snapToGrid/>
              <w:spacing w:line="540" w:lineRule="exact"/>
              <w:jc w:val="center"/>
              <w:textAlignment w:val="auto"/>
              <w:rPr>
                <w:rFonts w:hint="eastAsia" w:ascii="仿宋" w:hAnsi="仿宋" w:eastAsia="仿宋" w:cs="仿宋"/>
                <w:iCs/>
                <w:color w:val="auto"/>
                <w:sz w:val="24"/>
                <w:szCs w:val="24"/>
                <w:highlight w:val="none"/>
                <w:lang w:val="en-US" w:eastAsia="zh-CN"/>
              </w:rPr>
            </w:pPr>
          </w:p>
        </w:tc>
        <w:tc>
          <w:tcPr>
            <w:tcW w:w="2151" w:type="dxa"/>
            <w:noWrap w:val="0"/>
            <w:vAlign w:val="center"/>
          </w:tcPr>
          <w:p w14:paraId="35735D96">
            <w:pPr>
              <w:keepNext w:val="0"/>
              <w:keepLines w:val="0"/>
              <w:pageBreakBefore w:val="0"/>
              <w:widowControl w:val="0"/>
              <w:shd w:val="clear" w:color="auto" w:fill="auto"/>
              <w:kinsoku/>
              <w:wordWrap/>
              <w:overflowPunct/>
              <w:topLinePunct w:val="0"/>
              <w:autoSpaceDE/>
              <w:autoSpaceDN/>
              <w:bidi w:val="0"/>
              <w:adjustRightInd/>
              <w:snapToGrid/>
              <w:spacing w:line="540" w:lineRule="exact"/>
              <w:jc w:val="center"/>
              <w:textAlignment w:val="auto"/>
              <w:rPr>
                <w:rFonts w:hint="eastAsia" w:ascii="仿宋" w:hAnsi="仿宋" w:eastAsia="仿宋" w:cs="仿宋"/>
                <w:iCs/>
                <w:color w:val="auto"/>
                <w:sz w:val="24"/>
                <w:szCs w:val="24"/>
                <w:highlight w:val="none"/>
                <w:lang w:val="en-US" w:eastAsia="zh-CN"/>
              </w:rPr>
            </w:pPr>
          </w:p>
        </w:tc>
      </w:tr>
    </w:tbl>
    <w:p w14:paraId="6DB193F1">
      <w:pPr>
        <w:keepNext w:val="0"/>
        <w:keepLines w:val="0"/>
        <w:pageBreakBefore w:val="0"/>
        <w:widowControl w:val="0"/>
        <w:shd w:val="clear" w:color="auto" w:fill="auto"/>
        <w:tabs>
          <w:tab w:val="left" w:pos="4500"/>
        </w:tabs>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租金总金额</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元，（大写:人民币</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700A12FF">
      <w:pPr>
        <w:keepNext w:val="0"/>
        <w:keepLines w:val="0"/>
        <w:pageBreakBefore w:val="0"/>
        <w:widowControl w:val="0"/>
        <w:shd w:val="clear" w:color="auto" w:fill="auto"/>
        <w:tabs>
          <w:tab w:val="left" w:pos="4500"/>
        </w:tabs>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3、租赁用途为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，未经</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方书面允许，</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方不得改变房屋的用途。</w:t>
      </w:r>
    </w:p>
    <w:p w14:paraId="3DA30F89">
      <w:pPr>
        <w:keepNext w:val="0"/>
        <w:keepLines w:val="0"/>
        <w:pageBreakBefore w:val="0"/>
        <w:widowControl w:val="0"/>
        <w:shd w:val="clear" w:color="auto" w:fill="auto"/>
        <w:kinsoku/>
        <w:wordWrap/>
        <w:overflowPunct/>
        <w:topLinePunct w:val="0"/>
        <w:autoSpaceDE/>
        <w:autoSpaceDN/>
        <w:bidi w:val="0"/>
        <w:adjustRightInd/>
        <w:snapToGrid/>
        <w:spacing w:line="540" w:lineRule="exact"/>
        <w:ind w:left="54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第二条 租赁期限</w:t>
      </w:r>
    </w:p>
    <w:p w14:paraId="054BE682">
      <w:pPr>
        <w:keepNext w:val="0"/>
        <w:keepLines w:val="0"/>
        <w:pageBreakBefore w:val="0"/>
        <w:widowControl w:val="0"/>
        <w:shd w:val="clear" w:color="auto" w:fill="auto"/>
        <w:tabs>
          <w:tab w:val="left" w:pos="4500"/>
        </w:tabs>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年，</w:t>
      </w:r>
      <w:r>
        <w:rPr>
          <w:rFonts w:hint="eastAsia" w:ascii="仿宋" w:hAnsi="仿宋" w:eastAsia="仿宋" w:cs="仿宋"/>
          <w:color w:val="auto"/>
          <w:sz w:val="24"/>
          <w:szCs w:val="24"/>
          <w:highlight w:val="none"/>
        </w:rPr>
        <w:t>共</w:t>
      </w:r>
      <w:r>
        <w:rPr>
          <w:rFonts w:hint="eastAsia" w:ascii="仿宋" w:hAnsi="仿宋" w:eastAsia="仿宋" w:cs="仿宋"/>
          <w:color w:val="auto"/>
          <w:sz w:val="24"/>
          <w:szCs w:val="24"/>
          <w:highlight w:val="none"/>
          <w:u w:val="single"/>
          <w:lang w:val="en-US" w:eastAsia="zh-CN"/>
        </w:rPr>
        <w:t xml:space="preserve">    </w:t>
      </w:r>
      <w:bookmarkStart w:id="0" w:name="_GoBack"/>
      <w:bookmarkEnd w:id="0"/>
      <w:r>
        <w:rPr>
          <w:rFonts w:hint="eastAsia" w:ascii="仿宋" w:hAnsi="仿宋" w:eastAsia="仿宋" w:cs="仿宋"/>
          <w:color w:val="auto"/>
          <w:sz w:val="24"/>
          <w:szCs w:val="24"/>
          <w:highlight w:val="none"/>
          <w:lang w:val="en-US" w:eastAsia="zh-CN"/>
        </w:rPr>
        <w:t>个月</w:t>
      </w:r>
      <w:r>
        <w:rPr>
          <w:rFonts w:hint="eastAsia" w:ascii="仿宋" w:hAnsi="仿宋" w:eastAsia="仿宋" w:cs="仿宋"/>
          <w:color w:val="auto"/>
          <w:sz w:val="24"/>
          <w:szCs w:val="24"/>
          <w:highlight w:val="none"/>
        </w:rPr>
        <w:t>，自</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日起至</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日止。</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方应在本合同签署之日起，将房屋交付</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w:t>
      </w:r>
    </w:p>
    <w:p w14:paraId="5137B916">
      <w:pPr>
        <w:keepNext w:val="0"/>
        <w:keepLines w:val="0"/>
        <w:pageBreakBefore w:val="0"/>
        <w:widowControl w:val="0"/>
        <w:shd w:val="clear" w:color="auto" w:fill="auto"/>
        <w:kinsoku/>
        <w:wordWrap/>
        <w:overflowPunct/>
        <w:topLinePunct w:val="0"/>
        <w:autoSpaceDE/>
        <w:autoSpaceDN/>
        <w:bidi w:val="0"/>
        <w:adjustRightInd/>
        <w:snapToGrid/>
        <w:spacing w:line="540" w:lineRule="exact"/>
        <w:ind w:firstLine="482" w:firstLineChars="200"/>
        <w:textAlignment w:val="auto"/>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第三条</w:t>
      </w:r>
      <w:r>
        <w:rPr>
          <w:rFonts w:hint="eastAsia" w:ascii="仿宋" w:hAnsi="仿宋" w:eastAsia="仿宋" w:cs="仿宋"/>
          <w:color w:val="auto"/>
          <w:sz w:val="24"/>
          <w:szCs w:val="24"/>
          <w:highlight w:val="none"/>
        </w:rPr>
        <w:t xml:space="preserve"> </w:t>
      </w:r>
      <w:r>
        <w:rPr>
          <w:rFonts w:hint="eastAsia" w:ascii="仿宋" w:hAnsi="仿宋" w:eastAsia="仿宋" w:cs="仿宋"/>
          <w:b/>
          <w:color w:val="auto"/>
          <w:sz w:val="24"/>
          <w:szCs w:val="24"/>
          <w:highlight w:val="none"/>
        </w:rPr>
        <w:t>租金和其他费用</w:t>
      </w:r>
    </w:p>
    <w:p w14:paraId="7C156AE1">
      <w:pPr>
        <w:keepNext w:val="0"/>
        <w:keepLines w:val="0"/>
        <w:pageBreakBefore w:val="0"/>
        <w:widowControl w:val="0"/>
        <w:shd w:val="clear" w:color="auto" w:fill="auto"/>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1、租金</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元，（大写:人民币</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4BDE2FFA">
      <w:pPr>
        <w:keepNext w:val="0"/>
        <w:keepLines w:val="0"/>
        <w:pageBreakBefore w:val="0"/>
        <w:widowControl w:val="0"/>
        <w:shd w:val="clear" w:color="auto" w:fill="auto"/>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2、租金</w:t>
      </w:r>
      <w:r>
        <w:rPr>
          <w:rFonts w:hint="eastAsia" w:ascii="仿宋" w:hAnsi="仿宋" w:eastAsia="仿宋" w:cs="仿宋"/>
          <w:color w:val="auto"/>
          <w:sz w:val="24"/>
          <w:szCs w:val="24"/>
          <w:highlight w:val="none"/>
          <w:lang w:val="en-US" w:eastAsia="zh-CN"/>
        </w:rPr>
        <w:t>包含</w:t>
      </w:r>
      <w:r>
        <w:rPr>
          <w:rFonts w:hint="eastAsia" w:ascii="仿宋" w:hAnsi="仿宋" w:eastAsia="仿宋" w:cs="仿宋"/>
          <w:color w:val="auto"/>
          <w:sz w:val="24"/>
          <w:szCs w:val="24"/>
          <w:highlight w:val="none"/>
        </w:rPr>
        <w:t>房屋的占用、</w:t>
      </w:r>
      <w:r>
        <w:rPr>
          <w:rFonts w:hint="eastAsia" w:ascii="仿宋" w:hAnsi="仿宋" w:eastAsia="仿宋" w:cs="仿宋"/>
          <w:color w:val="auto"/>
          <w:sz w:val="24"/>
          <w:szCs w:val="24"/>
          <w:highlight w:val="none"/>
          <w:lang w:val="en-US" w:eastAsia="zh-CN"/>
        </w:rPr>
        <w:t>物业、水电费、暖气费</w:t>
      </w:r>
      <w:r>
        <w:rPr>
          <w:rFonts w:hint="eastAsia" w:ascii="仿宋" w:hAnsi="仿宋" w:eastAsia="仿宋" w:cs="仿宋"/>
          <w:color w:val="auto"/>
          <w:sz w:val="24"/>
          <w:szCs w:val="24"/>
          <w:highlight w:val="none"/>
        </w:rPr>
        <w:t>。</w:t>
      </w:r>
    </w:p>
    <w:p w14:paraId="3EF3DD87">
      <w:pPr>
        <w:keepNext w:val="0"/>
        <w:keepLines w:val="0"/>
        <w:pageBreakBefore w:val="0"/>
        <w:widowControl w:val="0"/>
        <w:shd w:val="clear" w:color="auto" w:fill="auto"/>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3、房屋租金</w:t>
      </w:r>
      <w:r>
        <w:rPr>
          <w:rFonts w:hint="eastAsia" w:ascii="仿宋" w:hAnsi="仿宋" w:eastAsia="仿宋" w:cs="仿宋"/>
          <w:color w:val="auto"/>
          <w:sz w:val="24"/>
          <w:szCs w:val="24"/>
          <w:highlight w:val="none"/>
          <w:u w:val="none"/>
        </w:rPr>
        <w:t>按</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年度</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方式支付。</w:t>
      </w:r>
    </w:p>
    <w:p w14:paraId="323024B1">
      <w:pPr>
        <w:keepNext w:val="0"/>
        <w:keepLines w:val="0"/>
        <w:pageBreakBefore w:val="0"/>
        <w:widowControl w:val="0"/>
        <w:shd w:val="clear" w:color="auto" w:fill="auto"/>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4、合同签订后，</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应及时向</w:t>
      </w:r>
      <w:r>
        <w:rPr>
          <w:rFonts w:hint="eastAsia" w:ascii="仿宋" w:hAnsi="仿宋" w:eastAsia="仿宋" w:cs="仿宋"/>
          <w:color w:val="auto"/>
          <w:sz w:val="24"/>
          <w:szCs w:val="24"/>
          <w:highlight w:val="none"/>
          <w:lang w:val="en-US" w:eastAsia="zh-CN"/>
        </w:rPr>
        <w:t>采购人</w:t>
      </w:r>
      <w:r>
        <w:rPr>
          <w:rFonts w:hint="eastAsia" w:ascii="仿宋" w:hAnsi="仿宋" w:eastAsia="仿宋" w:cs="仿宋"/>
          <w:color w:val="auto"/>
          <w:sz w:val="24"/>
          <w:szCs w:val="24"/>
          <w:highlight w:val="none"/>
        </w:rPr>
        <w:t>提供等额的增值税（普通）发票，</w:t>
      </w:r>
      <w:r>
        <w:rPr>
          <w:rFonts w:hint="eastAsia" w:ascii="仿宋" w:hAnsi="仿宋" w:eastAsia="仿宋" w:cs="仿宋"/>
          <w:color w:val="auto"/>
          <w:sz w:val="24"/>
          <w:szCs w:val="24"/>
          <w:highlight w:val="none"/>
          <w:lang w:val="en-US" w:eastAsia="zh-CN"/>
        </w:rPr>
        <w:t>采购人</w:t>
      </w:r>
      <w:r>
        <w:rPr>
          <w:rFonts w:hint="eastAsia" w:ascii="仿宋" w:hAnsi="仿宋" w:eastAsia="仿宋" w:cs="仿宋"/>
          <w:color w:val="auto"/>
          <w:sz w:val="24"/>
          <w:szCs w:val="24"/>
          <w:highlight w:val="none"/>
        </w:rPr>
        <w:t>收到发票后</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达到付款条件30日，</w:t>
      </w:r>
      <w:r>
        <w:rPr>
          <w:rFonts w:hint="eastAsia" w:ascii="仿宋" w:hAnsi="仿宋" w:eastAsia="仿宋" w:cs="仿宋"/>
          <w:color w:val="auto"/>
          <w:sz w:val="24"/>
          <w:szCs w:val="24"/>
          <w:highlight w:val="none"/>
        </w:rPr>
        <w:t>支付</w:t>
      </w:r>
      <w:r>
        <w:rPr>
          <w:rFonts w:hint="eastAsia" w:ascii="仿宋" w:hAnsi="仿宋" w:eastAsia="仿宋" w:cs="仿宋"/>
          <w:color w:val="auto"/>
          <w:sz w:val="24"/>
          <w:szCs w:val="24"/>
          <w:highlight w:val="none"/>
          <w:lang w:val="en-US" w:eastAsia="zh-CN"/>
        </w:rPr>
        <w:t>合同金额</w:t>
      </w:r>
      <w:r>
        <w:rPr>
          <w:rFonts w:hint="eastAsia" w:ascii="仿宋" w:hAnsi="仿宋" w:eastAsia="仿宋" w:cs="仿宋"/>
          <w:color w:val="auto"/>
          <w:sz w:val="24"/>
          <w:szCs w:val="24"/>
          <w:highlight w:val="none"/>
          <w:lang w:eastAsia="zh-CN"/>
        </w:rPr>
        <w:t>的</w:t>
      </w:r>
      <w:r>
        <w:rPr>
          <w:rFonts w:hint="eastAsia" w:ascii="仿宋" w:hAnsi="仿宋" w:eastAsia="仿宋" w:cs="仿宋"/>
          <w:color w:val="auto"/>
          <w:sz w:val="24"/>
          <w:szCs w:val="24"/>
          <w:highlight w:val="none"/>
          <w:lang w:val="en-US" w:eastAsia="zh-CN"/>
        </w:rPr>
        <w:t>50%</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租赁期满一年后续签下一年合同，供应商</w:t>
      </w:r>
      <w:r>
        <w:rPr>
          <w:rFonts w:hint="eastAsia" w:ascii="仿宋" w:hAnsi="仿宋" w:eastAsia="仿宋" w:cs="仿宋"/>
          <w:color w:val="auto"/>
          <w:sz w:val="24"/>
          <w:szCs w:val="24"/>
          <w:highlight w:val="none"/>
        </w:rPr>
        <w:t>向</w:t>
      </w:r>
      <w:r>
        <w:rPr>
          <w:rFonts w:hint="eastAsia" w:ascii="仿宋" w:hAnsi="仿宋" w:eastAsia="仿宋" w:cs="仿宋"/>
          <w:color w:val="auto"/>
          <w:sz w:val="24"/>
          <w:szCs w:val="24"/>
          <w:highlight w:val="none"/>
          <w:lang w:val="en-US" w:eastAsia="zh-CN"/>
        </w:rPr>
        <w:t>采购人</w:t>
      </w:r>
      <w:r>
        <w:rPr>
          <w:rFonts w:hint="eastAsia" w:ascii="仿宋" w:hAnsi="仿宋" w:eastAsia="仿宋" w:cs="仿宋"/>
          <w:color w:val="auto"/>
          <w:sz w:val="24"/>
          <w:szCs w:val="24"/>
          <w:highlight w:val="none"/>
        </w:rPr>
        <w:t>提供等额的增值税（普通）发票，</w:t>
      </w:r>
      <w:r>
        <w:rPr>
          <w:rFonts w:hint="eastAsia" w:ascii="仿宋" w:hAnsi="仿宋" w:eastAsia="仿宋" w:cs="仿宋"/>
          <w:color w:val="auto"/>
          <w:sz w:val="24"/>
          <w:szCs w:val="24"/>
          <w:highlight w:val="none"/>
          <w:lang w:val="en-US" w:eastAsia="zh-CN"/>
        </w:rPr>
        <w:t>采购人</w:t>
      </w:r>
      <w:r>
        <w:rPr>
          <w:rFonts w:hint="eastAsia" w:ascii="仿宋" w:hAnsi="仿宋" w:eastAsia="仿宋" w:cs="仿宋"/>
          <w:color w:val="auto"/>
          <w:sz w:val="24"/>
          <w:szCs w:val="24"/>
          <w:highlight w:val="none"/>
        </w:rPr>
        <w:t>收到发票后</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达到付款条件30日，</w:t>
      </w:r>
      <w:r>
        <w:rPr>
          <w:rFonts w:hint="eastAsia" w:ascii="仿宋" w:hAnsi="仿宋" w:eastAsia="仿宋" w:cs="仿宋"/>
          <w:color w:val="auto"/>
          <w:sz w:val="24"/>
          <w:szCs w:val="24"/>
          <w:highlight w:val="none"/>
        </w:rPr>
        <w:t>支付</w:t>
      </w:r>
      <w:r>
        <w:rPr>
          <w:rFonts w:hint="eastAsia" w:ascii="仿宋" w:hAnsi="仿宋" w:eastAsia="仿宋" w:cs="仿宋"/>
          <w:color w:val="auto"/>
          <w:sz w:val="24"/>
          <w:szCs w:val="24"/>
          <w:highlight w:val="none"/>
          <w:lang w:val="en-US" w:eastAsia="zh-CN"/>
        </w:rPr>
        <w:t>合同金额</w:t>
      </w:r>
      <w:r>
        <w:rPr>
          <w:rFonts w:hint="eastAsia" w:ascii="仿宋" w:hAnsi="仿宋" w:eastAsia="仿宋" w:cs="仿宋"/>
          <w:color w:val="auto"/>
          <w:sz w:val="24"/>
          <w:szCs w:val="24"/>
          <w:highlight w:val="none"/>
          <w:lang w:eastAsia="zh-CN"/>
        </w:rPr>
        <w:t>的</w:t>
      </w:r>
      <w:r>
        <w:rPr>
          <w:rFonts w:hint="eastAsia" w:ascii="仿宋" w:hAnsi="仿宋" w:eastAsia="仿宋" w:cs="仿宋"/>
          <w:color w:val="auto"/>
          <w:sz w:val="24"/>
          <w:szCs w:val="24"/>
          <w:highlight w:val="none"/>
          <w:lang w:val="en-US" w:eastAsia="zh-CN"/>
        </w:rPr>
        <w:t>50%</w:t>
      </w:r>
      <w:r>
        <w:rPr>
          <w:rFonts w:hint="eastAsia" w:ascii="仿宋" w:hAnsi="仿宋" w:eastAsia="仿宋" w:cs="仿宋"/>
          <w:color w:val="auto"/>
          <w:sz w:val="24"/>
          <w:szCs w:val="24"/>
          <w:highlight w:val="none"/>
          <w:lang w:eastAsia="zh-CN"/>
        </w:rPr>
        <w:t>。</w:t>
      </w:r>
    </w:p>
    <w:p w14:paraId="2793A742">
      <w:pPr>
        <w:keepNext w:val="0"/>
        <w:keepLines w:val="0"/>
        <w:pageBreakBefore w:val="0"/>
        <w:widowControl w:val="0"/>
        <w:shd w:val="clear" w:color="auto" w:fill="auto"/>
        <w:kinsoku/>
        <w:wordWrap/>
        <w:overflowPunct/>
        <w:topLinePunct w:val="0"/>
        <w:autoSpaceDE/>
        <w:autoSpaceDN/>
        <w:bidi w:val="0"/>
        <w:adjustRightInd/>
        <w:snapToGrid/>
        <w:spacing w:line="540" w:lineRule="exact"/>
        <w:ind w:firstLine="435"/>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val="en-US" w:eastAsia="zh-CN"/>
        </w:rPr>
        <w:t>四</w:t>
      </w:r>
      <w:r>
        <w:rPr>
          <w:rFonts w:hint="eastAsia" w:ascii="仿宋" w:hAnsi="仿宋" w:eastAsia="仿宋" w:cs="仿宋"/>
          <w:b/>
          <w:color w:val="auto"/>
          <w:sz w:val="24"/>
          <w:szCs w:val="24"/>
          <w:highlight w:val="none"/>
        </w:rPr>
        <w:t xml:space="preserve">条 </w:t>
      </w:r>
      <w:r>
        <w:rPr>
          <w:rFonts w:hint="eastAsia" w:ascii="仿宋" w:hAnsi="仿宋" w:eastAsia="仿宋" w:cs="仿宋"/>
          <w:b/>
          <w:bCs/>
          <w:color w:val="auto"/>
          <w:sz w:val="24"/>
          <w:szCs w:val="24"/>
          <w:highlight w:val="none"/>
        </w:rPr>
        <w:t>支付方式</w:t>
      </w:r>
    </w:p>
    <w:p w14:paraId="19D8E5E9">
      <w:pPr>
        <w:keepNext w:val="0"/>
        <w:keepLines w:val="0"/>
        <w:pageBreakBefore w:val="0"/>
        <w:widowControl w:val="0"/>
        <w:shd w:val="clear" w:color="auto" w:fill="auto"/>
        <w:kinsoku/>
        <w:wordWrap/>
        <w:overflowPunct/>
        <w:topLinePunct w:val="0"/>
        <w:autoSpaceDE/>
        <w:autoSpaceDN/>
        <w:bidi w:val="0"/>
        <w:adjustRightInd/>
        <w:snapToGrid/>
        <w:spacing w:line="540" w:lineRule="exact"/>
        <w:ind w:firstLine="470" w:firstLineChars="196"/>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方可以按照下列之一方式支付房租：</w:t>
      </w:r>
    </w:p>
    <w:p w14:paraId="695C0598">
      <w:pPr>
        <w:keepNext w:val="0"/>
        <w:keepLines w:val="0"/>
        <w:pageBreakBefore w:val="0"/>
        <w:widowControl w:val="0"/>
        <w:shd w:val="clear" w:color="auto" w:fill="auto"/>
        <w:kinsoku/>
        <w:wordWrap/>
        <w:overflowPunct/>
        <w:topLinePunct w:val="0"/>
        <w:autoSpaceDE/>
        <w:autoSpaceDN/>
        <w:bidi w:val="0"/>
        <w:adjustRightInd/>
        <w:snapToGrid/>
        <w:spacing w:line="540" w:lineRule="exact"/>
        <w:ind w:firstLine="470" w:firstLineChars="196"/>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sym w:font="Wingdings 2" w:char="0052"/>
      </w:r>
      <w:r>
        <w:rPr>
          <w:rFonts w:hint="eastAsia" w:ascii="仿宋" w:hAnsi="仿宋" w:eastAsia="仿宋" w:cs="仿宋"/>
          <w:color w:val="auto"/>
          <w:sz w:val="24"/>
          <w:szCs w:val="24"/>
          <w:highlight w:val="none"/>
        </w:rPr>
        <w:t>转账；□支票</w:t>
      </w:r>
    </w:p>
    <w:p w14:paraId="37149F63">
      <w:pPr>
        <w:keepNext w:val="0"/>
        <w:keepLines w:val="0"/>
        <w:pageBreakBefore w:val="0"/>
        <w:widowControl w:val="0"/>
        <w:shd w:val="clear" w:color="auto" w:fill="auto"/>
        <w:kinsoku/>
        <w:wordWrap/>
        <w:overflowPunct/>
        <w:topLinePunct w:val="0"/>
        <w:autoSpaceDE/>
        <w:autoSpaceDN/>
        <w:bidi w:val="0"/>
        <w:adjustRightInd/>
        <w:snapToGrid/>
        <w:spacing w:line="540" w:lineRule="exact"/>
        <w:ind w:firstLine="470" w:firstLineChars="196"/>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方指定的收款</w:t>
      </w:r>
      <w:r>
        <w:rPr>
          <w:rFonts w:hint="eastAsia" w:ascii="仿宋" w:hAnsi="仿宋" w:eastAsia="仿宋" w:cs="仿宋"/>
          <w:color w:val="auto"/>
          <w:sz w:val="24"/>
          <w:szCs w:val="24"/>
          <w:highlight w:val="none"/>
          <w:lang w:eastAsia="zh-CN"/>
        </w:rPr>
        <w:t>账户</w:t>
      </w:r>
      <w:r>
        <w:rPr>
          <w:rFonts w:hint="eastAsia" w:ascii="仿宋" w:hAnsi="仿宋" w:eastAsia="仿宋" w:cs="仿宋"/>
          <w:color w:val="auto"/>
          <w:sz w:val="24"/>
          <w:szCs w:val="24"/>
          <w:highlight w:val="none"/>
        </w:rPr>
        <w:t>为：</w:t>
      </w:r>
    </w:p>
    <w:p w14:paraId="029B6AD6">
      <w:pPr>
        <w:keepNext w:val="0"/>
        <w:keepLines w:val="0"/>
        <w:pageBreakBefore w:val="0"/>
        <w:widowControl w:val="0"/>
        <w:shd w:val="clear" w:color="auto" w:fill="auto"/>
        <w:tabs>
          <w:tab w:val="left" w:pos="4500"/>
        </w:tabs>
        <w:kinsoku/>
        <w:wordWrap/>
        <w:overflowPunct/>
        <w:topLinePunct w:val="0"/>
        <w:autoSpaceDE/>
        <w:autoSpaceDN/>
        <w:bidi w:val="0"/>
        <w:adjustRightInd/>
        <w:snapToGrid/>
        <w:spacing w:line="540" w:lineRule="exact"/>
        <w:ind w:firstLine="472" w:firstLineChars="197"/>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开户行：</w:t>
      </w:r>
    </w:p>
    <w:p w14:paraId="605BCA4B">
      <w:pPr>
        <w:keepNext w:val="0"/>
        <w:keepLines w:val="0"/>
        <w:pageBreakBefore w:val="0"/>
        <w:widowControl w:val="0"/>
        <w:shd w:val="clear" w:color="auto" w:fill="auto"/>
        <w:tabs>
          <w:tab w:val="left" w:pos="4500"/>
        </w:tabs>
        <w:kinsoku/>
        <w:wordWrap/>
        <w:overflowPunct/>
        <w:topLinePunct w:val="0"/>
        <w:autoSpaceDE/>
        <w:autoSpaceDN/>
        <w:bidi w:val="0"/>
        <w:adjustRightInd/>
        <w:snapToGrid/>
        <w:spacing w:line="540" w:lineRule="exact"/>
        <w:ind w:firstLine="472" w:firstLineChars="197"/>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户名：</w:t>
      </w:r>
    </w:p>
    <w:p w14:paraId="42DD02C2">
      <w:pPr>
        <w:keepNext w:val="0"/>
        <w:keepLines w:val="0"/>
        <w:pageBreakBefore w:val="0"/>
        <w:widowControl w:val="0"/>
        <w:shd w:val="clear" w:color="auto" w:fill="auto"/>
        <w:tabs>
          <w:tab w:val="left" w:pos="4500"/>
        </w:tabs>
        <w:kinsoku/>
        <w:wordWrap/>
        <w:overflowPunct/>
        <w:topLinePunct w:val="0"/>
        <w:autoSpaceDE/>
        <w:autoSpaceDN/>
        <w:bidi w:val="0"/>
        <w:adjustRightInd/>
        <w:snapToGrid/>
        <w:spacing w:line="540" w:lineRule="exact"/>
        <w:ind w:firstLine="472" w:firstLineChars="197"/>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账号：</w:t>
      </w:r>
    </w:p>
    <w:p w14:paraId="1FBEEDB6">
      <w:pPr>
        <w:keepNext w:val="0"/>
        <w:keepLines w:val="0"/>
        <w:pageBreakBefore w:val="0"/>
        <w:widowControl w:val="0"/>
        <w:shd w:val="clear" w:color="auto" w:fill="auto"/>
        <w:tabs>
          <w:tab w:val="left" w:pos="4500"/>
        </w:tabs>
        <w:kinsoku/>
        <w:wordWrap/>
        <w:overflowPunct/>
        <w:topLinePunct w:val="0"/>
        <w:autoSpaceDE/>
        <w:autoSpaceDN/>
        <w:bidi w:val="0"/>
        <w:adjustRightInd/>
        <w:snapToGrid/>
        <w:spacing w:line="540" w:lineRule="exact"/>
        <w:ind w:firstLine="475" w:firstLineChars="197"/>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val="en-US" w:eastAsia="zh-CN"/>
        </w:rPr>
        <w:t>五</w:t>
      </w:r>
      <w:r>
        <w:rPr>
          <w:rFonts w:hint="eastAsia" w:ascii="仿宋" w:hAnsi="仿宋" w:eastAsia="仿宋" w:cs="仿宋"/>
          <w:b/>
          <w:color w:val="auto"/>
          <w:sz w:val="24"/>
          <w:szCs w:val="24"/>
          <w:highlight w:val="none"/>
        </w:rPr>
        <w:t>条 财产维护</w:t>
      </w:r>
    </w:p>
    <w:p w14:paraId="783277E2">
      <w:pPr>
        <w:keepNext w:val="0"/>
        <w:keepLines w:val="0"/>
        <w:pageBreakBefore w:val="0"/>
        <w:widowControl w:val="0"/>
        <w:shd w:val="clear" w:color="auto" w:fill="auto"/>
        <w:tabs>
          <w:tab w:val="left" w:pos="4500"/>
        </w:tabs>
        <w:kinsoku/>
        <w:wordWrap/>
        <w:overflowPunct/>
        <w:topLinePunct w:val="0"/>
        <w:autoSpaceDE/>
        <w:autoSpaceDN/>
        <w:bidi w:val="0"/>
        <w:adjustRightInd/>
        <w:snapToGrid/>
        <w:spacing w:line="540" w:lineRule="exact"/>
        <w:ind w:firstLine="472" w:firstLineChars="197"/>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租赁期间，</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方应对包括房屋屋顶、房屋外墙、房屋结构基础及房屋取暖（冷）设施、网络、电路、上下水的布线管道及其公共部分附属设施负责维修；并对房屋及其附着设施进行定期或不定期检查，发现问题及时修缮。</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方入驻办公楼时，确认以上设施设备对</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方使用房屋未产生不利影响，如承租期间发现相关设施设备有安全隐患时，需要立即停止使用并告知</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方进行维修；因</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方未及时告知</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方而引发的不利后果应由</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方承担；如因</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方原因造成房屋内任何设施设备受损，则相关维修、维护及更换费用以及因此造成的各项损失均由</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 xml:space="preserve">方承担。 </w:t>
      </w:r>
    </w:p>
    <w:p w14:paraId="5240274F">
      <w:pPr>
        <w:keepNext w:val="0"/>
        <w:keepLines w:val="0"/>
        <w:pageBreakBefore w:val="0"/>
        <w:widowControl w:val="0"/>
        <w:shd w:val="clear" w:color="auto" w:fill="auto"/>
        <w:tabs>
          <w:tab w:val="left" w:pos="4500"/>
        </w:tabs>
        <w:kinsoku/>
        <w:wordWrap/>
        <w:overflowPunct/>
        <w:topLinePunct w:val="0"/>
        <w:autoSpaceDE/>
        <w:autoSpaceDN/>
        <w:bidi w:val="0"/>
        <w:adjustRightInd/>
        <w:snapToGrid/>
        <w:spacing w:line="540" w:lineRule="exact"/>
        <w:ind w:firstLine="475" w:firstLineChars="197"/>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val="en-US" w:eastAsia="zh-CN"/>
        </w:rPr>
        <w:t>六</w:t>
      </w:r>
      <w:r>
        <w:rPr>
          <w:rFonts w:hint="eastAsia" w:ascii="仿宋" w:hAnsi="仿宋" w:eastAsia="仿宋" w:cs="仿宋"/>
          <w:b/>
          <w:color w:val="auto"/>
          <w:sz w:val="24"/>
          <w:szCs w:val="24"/>
          <w:highlight w:val="none"/>
        </w:rPr>
        <w:t>条 交付与装修</w:t>
      </w:r>
    </w:p>
    <w:p w14:paraId="567F7029">
      <w:pPr>
        <w:keepNext w:val="0"/>
        <w:keepLines w:val="0"/>
        <w:pageBreakBefore w:val="0"/>
        <w:widowControl w:val="0"/>
        <w:shd w:val="clear" w:color="auto" w:fill="auto"/>
        <w:tabs>
          <w:tab w:val="left" w:pos="4500"/>
        </w:tabs>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方向</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方提供的出租房屋，应保证</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方能够正常使用，如水、电、门、窗等。</w:t>
      </w:r>
    </w:p>
    <w:p w14:paraId="4656FF22">
      <w:pPr>
        <w:keepNext w:val="0"/>
        <w:keepLines w:val="0"/>
        <w:pageBreakBefore w:val="0"/>
        <w:widowControl w:val="0"/>
        <w:shd w:val="clear" w:color="auto" w:fill="auto"/>
        <w:tabs>
          <w:tab w:val="left" w:pos="4500"/>
        </w:tabs>
        <w:kinsoku/>
        <w:wordWrap/>
        <w:overflowPunct/>
        <w:topLinePunct w:val="0"/>
        <w:autoSpaceDE/>
        <w:autoSpaceDN/>
        <w:bidi w:val="0"/>
        <w:adjustRightInd/>
        <w:snapToGrid/>
        <w:spacing w:line="540" w:lineRule="exact"/>
        <w:ind w:firstLine="472" w:firstLineChars="197"/>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方在</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方入驻（</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日）后，提供</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rPr>
        <w:t>天</w:t>
      </w:r>
      <w:r>
        <w:rPr>
          <w:rFonts w:hint="eastAsia" w:ascii="仿宋" w:hAnsi="仿宋" w:eastAsia="仿宋" w:cs="仿宋"/>
          <w:color w:val="auto"/>
          <w:sz w:val="24"/>
          <w:szCs w:val="24"/>
          <w:highlight w:val="none"/>
        </w:rPr>
        <w:t>的内部或（二次）装修期。如在装修及设备调试期间，由于</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方原因不能如期进行，导致</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方装修及设备调试验收时间延迟</w:t>
      </w:r>
      <w:r>
        <w:rPr>
          <w:rFonts w:hint="eastAsia" w:ascii="仿宋" w:hAnsi="仿宋" w:eastAsia="仿宋" w:cs="仿宋"/>
          <w:color w:val="auto"/>
          <w:sz w:val="24"/>
          <w:szCs w:val="24"/>
          <w:highlight w:val="none"/>
          <w:u w:val="single"/>
        </w:rPr>
        <w:t xml:space="preserve"> 30 </w:t>
      </w:r>
      <w:r>
        <w:rPr>
          <w:rFonts w:hint="eastAsia" w:ascii="仿宋" w:hAnsi="仿宋" w:eastAsia="仿宋" w:cs="仿宋"/>
          <w:color w:val="auto"/>
          <w:sz w:val="24"/>
          <w:szCs w:val="24"/>
          <w:highlight w:val="none"/>
        </w:rPr>
        <w:t>天，租期可顺延。如因</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方原因，造成的工期顺延，租期不予顺延，且</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方不承担违约责任。</w:t>
      </w:r>
    </w:p>
    <w:p w14:paraId="113D3B96">
      <w:pPr>
        <w:keepNext w:val="0"/>
        <w:keepLines w:val="0"/>
        <w:pageBreakBefore w:val="0"/>
        <w:widowControl w:val="0"/>
        <w:shd w:val="clear" w:color="auto" w:fill="auto"/>
        <w:tabs>
          <w:tab w:val="left" w:pos="4500"/>
        </w:tabs>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方出资装修所租用房屋，其装修方案须经</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方书面认可，并需在物业管理部门办理装修手续。</w:t>
      </w:r>
    </w:p>
    <w:p w14:paraId="5F2A60A9">
      <w:pPr>
        <w:keepNext w:val="0"/>
        <w:keepLines w:val="0"/>
        <w:pageBreakBefore w:val="0"/>
        <w:widowControl w:val="0"/>
        <w:shd w:val="clear" w:color="auto" w:fill="auto"/>
        <w:tabs>
          <w:tab w:val="left" w:pos="4500"/>
        </w:tabs>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方出资装修所租用房屋时，不得损坏房屋设施，包括屋面及卫生间防水，如需改变房屋内部结构或设置的设计影响房屋结构，需征得</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方书面同意，并经物业管理部门批准。</w:t>
      </w:r>
    </w:p>
    <w:p w14:paraId="30FA7577">
      <w:pPr>
        <w:keepNext w:val="0"/>
        <w:keepLines w:val="0"/>
        <w:pageBreakBefore w:val="0"/>
        <w:widowControl w:val="0"/>
        <w:shd w:val="clear" w:color="auto" w:fill="auto"/>
        <w:tabs>
          <w:tab w:val="left" w:pos="4500"/>
        </w:tabs>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4、如租赁期限届满或租赁合同解除，已完成的房屋内装修的固定部分或影响房屋结构的部分，应按</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方要求恢复房屋或无偿予以保留，</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方不予以向</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方支付任何补偿或赔偿费用。其他可拆除的装修部分，</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方应按照</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方要求拆除，因此造成</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方损失的，由</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方承担；</w:t>
      </w:r>
    </w:p>
    <w:p w14:paraId="2796A178">
      <w:pPr>
        <w:keepNext w:val="0"/>
        <w:keepLines w:val="0"/>
        <w:pageBreakBefore w:val="0"/>
        <w:widowControl w:val="0"/>
        <w:shd w:val="clear" w:color="auto" w:fill="auto"/>
        <w:tabs>
          <w:tab w:val="left" w:pos="4500"/>
        </w:tabs>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5、如</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方在合同期满或因任何原因解除时，选择不自行拆除装修部分，则</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方应在本合同终止前，向</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方支付经</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方核算后的拆除费用。如</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方既未向</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方支付拆除费用，又未自合同期满或合同解除之日起 10日内自行拆除的，</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方有权自行拆除，所产生的费用均由</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方承担（</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方有权从</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方所缴纳的任何费用中扣除，如扣除后不足以支付上述费用的，</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方有权就不足部分，通过诉讼等方式要求</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方继续承担）。</w:t>
      </w:r>
    </w:p>
    <w:p w14:paraId="562DD085">
      <w:pPr>
        <w:keepNext w:val="0"/>
        <w:keepLines w:val="0"/>
        <w:pageBreakBefore w:val="0"/>
        <w:widowControl w:val="0"/>
        <w:shd w:val="clear" w:color="auto" w:fill="auto"/>
        <w:tabs>
          <w:tab w:val="left" w:pos="4500"/>
        </w:tabs>
        <w:kinsoku/>
        <w:wordWrap/>
        <w:overflowPunct/>
        <w:topLinePunct w:val="0"/>
        <w:autoSpaceDE/>
        <w:autoSpaceDN/>
        <w:bidi w:val="0"/>
        <w:adjustRightInd/>
        <w:snapToGrid/>
        <w:spacing w:line="540" w:lineRule="exact"/>
        <w:ind w:firstLine="475" w:firstLineChars="197"/>
        <w:textAlignment w:val="auto"/>
        <w:rPr>
          <w:rFonts w:hint="eastAsia" w:ascii="仿宋" w:hAnsi="仿宋" w:eastAsia="仿宋" w:cs="仿宋"/>
          <w:b/>
          <w:bCs/>
          <w:color w:val="auto"/>
          <w:sz w:val="24"/>
          <w:szCs w:val="24"/>
          <w:highlight w:val="none"/>
        </w:rPr>
      </w:pPr>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val="en-US" w:eastAsia="zh-CN"/>
        </w:rPr>
        <w:t>七</w:t>
      </w:r>
      <w:r>
        <w:rPr>
          <w:rFonts w:hint="eastAsia" w:ascii="仿宋" w:hAnsi="仿宋" w:eastAsia="仿宋" w:cs="仿宋"/>
          <w:b/>
          <w:color w:val="auto"/>
          <w:sz w:val="24"/>
          <w:szCs w:val="24"/>
          <w:highlight w:val="none"/>
        </w:rPr>
        <w:t xml:space="preserve">条  </w:t>
      </w:r>
      <w:r>
        <w:rPr>
          <w:rFonts w:hint="eastAsia" w:ascii="仿宋" w:hAnsi="仿宋" w:eastAsia="仿宋" w:cs="仿宋"/>
          <w:b/>
          <w:bCs/>
          <w:color w:val="auto"/>
          <w:sz w:val="24"/>
          <w:szCs w:val="24"/>
          <w:highlight w:val="none"/>
          <w:lang w:eastAsia="zh-CN"/>
        </w:rPr>
        <w:t>甲</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eastAsia="zh-CN"/>
        </w:rPr>
        <w:t>乙</w:t>
      </w:r>
      <w:r>
        <w:rPr>
          <w:rFonts w:hint="eastAsia" w:ascii="仿宋" w:hAnsi="仿宋" w:eastAsia="仿宋" w:cs="仿宋"/>
          <w:b/>
          <w:bCs/>
          <w:color w:val="auto"/>
          <w:sz w:val="24"/>
          <w:szCs w:val="24"/>
          <w:highlight w:val="none"/>
        </w:rPr>
        <w:t>双方权利和义务</w:t>
      </w:r>
    </w:p>
    <w:p w14:paraId="694A300E">
      <w:pPr>
        <w:keepNext w:val="0"/>
        <w:keepLines w:val="0"/>
        <w:pageBreakBefore w:val="0"/>
        <w:widowControl w:val="0"/>
        <w:shd w:val="clear" w:color="auto" w:fill="auto"/>
        <w:tabs>
          <w:tab w:val="left" w:pos="4500"/>
        </w:tabs>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w:t>
      </w:r>
      <w:r>
        <w:rPr>
          <w:rFonts w:hint="eastAsia" w:ascii="仿宋" w:hAnsi="仿宋" w:eastAsia="仿宋" w:cs="仿宋"/>
          <w:color w:val="auto"/>
          <w:sz w:val="24"/>
          <w:szCs w:val="24"/>
          <w:highlight w:val="none"/>
          <w:lang w:val="en-US" w:eastAsia="zh-CN"/>
        </w:rPr>
        <w:t>的权利和义务</w:t>
      </w:r>
      <w:r>
        <w:rPr>
          <w:rFonts w:hint="eastAsia" w:ascii="仿宋" w:hAnsi="仿宋" w:eastAsia="仿宋" w:cs="仿宋"/>
          <w:color w:val="auto"/>
          <w:sz w:val="24"/>
          <w:szCs w:val="24"/>
          <w:highlight w:val="none"/>
        </w:rPr>
        <w:t>：</w:t>
      </w:r>
    </w:p>
    <w:p w14:paraId="5FFC4D71">
      <w:pPr>
        <w:keepNext w:val="0"/>
        <w:keepLines w:val="0"/>
        <w:pageBreakBefore w:val="0"/>
        <w:widowControl w:val="0"/>
        <w:shd w:val="clear" w:color="auto" w:fill="auto"/>
        <w:tabs>
          <w:tab w:val="left" w:pos="4500"/>
        </w:tabs>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（1）按合同的约定，将出租的房屋交付</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方使用，并有权向</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方收取租金及双方约定的其他费用；</w:t>
      </w:r>
    </w:p>
    <w:p w14:paraId="77954963">
      <w:pPr>
        <w:keepNext w:val="0"/>
        <w:keepLines w:val="0"/>
        <w:pageBreakBefore w:val="0"/>
        <w:widowControl w:val="0"/>
        <w:shd w:val="clear" w:color="auto" w:fill="auto"/>
        <w:tabs>
          <w:tab w:val="left" w:pos="4500"/>
        </w:tabs>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（2）保证上述房屋具有完备、合格的消防设施、水、电设施，否则，由此引起的责任由</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方承担；</w:t>
      </w:r>
    </w:p>
    <w:p w14:paraId="1D670CFB">
      <w:pPr>
        <w:keepNext w:val="0"/>
        <w:keepLines w:val="0"/>
        <w:pageBreakBefore w:val="0"/>
        <w:widowControl w:val="0"/>
        <w:shd w:val="clear" w:color="auto" w:fill="auto"/>
        <w:tabs>
          <w:tab w:val="left" w:pos="4500"/>
        </w:tabs>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（3）保证</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方能够正常使用上述房屋，保障</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方承租过程中正常的用水、用电及日常维修等事宜；</w:t>
      </w:r>
    </w:p>
    <w:p w14:paraId="52B0FEE2">
      <w:pPr>
        <w:keepNext w:val="0"/>
        <w:keepLines w:val="0"/>
        <w:pageBreakBefore w:val="0"/>
        <w:widowControl w:val="0"/>
        <w:shd w:val="clear" w:color="auto" w:fill="auto"/>
        <w:tabs>
          <w:tab w:val="left" w:pos="4500"/>
        </w:tabs>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（4）合同有效期内，如</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方将该房屋所有权转让给第三方，则必须提前三个月通知</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方。在同等条件下，</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方享受优先购买权；房屋所有权及土地使用权转让给第三方后，本合同继续有效，第三方应承担本合同中</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方的全部义务。</w:t>
      </w:r>
    </w:p>
    <w:p w14:paraId="65BC752D">
      <w:pPr>
        <w:keepNext w:val="0"/>
        <w:keepLines w:val="0"/>
        <w:pageBreakBefore w:val="0"/>
        <w:widowControl w:val="0"/>
        <w:shd w:val="clear" w:color="auto" w:fill="auto"/>
        <w:tabs>
          <w:tab w:val="left" w:pos="4500"/>
        </w:tabs>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方有权根据需要在向</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方发出事先通知后，于任何时候进入及视察该物业，记录该物业内的所有物品及进行任何检查、测量、维修及施工。若</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方不按</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方的通知立即对该物业进行本合同约定应由</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方负责的维修或其他工程，</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方可单方面强制维修或进行施工，</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方必须充分合作，有关施工费用由</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方承担。</w:t>
      </w:r>
    </w:p>
    <w:p w14:paraId="7EA06F00">
      <w:pPr>
        <w:keepNext w:val="0"/>
        <w:keepLines w:val="0"/>
        <w:pageBreakBefore w:val="0"/>
        <w:widowControl w:val="0"/>
        <w:shd w:val="clear" w:color="auto" w:fill="auto"/>
        <w:tabs>
          <w:tab w:val="left" w:pos="4500"/>
        </w:tabs>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w:t>
      </w:r>
      <w:r>
        <w:rPr>
          <w:rFonts w:hint="eastAsia" w:ascii="仿宋" w:hAnsi="仿宋" w:eastAsia="仿宋" w:cs="仿宋"/>
          <w:color w:val="auto"/>
          <w:sz w:val="24"/>
          <w:szCs w:val="24"/>
          <w:highlight w:val="none"/>
          <w:lang w:val="en-US" w:eastAsia="zh-CN"/>
        </w:rPr>
        <w:t>的权利和义务</w:t>
      </w:r>
      <w:r>
        <w:rPr>
          <w:rFonts w:hint="eastAsia" w:ascii="仿宋" w:hAnsi="仿宋" w:eastAsia="仿宋" w:cs="仿宋"/>
          <w:color w:val="auto"/>
          <w:sz w:val="24"/>
          <w:szCs w:val="24"/>
          <w:highlight w:val="none"/>
        </w:rPr>
        <w:t>：</w:t>
      </w:r>
    </w:p>
    <w:p w14:paraId="009A3369">
      <w:pPr>
        <w:keepNext w:val="0"/>
        <w:keepLines w:val="0"/>
        <w:pageBreakBefore w:val="0"/>
        <w:widowControl w:val="0"/>
        <w:shd w:val="clear" w:color="auto" w:fill="auto"/>
        <w:tabs>
          <w:tab w:val="left" w:pos="4500"/>
        </w:tabs>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方必须按本合同约定，向</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w:t>
      </w:r>
      <w:r>
        <w:rPr>
          <w:rFonts w:hint="eastAsia" w:ascii="仿宋" w:hAnsi="仿宋" w:eastAsia="仿宋" w:cs="仿宋"/>
          <w:color w:val="auto"/>
          <w:sz w:val="24"/>
          <w:szCs w:val="24"/>
          <w:highlight w:val="none"/>
          <w:lang w:eastAsia="zh-CN"/>
        </w:rPr>
        <w:t>缴纳</w:t>
      </w:r>
      <w:r>
        <w:rPr>
          <w:rFonts w:hint="eastAsia" w:ascii="仿宋" w:hAnsi="仿宋" w:eastAsia="仿宋" w:cs="仿宋"/>
          <w:color w:val="auto"/>
          <w:sz w:val="24"/>
          <w:szCs w:val="24"/>
          <w:highlight w:val="none"/>
        </w:rPr>
        <w:t>租金及</w:t>
      </w:r>
      <w:r>
        <w:rPr>
          <w:rFonts w:hint="eastAsia" w:ascii="仿宋" w:hAnsi="仿宋" w:eastAsia="仿宋" w:cs="仿宋"/>
          <w:color w:val="auto"/>
          <w:sz w:val="24"/>
          <w:szCs w:val="24"/>
          <w:highlight w:val="none"/>
          <w:lang w:eastAsia="zh-CN"/>
        </w:rPr>
        <w:t>其他</w:t>
      </w:r>
      <w:r>
        <w:rPr>
          <w:rFonts w:hint="eastAsia" w:ascii="仿宋" w:hAnsi="仿宋" w:eastAsia="仿宋" w:cs="仿宋"/>
          <w:color w:val="auto"/>
          <w:sz w:val="24"/>
          <w:szCs w:val="24"/>
          <w:highlight w:val="none"/>
        </w:rPr>
        <w:t>双方约定的费用；</w:t>
      </w:r>
    </w:p>
    <w:p w14:paraId="534ADB50">
      <w:pPr>
        <w:keepNext w:val="0"/>
        <w:keepLines w:val="0"/>
        <w:pageBreakBefore w:val="0"/>
        <w:widowControl w:val="0"/>
        <w:shd w:val="clear" w:color="auto" w:fill="auto"/>
        <w:tabs>
          <w:tab w:val="left" w:pos="4500"/>
        </w:tabs>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方在承租中违反国家法律法规的行为，包括但不限于</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方未按照国家相关要求，做好房屋消防等安全保护措施，造成的后果均由</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方自负；</w:t>
      </w:r>
    </w:p>
    <w:p w14:paraId="4D2C2E4B">
      <w:pPr>
        <w:keepNext w:val="0"/>
        <w:keepLines w:val="0"/>
        <w:pageBreakBefore w:val="0"/>
        <w:widowControl w:val="0"/>
        <w:shd w:val="clear" w:color="auto" w:fill="auto"/>
        <w:tabs>
          <w:tab w:val="left" w:pos="4500"/>
        </w:tabs>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（3）合同终止或解除后，</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方须于合同解除或终止之日自行拆除其自有的一切物件、装修，并按照</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方要求的状态返还房屋；逾期如有未搬迁物件，视为</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方放弃所有权，</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方有权处置，并由</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方承担弃物清理的相关费用；</w:t>
      </w:r>
    </w:p>
    <w:p w14:paraId="7F9B9013">
      <w:pPr>
        <w:keepNext w:val="0"/>
        <w:keepLines w:val="0"/>
        <w:pageBreakBefore w:val="0"/>
        <w:widowControl w:val="0"/>
        <w:shd w:val="clear" w:color="auto" w:fill="auto"/>
        <w:tabs>
          <w:tab w:val="left" w:pos="4500"/>
        </w:tabs>
        <w:kinsoku/>
        <w:wordWrap/>
        <w:overflowPunct/>
        <w:topLinePunct w:val="0"/>
        <w:autoSpaceDE/>
        <w:autoSpaceDN/>
        <w:bidi w:val="0"/>
        <w:adjustRightInd/>
        <w:snapToGrid/>
        <w:spacing w:line="540" w:lineRule="exact"/>
        <w:ind w:firstLine="352" w:firstLineChars="147"/>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（4）未经</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方书面许可，</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方不得将所承租之房屋转租于第三人。</w:t>
      </w:r>
    </w:p>
    <w:p w14:paraId="6FB6A9DA">
      <w:pPr>
        <w:keepNext w:val="0"/>
        <w:keepLines w:val="0"/>
        <w:pageBreakBefore w:val="0"/>
        <w:widowControl w:val="0"/>
        <w:shd w:val="clear" w:color="auto" w:fill="auto"/>
        <w:kinsoku/>
        <w:wordWrap/>
        <w:overflowPunct/>
        <w:topLinePunct w:val="0"/>
        <w:autoSpaceDE/>
        <w:autoSpaceDN/>
        <w:bidi w:val="0"/>
        <w:adjustRightInd/>
        <w:snapToGrid/>
        <w:spacing w:line="540" w:lineRule="exact"/>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w:t>
      </w:r>
      <w:r>
        <w:rPr>
          <w:rFonts w:hint="eastAsia" w:ascii="仿宋" w:hAnsi="仿宋" w:eastAsia="仿宋" w:cs="仿宋"/>
          <w:b/>
          <w:bCs/>
          <w:color w:val="auto"/>
          <w:sz w:val="24"/>
          <w:szCs w:val="24"/>
          <w:highlight w:val="none"/>
          <w:lang w:val="en-US" w:eastAsia="zh-CN"/>
        </w:rPr>
        <w:t>八</w:t>
      </w:r>
      <w:r>
        <w:rPr>
          <w:rFonts w:hint="eastAsia" w:ascii="仿宋" w:hAnsi="仿宋" w:eastAsia="仿宋" w:cs="仿宋"/>
          <w:b/>
          <w:bCs/>
          <w:color w:val="auto"/>
          <w:sz w:val="24"/>
          <w:szCs w:val="24"/>
          <w:highlight w:val="none"/>
        </w:rPr>
        <w:t>条 房屋的转让与转租和续租</w:t>
      </w:r>
    </w:p>
    <w:p w14:paraId="3841D0D5">
      <w:pPr>
        <w:keepNext w:val="0"/>
        <w:keepLines w:val="0"/>
        <w:pageBreakBefore w:val="0"/>
        <w:widowControl w:val="0"/>
        <w:shd w:val="clear" w:color="auto" w:fill="auto"/>
        <w:tabs>
          <w:tab w:val="left" w:pos="4500"/>
        </w:tabs>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1、租赁期间，</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方有权依照法定程序转让该出租房屋的所有权，转让后，本合同对新的房屋所有人和</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方继续有效。</w:t>
      </w:r>
    </w:p>
    <w:p w14:paraId="24E74188">
      <w:pPr>
        <w:keepNext w:val="0"/>
        <w:keepLines w:val="0"/>
        <w:pageBreakBefore w:val="0"/>
        <w:widowControl w:val="0"/>
        <w:shd w:val="clear" w:color="auto" w:fill="auto"/>
        <w:tabs>
          <w:tab w:val="left" w:pos="4500"/>
        </w:tabs>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2、未经</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方同意，</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方不得转租、转借承租房屋。</w:t>
      </w:r>
    </w:p>
    <w:p w14:paraId="2523F97F">
      <w:pPr>
        <w:keepNext w:val="0"/>
        <w:keepLines w:val="0"/>
        <w:pageBreakBefore w:val="0"/>
        <w:widowControl w:val="0"/>
        <w:shd w:val="clear" w:color="auto" w:fill="auto"/>
        <w:tabs>
          <w:tab w:val="left" w:pos="4500"/>
        </w:tabs>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3、合同期满，如</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方继续出租该房屋，经双方协商一致，在同等条件下</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方拥有优先承租权。</w:t>
      </w:r>
    </w:p>
    <w:p w14:paraId="159FD842">
      <w:pPr>
        <w:keepNext w:val="0"/>
        <w:keepLines w:val="0"/>
        <w:pageBreakBefore w:val="0"/>
        <w:widowControl w:val="0"/>
        <w:shd w:val="clear" w:color="auto" w:fill="auto"/>
        <w:tabs>
          <w:tab w:val="left" w:pos="4500"/>
        </w:tabs>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4、合同期满，</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方需要续租的，应提前60天向</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方提出申请，经双方协商一致后，续签下期租赁合同，否则丧失优先承租权。</w:t>
      </w:r>
    </w:p>
    <w:p w14:paraId="2F1B6EA3">
      <w:pPr>
        <w:keepNext w:val="0"/>
        <w:keepLines w:val="0"/>
        <w:pageBreakBefore w:val="0"/>
        <w:widowControl w:val="0"/>
        <w:shd w:val="clear" w:color="auto" w:fill="auto"/>
        <w:tabs>
          <w:tab w:val="left" w:pos="4500"/>
        </w:tabs>
        <w:kinsoku/>
        <w:wordWrap/>
        <w:overflowPunct/>
        <w:topLinePunct w:val="0"/>
        <w:autoSpaceDE/>
        <w:autoSpaceDN/>
        <w:bidi w:val="0"/>
        <w:adjustRightInd/>
        <w:snapToGrid/>
        <w:spacing w:line="540" w:lineRule="exact"/>
        <w:ind w:firstLine="475" w:firstLineChars="197"/>
        <w:textAlignment w:val="auto"/>
        <w:rPr>
          <w:rFonts w:hint="eastAsia" w:ascii="仿宋" w:hAnsi="仿宋" w:eastAsia="仿宋" w:cs="仿宋"/>
          <w:b/>
          <w:bCs/>
          <w:color w:val="auto"/>
          <w:sz w:val="24"/>
          <w:szCs w:val="24"/>
          <w:highlight w:val="none"/>
        </w:rPr>
      </w:pPr>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val="en-US" w:eastAsia="zh-CN"/>
        </w:rPr>
        <w:t>九</w:t>
      </w:r>
      <w:r>
        <w:rPr>
          <w:rFonts w:hint="eastAsia" w:ascii="仿宋" w:hAnsi="仿宋" w:eastAsia="仿宋" w:cs="仿宋"/>
          <w:b/>
          <w:color w:val="auto"/>
          <w:sz w:val="24"/>
          <w:szCs w:val="24"/>
          <w:highlight w:val="none"/>
        </w:rPr>
        <w:t xml:space="preserve">条 </w:t>
      </w:r>
      <w:r>
        <w:rPr>
          <w:rFonts w:hint="eastAsia" w:ascii="仿宋" w:hAnsi="仿宋" w:eastAsia="仿宋" w:cs="仿宋"/>
          <w:b/>
          <w:bCs/>
          <w:color w:val="auto"/>
          <w:sz w:val="24"/>
          <w:szCs w:val="24"/>
          <w:highlight w:val="none"/>
        </w:rPr>
        <w:t>违约责任</w:t>
      </w:r>
    </w:p>
    <w:p w14:paraId="50A74CE4">
      <w:pPr>
        <w:keepNext w:val="0"/>
        <w:keepLines w:val="0"/>
        <w:pageBreakBefore w:val="0"/>
        <w:widowControl w:val="0"/>
        <w:shd w:val="clear" w:color="auto" w:fill="auto"/>
        <w:tabs>
          <w:tab w:val="left" w:pos="4500"/>
        </w:tabs>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方逾期交房或交付房屋不符合双方明确约定的交付条件的，每逾期一天，应按本合同约定的该年度租金总额的万分之五向</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方支付违约金。</w:t>
      </w:r>
    </w:p>
    <w:p w14:paraId="45F45A62">
      <w:pPr>
        <w:keepNext w:val="0"/>
        <w:keepLines w:val="0"/>
        <w:pageBreakBefore w:val="0"/>
        <w:widowControl w:val="0"/>
        <w:shd w:val="clear" w:color="auto" w:fill="auto"/>
        <w:tabs>
          <w:tab w:val="left" w:pos="4500"/>
        </w:tabs>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方逾期付款的，每延迟一天按本合同约定的该年租金总额的万分之五向</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方支付违约金；</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方迟延付款超过20日的，</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方有权单方面解除本合同，且</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方应按该年度年租金总额的20％向</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方支付违约金。</w:t>
      </w:r>
    </w:p>
    <w:p w14:paraId="705E1047">
      <w:pPr>
        <w:keepNext w:val="0"/>
        <w:keepLines w:val="0"/>
        <w:pageBreakBefore w:val="0"/>
        <w:widowControl w:val="0"/>
        <w:shd w:val="clear" w:color="auto" w:fill="auto"/>
        <w:tabs>
          <w:tab w:val="left" w:pos="4500"/>
        </w:tabs>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方有下列情形之一的</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方有权通知</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方解除合同，收回房屋，</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方已支付的押金</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方不予退还，并且</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方应按照该年度年租金总额20%向</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方支付违约金。若支付的违约金不足弥补</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方损失的，</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方还应负责赔偿直至达到弥补全部损失为止。</w:t>
      </w:r>
    </w:p>
    <w:p w14:paraId="03A664D6">
      <w:pPr>
        <w:keepNext w:val="0"/>
        <w:keepLines w:val="0"/>
        <w:pageBreakBefore w:val="0"/>
        <w:widowControl w:val="0"/>
        <w:shd w:val="clear" w:color="auto" w:fill="auto"/>
        <w:tabs>
          <w:tab w:val="left" w:pos="4500"/>
        </w:tabs>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（1）未经</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方同意私自改变承租房屋的用途或利用承租房屋进行非法活动</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损害公共利益的；</w:t>
      </w:r>
    </w:p>
    <w:p w14:paraId="1066946B">
      <w:pPr>
        <w:keepNext w:val="0"/>
        <w:keepLines w:val="0"/>
        <w:pageBreakBefore w:val="0"/>
        <w:widowControl w:val="0"/>
        <w:shd w:val="clear" w:color="auto" w:fill="auto"/>
        <w:tabs>
          <w:tab w:val="left" w:pos="4500"/>
        </w:tabs>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方擅自装修或在装修中擅自改变房屋主体结构</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或损坏室内设施的；</w:t>
      </w:r>
    </w:p>
    <w:p w14:paraId="4CF06AC6">
      <w:pPr>
        <w:keepNext w:val="0"/>
        <w:keepLines w:val="0"/>
        <w:pageBreakBefore w:val="0"/>
        <w:widowControl w:val="0"/>
        <w:shd w:val="clear" w:color="auto" w:fill="auto"/>
        <w:tabs>
          <w:tab w:val="left" w:pos="4500"/>
        </w:tabs>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方擅自将房屋转租，转借，转让给第三方的；</w:t>
      </w:r>
    </w:p>
    <w:p w14:paraId="5C7472D6">
      <w:pPr>
        <w:keepNext w:val="0"/>
        <w:keepLines w:val="0"/>
        <w:pageBreakBefore w:val="0"/>
        <w:widowControl w:val="0"/>
        <w:shd w:val="clear" w:color="auto" w:fill="auto"/>
        <w:tabs>
          <w:tab w:val="left" w:pos="4500"/>
        </w:tabs>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（4）不支付或者不按照约定支付租金超过20日的</w:t>
      </w:r>
      <w:r>
        <w:rPr>
          <w:rFonts w:hint="eastAsia" w:ascii="仿宋" w:hAnsi="仿宋" w:eastAsia="仿宋" w:cs="仿宋"/>
          <w:color w:val="auto"/>
          <w:sz w:val="24"/>
          <w:szCs w:val="24"/>
          <w:highlight w:val="none"/>
          <w:lang w:val="en-US" w:eastAsia="zh-CN"/>
        </w:rPr>
        <w:t>;</w:t>
      </w:r>
    </w:p>
    <w:p w14:paraId="4447FE36">
      <w:pPr>
        <w:keepNext w:val="0"/>
        <w:keepLines w:val="0"/>
        <w:pageBreakBefore w:val="0"/>
        <w:widowControl w:val="0"/>
        <w:shd w:val="clear" w:color="auto" w:fill="auto"/>
        <w:tabs>
          <w:tab w:val="left" w:pos="4500"/>
        </w:tabs>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）本合同明确约定的</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方有权解除合同的其他情形</w:t>
      </w:r>
      <w:r>
        <w:rPr>
          <w:rFonts w:hint="eastAsia" w:ascii="仿宋" w:hAnsi="仿宋" w:eastAsia="仿宋" w:cs="仿宋"/>
          <w:color w:val="auto"/>
          <w:sz w:val="24"/>
          <w:szCs w:val="24"/>
          <w:highlight w:val="none"/>
          <w:lang w:eastAsia="zh-CN"/>
        </w:rPr>
        <w:t>。</w:t>
      </w:r>
    </w:p>
    <w:p w14:paraId="6DB4CF10">
      <w:pPr>
        <w:keepNext w:val="0"/>
        <w:keepLines w:val="0"/>
        <w:pageBreakBefore w:val="0"/>
        <w:widowControl w:val="0"/>
        <w:shd w:val="clear" w:color="auto" w:fill="auto"/>
        <w:tabs>
          <w:tab w:val="left" w:pos="4500"/>
        </w:tabs>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4、合同执行期间</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任何一方除不可抗力及本合同约定外，不得以任何理由单方解除、终止本合同或提前收回房屋。</w:t>
      </w:r>
    </w:p>
    <w:p w14:paraId="3C019A13">
      <w:pPr>
        <w:keepNext w:val="0"/>
        <w:keepLines w:val="0"/>
        <w:pageBreakBefore w:val="0"/>
        <w:widowControl w:val="0"/>
        <w:shd w:val="clear" w:color="auto" w:fill="auto"/>
        <w:tabs>
          <w:tab w:val="left" w:pos="4500"/>
        </w:tabs>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5、除本合同另有约定外，</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方若违反本合同任何条款或单方擅自终止本合同的，应向</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方支付该年度年租金总金额20%的违约金</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并赔偿因此给</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方造成的其他损失。</w:t>
      </w:r>
    </w:p>
    <w:p w14:paraId="03D37C22">
      <w:pPr>
        <w:keepNext w:val="0"/>
        <w:keepLines w:val="0"/>
        <w:pageBreakBefore w:val="0"/>
        <w:widowControl w:val="0"/>
        <w:shd w:val="clear" w:color="auto" w:fill="auto"/>
        <w:tabs>
          <w:tab w:val="left" w:pos="4500"/>
        </w:tabs>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6、合同解除或者合同期满的，</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方未在合同解除或者合同期满后一日内返还房屋的，</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方有权自行收回该房屋，且</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方应当按照合同约定租金标准向</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方支付占用房屋期间的占用费。</w:t>
      </w:r>
    </w:p>
    <w:p w14:paraId="74BCCD78">
      <w:pPr>
        <w:keepNext w:val="0"/>
        <w:keepLines w:val="0"/>
        <w:pageBreakBefore w:val="0"/>
        <w:widowControl w:val="0"/>
        <w:shd w:val="clear" w:color="auto" w:fill="auto"/>
        <w:tabs>
          <w:tab w:val="left" w:pos="4500"/>
        </w:tabs>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7、如</w:t>
      </w:r>
      <w:r>
        <w:rPr>
          <w:rFonts w:hint="eastAsia" w:ascii="仿宋" w:hAnsi="仿宋" w:eastAsia="仿宋" w:cs="仿宋"/>
          <w:color w:val="auto"/>
          <w:sz w:val="24"/>
          <w:szCs w:val="24"/>
          <w:highlight w:val="none"/>
          <w:lang w:val="en-US" w:eastAsia="zh-CN"/>
        </w:rPr>
        <w:t>乙</w:t>
      </w:r>
      <w:r>
        <w:rPr>
          <w:rFonts w:hint="eastAsia" w:ascii="仿宋" w:hAnsi="仿宋" w:eastAsia="仿宋" w:cs="仿宋"/>
          <w:color w:val="auto"/>
          <w:sz w:val="24"/>
          <w:szCs w:val="24"/>
          <w:highlight w:val="none"/>
        </w:rPr>
        <w:t>方未按时缴纳水电费、物业服务费、电话费、中央空调费等各项费用，造成</w:t>
      </w:r>
      <w:r>
        <w:rPr>
          <w:rFonts w:hint="eastAsia" w:ascii="仿宋" w:hAnsi="仿宋" w:eastAsia="仿宋" w:cs="仿宋"/>
          <w:color w:val="auto"/>
          <w:sz w:val="24"/>
          <w:szCs w:val="24"/>
          <w:highlight w:val="none"/>
          <w:lang w:val="en-US" w:eastAsia="zh-CN"/>
        </w:rPr>
        <w:t>甲</w:t>
      </w:r>
      <w:r>
        <w:rPr>
          <w:rFonts w:hint="eastAsia" w:ascii="仿宋" w:hAnsi="仿宋" w:eastAsia="仿宋" w:cs="仿宋"/>
          <w:color w:val="auto"/>
          <w:sz w:val="24"/>
          <w:szCs w:val="24"/>
          <w:highlight w:val="none"/>
        </w:rPr>
        <w:t>方作为房屋业主面临承担连带责任的，</w:t>
      </w:r>
      <w:r>
        <w:rPr>
          <w:rFonts w:hint="eastAsia" w:ascii="仿宋" w:hAnsi="仿宋" w:eastAsia="仿宋" w:cs="仿宋"/>
          <w:color w:val="auto"/>
          <w:sz w:val="24"/>
          <w:szCs w:val="24"/>
          <w:highlight w:val="none"/>
          <w:lang w:val="en-US" w:eastAsia="zh-CN"/>
        </w:rPr>
        <w:t>乙</w:t>
      </w:r>
      <w:r>
        <w:rPr>
          <w:rFonts w:hint="eastAsia" w:ascii="仿宋" w:hAnsi="仿宋" w:eastAsia="仿宋" w:cs="仿宋"/>
          <w:color w:val="auto"/>
          <w:sz w:val="24"/>
          <w:szCs w:val="24"/>
          <w:highlight w:val="none"/>
        </w:rPr>
        <w:t>方负责赔偿</w:t>
      </w:r>
      <w:r>
        <w:rPr>
          <w:rFonts w:hint="eastAsia" w:ascii="仿宋" w:hAnsi="仿宋" w:eastAsia="仿宋" w:cs="仿宋"/>
          <w:color w:val="auto"/>
          <w:sz w:val="24"/>
          <w:szCs w:val="24"/>
          <w:highlight w:val="none"/>
          <w:lang w:val="en-US" w:eastAsia="zh-CN"/>
        </w:rPr>
        <w:t>甲</w:t>
      </w:r>
      <w:r>
        <w:rPr>
          <w:rFonts w:hint="eastAsia" w:ascii="仿宋" w:hAnsi="仿宋" w:eastAsia="仿宋" w:cs="仿宋"/>
          <w:color w:val="auto"/>
          <w:sz w:val="24"/>
          <w:szCs w:val="24"/>
          <w:highlight w:val="none"/>
        </w:rPr>
        <w:t>方的经济损失。</w:t>
      </w:r>
    </w:p>
    <w:p w14:paraId="47B2B422">
      <w:pPr>
        <w:keepNext w:val="0"/>
        <w:keepLines w:val="0"/>
        <w:pageBreakBefore w:val="0"/>
        <w:widowControl w:val="0"/>
        <w:shd w:val="clear" w:color="auto" w:fill="auto"/>
        <w:tabs>
          <w:tab w:val="left" w:pos="4500"/>
        </w:tabs>
        <w:kinsoku/>
        <w:wordWrap/>
        <w:overflowPunct/>
        <w:topLinePunct w:val="0"/>
        <w:autoSpaceDE/>
        <w:autoSpaceDN/>
        <w:bidi w:val="0"/>
        <w:adjustRightInd/>
        <w:snapToGrid/>
        <w:spacing w:line="540" w:lineRule="exact"/>
        <w:ind w:firstLine="475" w:firstLineChars="197"/>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
          <w:color w:val="auto"/>
          <w:sz w:val="24"/>
          <w:szCs w:val="24"/>
          <w:highlight w:val="none"/>
        </w:rPr>
        <w:t xml:space="preserve">第十条 </w:t>
      </w:r>
      <w:r>
        <w:rPr>
          <w:rFonts w:hint="eastAsia" w:ascii="仿宋" w:hAnsi="仿宋" w:eastAsia="仿宋" w:cs="仿宋"/>
          <w:b/>
          <w:bCs/>
          <w:color w:val="auto"/>
          <w:sz w:val="24"/>
          <w:szCs w:val="24"/>
          <w:highlight w:val="none"/>
          <w:lang w:val="en-US" w:eastAsia="zh-CN"/>
        </w:rPr>
        <w:t>房屋交还</w:t>
      </w:r>
    </w:p>
    <w:p w14:paraId="02702218">
      <w:pPr>
        <w:keepNext w:val="0"/>
        <w:keepLines w:val="0"/>
        <w:pageBreakBefore w:val="0"/>
        <w:widowControl w:val="0"/>
        <w:shd w:val="clear" w:color="auto" w:fill="auto"/>
        <w:tabs>
          <w:tab w:val="left" w:pos="4500"/>
        </w:tabs>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1、如</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方不存在拖欠</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方房屋租金或其他费用，或</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方同意</w:t>
      </w:r>
      <w:r>
        <w:rPr>
          <w:rFonts w:hint="eastAsia" w:ascii="仿宋" w:hAnsi="仿宋" w:eastAsia="仿宋" w:cs="仿宋"/>
          <w:color w:val="auto"/>
          <w:sz w:val="24"/>
          <w:szCs w:val="24"/>
          <w:highlight w:val="none"/>
          <w:lang w:val="en-US" w:eastAsia="zh-CN"/>
        </w:rPr>
        <w:t>甲</w:t>
      </w:r>
      <w:r>
        <w:rPr>
          <w:rFonts w:hint="eastAsia" w:ascii="仿宋" w:hAnsi="仿宋" w:eastAsia="仿宋" w:cs="仿宋"/>
          <w:color w:val="auto"/>
          <w:sz w:val="24"/>
          <w:szCs w:val="24"/>
          <w:highlight w:val="none"/>
        </w:rPr>
        <w:t>方搬离的，</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方应于合同期限届满或合同解除后一日内搬出该房屋，按</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方相关规定办理退租手续，</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方交还的房屋应经过</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方或</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方委托的物业公司验收，不足部分，由</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方负责赔偿。</w:t>
      </w:r>
    </w:p>
    <w:p w14:paraId="1427258E">
      <w:pPr>
        <w:keepNext w:val="0"/>
        <w:keepLines w:val="0"/>
        <w:pageBreakBefore w:val="0"/>
        <w:widowControl w:val="0"/>
        <w:shd w:val="clear" w:color="auto" w:fill="auto"/>
        <w:tabs>
          <w:tab w:val="left" w:pos="4500"/>
        </w:tabs>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2、无论任何原因，</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方未在合同约定或</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方书面通知的交还期限内将符合本条第1款约定的房屋交还</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方的，则自交还期届满之日的次日起，</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方应当按照合同期限届满或合同解除时租赁房屋租金标准向</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方支付房屋占用费，并按照合同期限届满或解除时租赁房屋物业管理费标准向物业服务公司支付物业管理费并承担相关的水费、电费及其他</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方使用租赁房屋产生的费用，直至</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方按照合同要求交还租赁房屋为止。若因此造成</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方延迟向新租户交付租赁房屋而需承担违约金、中介费，以及造成</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方其他损失的，均由</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方承担赔偿责任。</w:t>
      </w:r>
    </w:p>
    <w:p w14:paraId="68D60967">
      <w:pPr>
        <w:keepNext w:val="0"/>
        <w:keepLines w:val="0"/>
        <w:pageBreakBefore w:val="0"/>
        <w:widowControl w:val="0"/>
        <w:shd w:val="clear" w:color="auto" w:fill="auto"/>
        <w:tabs>
          <w:tab w:val="left" w:pos="4500"/>
        </w:tabs>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同时，自本条第1款所述交还期届满之日的次日起，如</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方未按要求撤场并交付租赁房屋，</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方或物业服务公司有权直接进入房屋，并采取对租赁房屋停止水、电等供应等强制措施。此种情形下，</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方所应当承担的租金、物业服务费及相关费用并不因此而得到减免，且</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方无需承担违约责任。</w:t>
      </w:r>
    </w:p>
    <w:p w14:paraId="40D0A8C7">
      <w:pPr>
        <w:keepNext w:val="0"/>
        <w:keepLines w:val="0"/>
        <w:pageBreakBefore w:val="0"/>
        <w:widowControl w:val="0"/>
        <w:shd w:val="clear" w:color="auto" w:fill="auto"/>
        <w:tabs>
          <w:tab w:val="left" w:pos="4500"/>
        </w:tabs>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3、在</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方向</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方交还租赁房屋的同时，</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方应当与</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方或</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方委托的物业公司签署《租赁房屋退租验收单》。除本合同约定的其他情形外，在双方签署了该确认书之后</w:t>
      </w:r>
      <w:r>
        <w:rPr>
          <w:rFonts w:hint="eastAsia" w:ascii="仿宋" w:hAnsi="仿宋" w:eastAsia="仿宋" w:cs="仿宋"/>
          <w:color w:val="auto"/>
          <w:sz w:val="24"/>
          <w:szCs w:val="24"/>
          <w:highlight w:val="none"/>
          <w:lang w:eastAsia="zh-CN"/>
        </w:rPr>
        <w:t>或</w:t>
      </w:r>
      <w:r>
        <w:rPr>
          <w:rFonts w:hint="eastAsia" w:ascii="仿宋" w:hAnsi="仿宋" w:eastAsia="仿宋" w:cs="仿宋"/>
          <w:color w:val="auto"/>
          <w:sz w:val="24"/>
          <w:szCs w:val="24"/>
          <w:highlight w:val="none"/>
        </w:rPr>
        <w:t>虽未签署该确认书但</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方已经实际撤离租赁房屋之后（包括但不限于全部人员撤离、主要物品已清理等）或</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方在交还期届满之后仍未撤离，</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方同意：</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方在租赁房屋内遗留的任何装饰装修、设施设备、物品等均视为</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方放弃了所有权及一切权利，</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方有权自行予以处置（包括作为垃圾予以处理），且无需赔偿</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w:t>
      </w:r>
    </w:p>
    <w:p w14:paraId="6E7EDA6C">
      <w:pPr>
        <w:keepNext w:val="0"/>
        <w:keepLines w:val="0"/>
        <w:pageBreakBefore w:val="0"/>
        <w:widowControl w:val="0"/>
        <w:shd w:val="clear" w:color="auto" w:fill="auto"/>
        <w:tabs>
          <w:tab w:val="left" w:pos="4500"/>
        </w:tabs>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合同期限届满或无论合同因何种原因解除，</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方均不得向</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方主张针对房屋装修、装饰的任何补偿或赔偿。</w:t>
      </w:r>
    </w:p>
    <w:p w14:paraId="6281611A">
      <w:pPr>
        <w:keepNext w:val="0"/>
        <w:keepLines w:val="0"/>
        <w:pageBreakBefore w:val="0"/>
        <w:widowControl w:val="0"/>
        <w:shd w:val="clear" w:color="auto" w:fill="auto"/>
        <w:tabs>
          <w:tab w:val="left" w:pos="4500"/>
        </w:tabs>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如</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方因对</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方撤离后的租赁房屋进行清理、整改或对有关设施设备进行维修、更换等使之符合承租条件并能够正常使用的，则因此而发生的费用支出均应当由</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方承担，并且在上述清理期间，</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方应当按照本条第2款所述租金标准承担租赁房屋的占用费，以弥补</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方在此期间的租金损失。</w:t>
      </w:r>
    </w:p>
    <w:p w14:paraId="3F69AA24">
      <w:pPr>
        <w:keepNext w:val="0"/>
        <w:keepLines w:val="0"/>
        <w:pageBreakBefore w:val="0"/>
        <w:widowControl w:val="0"/>
        <w:shd w:val="clear" w:color="auto" w:fill="auto"/>
        <w:kinsoku/>
        <w:wordWrap/>
        <w:overflowPunct/>
        <w:topLinePunct w:val="0"/>
        <w:autoSpaceDE/>
        <w:autoSpaceDN/>
        <w:bidi w:val="0"/>
        <w:adjustRightInd/>
        <w:snapToGrid/>
        <w:spacing w:line="540" w:lineRule="exact"/>
        <w:ind w:firstLine="499" w:firstLineChars="207"/>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第十</w:t>
      </w:r>
      <w:r>
        <w:rPr>
          <w:rFonts w:hint="eastAsia" w:ascii="仿宋" w:hAnsi="仿宋" w:eastAsia="仿宋" w:cs="仿宋"/>
          <w:b/>
          <w:color w:val="auto"/>
          <w:sz w:val="24"/>
          <w:szCs w:val="24"/>
          <w:highlight w:val="none"/>
          <w:lang w:val="en-US" w:eastAsia="zh-CN"/>
        </w:rPr>
        <w:t>一</w:t>
      </w:r>
      <w:r>
        <w:rPr>
          <w:rFonts w:hint="eastAsia" w:ascii="仿宋" w:hAnsi="仿宋" w:eastAsia="仿宋" w:cs="仿宋"/>
          <w:b/>
          <w:color w:val="auto"/>
          <w:sz w:val="24"/>
          <w:szCs w:val="24"/>
          <w:highlight w:val="none"/>
        </w:rPr>
        <w:t>条 合同终止</w:t>
      </w:r>
    </w:p>
    <w:p w14:paraId="01E3DE1A">
      <w:pPr>
        <w:keepNext w:val="0"/>
        <w:keepLines w:val="0"/>
        <w:pageBreakBefore w:val="0"/>
        <w:widowControl w:val="0"/>
        <w:shd w:val="clear" w:color="auto" w:fill="auto"/>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1、合同期满，双方结清全部手续且未续签的，本合同终止；</w:t>
      </w:r>
    </w:p>
    <w:p w14:paraId="7FC7B5DC">
      <w:pPr>
        <w:keepNext w:val="0"/>
        <w:keepLines w:val="0"/>
        <w:pageBreakBefore w:val="0"/>
        <w:widowControl w:val="0"/>
        <w:shd w:val="clear" w:color="auto" w:fill="auto"/>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2、依照法律规定或者约定解除合同的；</w:t>
      </w:r>
    </w:p>
    <w:p w14:paraId="34C02B45">
      <w:pPr>
        <w:keepNext w:val="0"/>
        <w:keepLines w:val="0"/>
        <w:pageBreakBefore w:val="0"/>
        <w:widowControl w:val="0"/>
        <w:shd w:val="clear" w:color="auto" w:fill="auto"/>
        <w:kinsoku/>
        <w:wordWrap/>
        <w:overflowPunct/>
        <w:topLinePunct w:val="0"/>
        <w:autoSpaceDE/>
        <w:autoSpaceDN/>
        <w:bidi w:val="0"/>
        <w:adjustRightInd/>
        <w:snapToGrid/>
        <w:spacing w:line="540" w:lineRule="exact"/>
        <w:ind w:firstLine="460" w:firstLineChars="192"/>
        <w:textAlignment w:val="auto"/>
        <w:rPr>
          <w:rFonts w:hint="eastAsia" w:ascii="仿宋" w:hAnsi="仿宋" w:eastAsia="仿宋" w:cs="仿宋"/>
          <w:vanish/>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vanish/>
          <w:color w:val="auto"/>
          <w:sz w:val="24"/>
          <w:szCs w:val="24"/>
          <w:highlight w:val="none"/>
        </w:rPr>
        <w:t>同权租金视为违约金，甲方有权不予退还，且乙方应承担其所承租厂房</w:t>
      </w:r>
    </w:p>
    <w:p w14:paraId="11642F23">
      <w:pPr>
        <w:keepNext w:val="0"/>
        <w:keepLines w:val="0"/>
        <w:pageBreakBefore w:val="0"/>
        <w:widowControl w:val="0"/>
        <w:shd w:val="clear" w:color="auto" w:fill="auto"/>
        <w:kinsoku/>
        <w:wordWrap/>
        <w:overflowPunct/>
        <w:topLinePunct w:val="0"/>
        <w:autoSpaceDE/>
        <w:autoSpaceDN/>
        <w:bidi w:val="0"/>
        <w:adjustRightInd/>
        <w:snapToGrid/>
        <w:spacing w:line="540" w:lineRule="exact"/>
        <w:ind w:firstLine="460" w:firstLineChars="192"/>
        <w:textAlignment w:val="auto"/>
        <w:rPr>
          <w:rFonts w:hint="eastAsia" w:ascii="仿宋" w:hAnsi="仿宋" w:eastAsia="仿宋" w:cs="仿宋"/>
          <w:color w:val="auto"/>
          <w:sz w:val="24"/>
          <w:szCs w:val="24"/>
          <w:highlight w:val="none"/>
        </w:rPr>
      </w:pPr>
      <w:r>
        <w:rPr>
          <w:rFonts w:hint="eastAsia" w:ascii="仿宋" w:hAnsi="仿宋" w:eastAsia="仿宋" w:cs="仿宋"/>
          <w:vanish/>
          <w:color w:val="auto"/>
          <w:sz w:val="24"/>
          <w:szCs w:val="24"/>
          <w:highlight w:val="none"/>
        </w:rPr>
        <w:t>4</w:t>
      </w:r>
      <w:r>
        <w:rPr>
          <w:rFonts w:hint="eastAsia" w:ascii="仿宋" w:hAnsi="仿宋" w:eastAsia="仿宋" w:cs="仿宋"/>
          <w:color w:val="auto"/>
          <w:sz w:val="24"/>
          <w:szCs w:val="24"/>
          <w:highlight w:val="none"/>
        </w:rPr>
        <w:t>、本合同所涉及的</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方单方解除合同程序为：按《中华人民共和国民法典》的规定，书面通知</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方，合同即解除。合同解除后，</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方对</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方所承租的房屋有另行处分的权利。</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方在合同解除后三日内未搬离的物品，视为</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方自愿赠与</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方有权无偿取得其所有权；</w:t>
      </w:r>
    </w:p>
    <w:p w14:paraId="40A5389B">
      <w:pPr>
        <w:keepNext w:val="0"/>
        <w:keepLines w:val="0"/>
        <w:pageBreakBefore w:val="0"/>
        <w:widowControl w:val="0"/>
        <w:numPr>
          <w:ilvl w:val="0"/>
          <w:numId w:val="2"/>
        </w:numPr>
        <w:shd w:val="clear" w:color="auto" w:fill="auto"/>
        <w:kinsoku/>
        <w:wordWrap/>
        <w:overflowPunct/>
        <w:topLinePunct w:val="0"/>
        <w:autoSpaceDE/>
        <w:autoSpaceDN/>
        <w:bidi w:val="0"/>
        <w:adjustRightInd/>
        <w:snapToGrid/>
        <w:spacing w:line="540" w:lineRule="exact"/>
        <w:ind w:firstLine="460" w:firstLineChars="192"/>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本合同履行过程中，本合同条款或</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方的租赁情况与</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方以及上级部门相关文件中的有效规定相冲突的或与审计部门要求不相符的，</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方有权解除本合同，且无需承担违约责任，因此造成的一切损失由</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方自行承担。</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方应自收到</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方解除合同通知函之日起，按照本合同第十条约定办理交还物业的相关手续。</w:t>
      </w:r>
    </w:p>
    <w:p w14:paraId="567FE274">
      <w:pPr>
        <w:keepNext w:val="0"/>
        <w:keepLines w:val="0"/>
        <w:pageBreakBefore w:val="0"/>
        <w:widowControl w:val="0"/>
        <w:shd w:val="clear" w:color="auto" w:fill="auto"/>
        <w:tabs>
          <w:tab w:val="left" w:pos="4500"/>
        </w:tabs>
        <w:kinsoku/>
        <w:wordWrap/>
        <w:overflowPunct/>
        <w:topLinePunct w:val="0"/>
        <w:autoSpaceDE/>
        <w:autoSpaceDN/>
        <w:bidi w:val="0"/>
        <w:adjustRightInd/>
        <w:snapToGrid/>
        <w:spacing w:line="540" w:lineRule="exact"/>
        <w:ind w:firstLine="472" w:firstLineChars="196"/>
        <w:textAlignment w:val="auto"/>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第十</w:t>
      </w:r>
      <w:r>
        <w:rPr>
          <w:rFonts w:hint="eastAsia" w:ascii="仿宋" w:hAnsi="仿宋" w:eastAsia="仿宋" w:cs="仿宋"/>
          <w:b/>
          <w:color w:val="auto"/>
          <w:sz w:val="24"/>
          <w:szCs w:val="24"/>
          <w:highlight w:val="none"/>
          <w:lang w:val="en-US" w:eastAsia="zh-CN"/>
        </w:rPr>
        <w:t>二</w:t>
      </w:r>
      <w:r>
        <w:rPr>
          <w:rFonts w:hint="eastAsia" w:ascii="仿宋" w:hAnsi="仿宋" w:eastAsia="仿宋" w:cs="仿宋"/>
          <w:b/>
          <w:color w:val="auto"/>
          <w:sz w:val="24"/>
          <w:szCs w:val="24"/>
          <w:highlight w:val="none"/>
        </w:rPr>
        <w:t xml:space="preserve">条 </w:t>
      </w:r>
      <w:r>
        <w:rPr>
          <w:rFonts w:hint="eastAsia" w:ascii="仿宋" w:hAnsi="仿宋" w:eastAsia="仿宋" w:cs="仿宋"/>
          <w:color w:val="auto"/>
          <w:sz w:val="24"/>
          <w:szCs w:val="24"/>
          <w:highlight w:val="none"/>
        </w:rPr>
        <w:t>各方确认，各方填写的本合同中联系地址、联系方式的适用范围既包括各方在非诉阶段的各类通知、协议等所有往来文件的送达，也包括就本合同发生争议时以及争议进入民事诉讼程序后的一审、二审、再审和执行程序中相关文件或法律文书的送达。人民法院和/或仲裁机构的相关文件或者法律文书向任何一方当事人在本合同中的联系地址送达的，均视为有效送达，不论被送达人是否收到该等文件或法律文书，均发生法律、法规上规定的诉讼文书送达效果。</w:t>
      </w:r>
    </w:p>
    <w:p w14:paraId="1677D6E6">
      <w:pPr>
        <w:keepNext w:val="0"/>
        <w:keepLines w:val="0"/>
        <w:pageBreakBefore w:val="0"/>
        <w:widowControl w:val="0"/>
        <w:shd w:val="clear" w:color="auto" w:fill="auto"/>
        <w:kinsoku/>
        <w:wordWrap/>
        <w:overflowPunct/>
        <w:topLinePunct w:val="0"/>
        <w:autoSpaceDE/>
        <w:autoSpaceDN/>
        <w:bidi w:val="0"/>
        <w:adjustRightInd/>
        <w:snapToGrid/>
        <w:spacing w:line="540" w:lineRule="exact"/>
        <w:ind w:firstLine="499" w:firstLineChars="207"/>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第十</w:t>
      </w:r>
      <w:r>
        <w:rPr>
          <w:rFonts w:hint="eastAsia" w:ascii="仿宋" w:hAnsi="仿宋" w:eastAsia="仿宋" w:cs="仿宋"/>
          <w:b/>
          <w:color w:val="auto"/>
          <w:sz w:val="24"/>
          <w:szCs w:val="24"/>
          <w:highlight w:val="none"/>
          <w:lang w:val="en-US" w:eastAsia="zh-CN"/>
        </w:rPr>
        <w:t>三</w:t>
      </w:r>
      <w:r>
        <w:rPr>
          <w:rFonts w:hint="eastAsia" w:ascii="仿宋" w:hAnsi="仿宋" w:eastAsia="仿宋" w:cs="仿宋"/>
          <w:b/>
          <w:color w:val="auto"/>
          <w:sz w:val="24"/>
          <w:szCs w:val="24"/>
          <w:highlight w:val="none"/>
        </w:rPr>
        <w:t>条 争议解决</w:t>
      </w:r>
    </w:p>
    <w:p w14:paraId="5972D81E">
      <w:pPr>
        <w:keepNext w:val="0"/>
        <w:keepLines w:val="0"/>
        <w:pageBreakBefore w:val="0"/>
        <w:widowControl w:val="0"/>
        <w:shd w:val="clear" w:color="auto" w:fill="auto"/>
        <w:kinsoku/>
        <w:wordWrap/>
        <w:overflowPunct/>
        <w:topLinePunct w:val="0"/>
        <w:autoSpaceDE/>
        <w:autoSpaceDN/>
        <w:bidi w:val="0"/>
        <w:adjustRightInd/>
        <w:snapToGrid/>
        <w:spacing w:line="540" w:lineRule="exact"/>
        <w:ind w:firstLine="496" w:firstLineChars="207"/>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本合同履行中如发生争议，由双方协商解决，协商不成的任何一方均可向房屋所在地人民法院提起诉讼。</w:t>
      </w:r>
    </w:p>
    <w:p w14:paraId="7C803596">
      <w:pPr>
        <w:keepNext w:val="0"/>
        <w:keepLines w:val="0"/>
        <w:pageBreakBefore w:val="0"/>
        <w:widowControl w:val="0"/>
        <w:shd w:val="clear" w:color="auto" w:fill="auto"/>
        <w:kinsoku/>
        <w:wordWrap/>
        <w:overflowPunct/>
        <w:topLinePunct w:val="0"/>
        <w:autoSpaceDE/>
        <w:autoSpaceDN/>
        <w:bidi w:val="0"/>
        <w:adjustRightInd/>
        <w:snapToGrid/>
        <w:spacing w:line="540" w:lineRule="exact"/>
        <w:ind w:firstLine="482" w:firstLineChars="20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第十</w:t>
      </w:r>
      <w:r>
        <w:rPr>
          <w:rFonts w:hint="eastAsia" w:ascii="仿宋" w:hAnsi="仿宋" w:eastAsia="仿宋" w:cs="仿宋"/>
          <w:b/>
          <w:color w:val="auto"/>
          <w:sz w:val="24"/>
          <w:szCs w:val="24"/>
          <w:highlight w:val="none"/>
          <w:lang w:val="en-US" w:eastAsia="zh-CN"/>
        </w:rPr>
        <w:t>四</w:t>
      </w:r>
      <w:r>
        <w:rPr>
          <w:rFonts w:hint="eastAsia" w:ascii="仿宋" w:hAnsi="仿宋" w:eastAsia="仿宋" w:cs="仿宋"/>
          <w:b/>
          <w:color w:val="auto"/>
          <w:sz w:val="24"/>
          <w:szCs w:val="24"/>
          <w:highlight w:val="none"/>
        </w:rPr>
        <w:t>条 补充约定</w:t>
      </w:r>
    </w:p>
    <w:p w14:paraId="5451FDCA">
      <w:pPr>
        <w:keepNext w:val="0"/>
        <w:keepLines w:val="0"/>
        <w:pageBreakBefore w:val="0"/>
        <w:widowControl w:val="0"/>
        <w:shd w:val="clear" w:color="auto" w:fill="auto"/>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1、本合同未尽事宜，由经合同双方共同协商做出补充约定，但补充合同不得与</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方或</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方上级部门的有关文件规定相冲突。补充约定与本合同具有同等效力。</w:t>
      </w:r>
    </w:p>
    <w:p w14:paraId="6A93AB9C">
      <w:pPr>
        <w:keepNext w:val="0"/>
        <w:keepLines w:val="0"/>
        <w:pageBreakBefore w:val="0"/>
        <w:widowControl w:val="0"/>
        <w:shd w:val="clear" w:color="auto" w:fill="auto"/>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2、如本合同中相关条款与</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方或</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方上级部门相关文件相冲突的，</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lang w:val="en-US" w:eastAsia="zh-CN"/>
        </w:rPr>
        <w:t>乙</w:t>
      </w:r>
      <w:r>
        <w:rPr>
          <w:rFonts w:hint="eastAsia" w:ascii="仿宋" w:hAnsi="仿宋" w:eastAsia="仿宋" w:cs="仿宋"/>
          <w:color w:val="auto"/>
          <w:sz w:val="24"/>
          <w:szCs w:val="24"/>
          <w:highlight w:val="none"/>
        </w:rPr>
        <w:t>双方同意以</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方或</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方上级部门文件规定为准。</w:t>
      </w:r>
    </w:p>
    <w:p w14:paraId="1002FB20">
      <w:pPr>
        <w:keepNext w:val="0"/>
        <w:keepLines w:val="0"/>
        <w:pageBreakBefore w:val="0"/>
        <w:widowControl w:val="0"/>
        <w:shd w:val="clear" w:color="auto" w:fill="auto"/>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3、如双方对本合同未尽事宜未能达成协商一致，但</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方或</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方上级部门文件有规定的，</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lang w:val="en-US" w:eastAsia="zh-CN"/>
        </w:rPr>
        <w:t>乙</w:t>
      </w:r>
      <w:r>
        <w:rPr>
          <w:rFonts w:hint="eastAsia" w:ascii="仿宋" w:hAnsi="仿宋" w:eastAsia="仿宋" w:cs="仿宋"/>
          <w:color w:val="auto"/>
          <w:sz w:val="24"/>
          <w:szCs w:val="24"/>
          <w:highlight w:val="none"/>
        </w:rPr>
        <w:t>双方同意按</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方或</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方上级部门文件规定进行处理。</w:t>
      </w:r>
    </w:p>
    <w:p w14:paraId="43101FBB">
      <w:pPr>
        <w:keepNext w:val="0"/>
        <w:keepLines w:val="0"/>
        <w:pageBreakBefore w:val="0"/>
        <w:widowControl w:val="0"/>
        <w:shd w:val="clear" w:color="auto" w:fill="auto"/>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4、本合同履行过程中，因为任何一方存在违约行为导致对方通过诉讼等方式主张权益的，违约方应承担守约方由此产生的诉讼费、律师费、保全费、保险费等各项费用。</w:t>
      </w:r>
    </w:p>
    <w:p w14:paraId="7F290656">
      <w:pPr>
        <w:keepNext w:val="0"/>
        <w:keepLines w:val="0"/>
        <w:pageBreakBefore w:val="0"/>
        <w:widowControl w:val="0"/>
        <w:shd w:val="clear" w:color="auto" w:fill="auto"/>
        <w:kinsoku/>
        <w:wordWrap/>
        <w:overflowPunct/>
        <w:topLinePunct w:val="0"/>
        <w:autoSpaceDE/>
        <w:autoSpaceDN/>
        <w:bidi w:val="0"/>
        <w:adjustRightInd/>
        <w:snapToGrid/>
        <w:spacing w:line="540" w:lineRule="exac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 xml:space="preserve">    第十</w:t>
      </w:r>
      <w:r>
        <w:rPr>
          <w:rFonts w:hint="eastAsia" w:ascii="仿宋" w:hAnsi="仿宋" w:eastAsia="仿宋" w:cs="仿宋"/>
          <w:b/>
          <w:color w:val="auto"/>
          <w:sz w:val="24"/>
          <w:szCs w:val="24"/>
          <w:highlight w:val="none"/>
          <w:lang w:val="en-US" w:eastAsia="zh-CN"/>
        </w:rPr>
        <w:t>五</w:t>
      </w:r>
      <w:r>
        <w:rPr>
          <w:rFonts w:hint="eastAsia" w:ascii="仿宋" w:hAnsi="仿宋" w:eastAsia="仿宋" w:cs="仿宋"/>
          <w:b/>
          <w:color w:val="auto"/>
          <w:sz w:val="24"/>
          <w:szCs w:val="24"/>
          <w:highlight w:val="none"/>
        </w:rPr>
        <w:t>条  其他</w:t>
      </w:r>
    </w:p>
    <w:p w14:paraId="4BB8255D">
      <w:pPr>
        <w:keepNext w:val="0"/>
        <w:keepLines w:val="0"/>
        <w:pageBreakBefore w:val="0"/>
        <w:widowControl w:val="0"/>
        <w:shd w:val="clear" w:color="auto" w:fill="auto"/>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1、本合同壹式</w:t>
      </w:r>
      <w:r>
        <w:rPr>
          <w:rFonts w:hint="eastAsia" w:ascii="仿宋" w:hAnsi="仿宋" w:eastAsia="仿宋" w:cs="仿宋"/>
          <w:color w:val="auto"/>
          <w:sz w:val="24"/>
          <w:szCs w:val="24"/>
          <w:highlight w:val="none"/>
          <w:u w:val="single"/>
          <w:lang w:val="en-US" w:eastAsia="zh-CN"/>
        </w:rPr>
        <w:t xml:space="preserve"> 拾 </w:t>
      </w:r>
      <w:r>
        <w:rPr>
          <w:rFonts w:hint="eastAsia" w:ascii="仿宋" w:hAnsi="仿宋" w:eastAsia="仿宋" w:cs="仿宋"/>
          <w:color w:val="auto"/>
          <w:sz w:val="24"/>
          <w:szCs w:val="24"/>
          <w:highlight w:val="none"/>
        </w:rPr>
        <w:t>份，</w:t>
      </w:r>
      <w:r>
        <w:rPr>
          <w:rFonts w:hint="eastAsia" w:ascii="仿宋" w:hAnsi="仿宋" w:eastAsia="仿宋" w:cs="仿宋"/>
          <w:color w:val="auto"/>
          <w:sz w:val="24"/>
          <w:szCs w:val="24"/>
          <w:highlight w:val="none"/>
          <w:lang w:val="en-US" w:eastAsia="zh-CN"/>
        </w:rPr>
        <w:t>甲方</w:t>
      </w:r>
      <w:r>
        <w:rPr>
          <w:rFonts w:hint="eastAsia" w:ascii="仿宋" w:hAnsi="仿宋" w:eastAsia="仿宋" w:cs="仿宋"/>
          <w:color w:val="auto"/>
          <w:sz w:val="24"/>
          <w:szCs w:val="24"/>
          <w:highlight w:val="none"/>
        </w:rPr>
        <w:t>执</w:t>
      </w:r>
      <w:r>
        <w:rPr>
          <w:rFonts w:hint="eastAsia" w:ascii="仿宋" w:hAnsi="仿宋" w:eastAsia="仿宋" w:cs="仿宋"/>
          <w:color w:val="auto"/>
          <w:sz w:val="24"/>
          <w:szCs w:val="24"/>
          <w:highlight w:val="none"/>
          <w:u w:val="single"/>
          <w:lang w:val="en-US" w:eastAsia="zh-CN"/>
        </w:rPr>
        <w:t xml:space="preserve"> 捌 </w:t>
      </w:r>
      <w:r>
        <w:rPr>
          <w:rFonts w:hint="eastAsia" w:ascii="仿宋" w:hAnsi="仿宋" w:eastAsia="仿宋" w:cs="仿宋"/>
          <w:color w:val="auto"/>
          <w:sz w:val="24"/>
          <w:szCs w:val="24"/>
          <w:highlight w:val="none"/>
        </w:rPr>
        <w:t>份，</w:t>
      </w:r>
      <w:r>
        <w:rPr>
          <w:rFonts w:hint="eastAsia" w:ascii="仿宋" w:hAnsi="仿宋" w:eastAsia="仿宋" w:cs="仿宋"/>
          <w:color w:val="auto"/>
          <w:sz w:val="24"/>
          <w:szCs w:val="24"/>
          <w:highlight w:val="none"/>
          <w:lang w:val="en-US" w:eastAsia="zh-CN"/>
        </w:rPr>
        <w:t>乙方执</w:t>
      </w:r>
      <w:r>
        <w:rPr>
          <w:rFonts w:hint="eastAsia" w:ascii="仿宋" w:hAnsi="仿宋" w:eastAsia="仿宋" w:cs="仿宋"/>
          <w:color w:val="auto"/>
          <w:sz w:val="24"/>
          <w:szCs w:val="24"/>
          <w:highlight w:val="none"/>
          <w:u w:val="single"/>
          <w:lang w:val="en-US" w:eastAsia="zh-CN"/>
        </w:rPr>
        <w:t xml:space="preserve"> 贰 </w:t>
      </w:r>
      <w:r>
        <w:rPr>
          <w:rFonts w:hint="eastAsia" w:ascii="仿宋" w:hAnsi="仿宋" w:eastAsia="仿宋" w:cs="仿宋"/>
          <w:color w:val="auto"/>
          <w:sz w:val="24"/>
          <w:szCs w:val="24"/>
          <w:highlight w:val="none"/>
          <w:lang w:val="en-US" w:eastAsia="zh-CN"/>
        </w:rPr>
        <w:t>份</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具有同等法律效力，自双方签字盖章之日起生效。</w:t>
      </w:r>
    </w:p>
    <w:p w14:paraId="455C518C">
      <w:pPr>
        <w:keepNext w:val="0"/>
        <w:keepLines w:val="0"/>
        <w:pageBreakBefore w:val="0"/>
        <w:widowControl w:val="0"/>
        <w:shd w:val="clear" w:color="auto" w:fill="auto"/>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2、未尽事宜双方可另行签订补充协议，补充协议及附件与本合同具有同等法律效力。</w:t>
      </w:r>
    </w:p>
    <w:p w14:paraId="13F202BB">
      <w:pPr>
        <w:keepNext w:val="0"/>
        <w:keepLines w:val="0"/>
        <w:pageBreakBefore w:val="0"/>
        <w:widowControl w:val="0"/>
        <w:shd w:val="clear" w:color="auto" w:fill="auto"/>
        <w:kinsoku/>
        <w:wordWrap/>
        <w:overflowPunct/>
        <w:topLinePunct w:val="0"/>
        <w:autoSpaceDE/>
        <w:autoSpaceDN/>
        <w:bidi w:val="0"/>
        <w:adjustRightInd/>
        <w:snapToGrid/>
        <w:spacing w:line="5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3、双方承诺就本合同从对方获悉的任何信息承担保密义务，不得将从对方获得的信息再披露给任何第三方，也不得将该等信息用于本合同约定目的以外的任何目的。</w:t>
      </w:r>
    </w:p>
    <w:p w14:paraId="1B29257D">
      <w:pPr>
        <w:adjustRightInd w:val="0"/>
        <w:snapToGrid w:val="0"/>
        <w:spacing w:line="36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r>
        <w:rPr>
          <w:rFonts w:hint="eastAsia" w:ascii="仿宋" w:hAnsi="仿宋" w:eastAsia="仿宋" w:cs="仿宋"/>
          <w:color w:val="auto"/>
          <w:sz w:val="24"/>
          <w:highlight w:val="none"/>
        </w:rPr>
        <w:t>（签字盖章页无正文）</w:t>
      </w:r>
    </w:p>
    <w:tbl>
      <w:tblPr>
        <w:tblStyle w:val="2"/>
        <w:tblpPr w:leftFromText="180" w:rightFromText="180" w:vertAnchor="text" w:horzAnchor="page" w:tblpX="1702" w:tblpY="119"/>
        <w:tblW w:w="9180" w:type="dxa"/>
        <w:tblInd w:w="0" w:type="dxa"/>
        <w:tblLayout w:type="fixed"/>
        <w:tblCellMar>
          <w:top w:w="0" w:type="dxa"/>
          <w:left w:w="108" w:type="dxa"/>
          <w:bottom w:w="0" w:type="dxa"/>
          <w:right w:w="108" w:type="dxa"/>
        </w:tblCellMar>
      </w:tblPr>
      <w:tblGrid>
        <w:gridCol w:w="4644"/>
        <w:gridCol w:w="4536"/>
      </w:tblGrid>
      <w:tr w14:paraId="246F165B">
        <w:tblPrEx>
          <w:tblCellMar>
            <w:top w:w="0" w:type="dxa"/>
            <w:left w:w="108" w:type="dxa"/>
            <w:bottom w:w="0" w:type="dxa"/>
            <w:right w:w="108" w:type="dxa"/>
          </w:tblCellMar>
        </w:tblPrEx>
        <w:tc>
          <w:tcPr>
            <w:tcW w:w="4644" w:type="dxa"/>
            <w:noWrap w:val="0"/>
            <w:vAlign w:val="top"/>
          </w:tcPr>
          <w:p w14:paraId="347D0F79">
            <w:pPr>
              <w:pStyle w:val="7"/>
              <w:framePr w:hSpace="0" w:wrap="auto" w:vAnchor="margin" w:hAnchor="text" w:yAlign="inline"/>
              <w:spacing w:after="50"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甲方（发包人）：</w:t>
            </w:r>
          </w:p>
        </w:tc>
        <w:tc>
          <w:tcPr>
            <w:tcW w:w="4536" w:type="dxa"/>
            <w:noWrap w:val="0"/>
            <w:vAlign w:val="top"/>
          </w:tcPr>
          <w:p w14:paraId="32E2798B">
            <w:pPr>
              <w:pStyle w:val="7"/>
              <w:framePr w:hSpace="0" w:wrap="auto" w:vAnchor="margin" w:hAnchor="text" w:yAlign="inline"/>
              <w:spacing w:after="50"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乙方（承包人）：            </w:t>
            </w:r>
          </w:p>
          <w:p w14:paraId="2439C4CC">
            <w:pPr>
              <w:pStyle w:val="7"/>
              <w:framePr w:hSpace="0" w:wrap="auto" w:vAnchor="margin" w:hAnchor="text" w:yAlign="inline"/>
              <w:spacing w:after="50"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（公章）</w:t>
            </w:r>
          </w:p>
        </w:tc>
      </w:tr>
      <w:tr w14:paraId="28C8DA9E">
        <w:tblPrEx>
          <w:tblCellMar>
            <w:top w:w="0" w:type="dxa"/>
            <w:left w:w="108" w:type="dxa"/>
            <w:bottom w:w="0" w:type="dxa"/>
            <w:right w:w="108" w:type="dxa"/>
          </w:tblCellMar>
        </w:tblPrEx>
        <w:tc>
          <w:tcPr>
            <w:tcW w:w="4644" w:type="dxa"/>
            <w:noWrap w:val="0"/>
            <w:vAlign w:val="top"/>
          </w:tcPr>
          <w:p w14:paraId="73BD935E">
            <w:pPr>
              <w:pStyle w:val="7"/>
              <w:framePr w:hSpace="0" w:wrap="auto" w:vAnchor="margin" w:hAnchor="text" w:yAlign="inline"/>
              <w:spacing w:after="120" w:afterLines="50"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法定代表人或其授权代理人：</w:t>
            </w:r>
          </w:p>
          <w:p w14:paraId="37E790B5">
            <w:pPr>
              <w:pStyle w:val="7"/>
              <w:framePr w:hSpace="0" w:wrap="auto" w:vAnchor="margin" w:hAnchor="text" w:yAlign="inline"/>
              <w:spacing w:after="120" w:afterLines="50"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（签字或盖章）</w:t>
            </w:r>
          </w:p>
        </w:tc>
        <w:tc>
          <w:tcPr>
            <w:tcW w:w="4536" w:type="dxa"/>
            <w:noWrap w:val="0"/>
            <w:vAlign w:val="top"/>
          </w:tcPr>
          <w:p w14:paraId="7782C5EF">
            <w:pPr>
              <w:pStyle w:val="7"/>
              <w:framePr w:hSpace="0" w:wrap="auto" w:vAnchor="margin" w:hAnchor="text" w:yAlign="inline"/>
              <w:spacing w:after="120" w:afterLines="50"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法定代表人或其授权代理人：</w:t>
            </w:r>
          </w:p>
          <w:p w14:paraId="0B62441F">
            <w:pPr>
              <w:pStyle w:val="7"/>
              <w:framePr w:hSpace="0" w:wrap="auto" w:vAnchor="margin" w:hAnchor="text" w:yAlign="inline"/>
              <w:spacing w:after="120" w:afterLines="50"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（签字或盖章）</w:t>
            </w:r>
          </w:p>
        </w:tc>
      </w:tr>
      <w:tr w14:paraId="71587AD1">
        <w:tblPrEx>
          <w:tblCellMar>
            <w:top w:w="0" w:type="dxa"/>
            <w:left w:w="108" w:type="dxa"/>
            <w:bottom w:w="0" w:type="dxa"/>
            <w:right w:w="108" w:type="dxa"/>
          </w:tblCellMar>
        </w:tblPrEx>
        <w:trPr>
          <w:trHeight w:val="4331" w:hRule="atLeast"/>
        </w:trPr>
        <w:tc>
          <w:tcPr>
            <w:tcW w:w="4644" w:type="dxa"/>
            <w:noWrap w:val="0"/>
            <w:vAlign w:val="top"/>
          </w:tcPr>
          <w:p w14:paraId="20A3C49A">
            <w:pPr>
              <w:pStyle w:val="7"/>
              <w:framePr w:hSpace="0" w:wrap="auto" w:vAnchor="margin" w:hAnchor="text" w:yAlign="inline"/>
              <w:spacing w:line="360" w:lineRule="auto"/>
              <w:rPr>
                <w:rFonts w:hint="eastAsia" w:ascii="仿宋" w:hAnsi="仿宋" w:eastAsia="仿宋" w:cs="仿宋"/>
                <w:color w:val="auto"/>
                <w:sz w:val="24"/>
                <w:szCs w:val="24"/>
                <w:highlight w:val="none"/>
              </w:rPr>
            </w:pPr>
          </w:p>
          <w:p w14:paraId="58A59E53">
            <w:pPr>
              <w:pStyle w:val="7"/>
              <w:framePr w:hSpace="0" w:wrap="auto" w:vAnchor="margin" w:hAnchor="text" w:yAlign="inline"/>
              <w:spacing w:after="50"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统一社会信用代码：</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p>
          <w:p w14:paraId="1F48BEE2">
            <w:pPr>
              <w:pStyle w:val="7"/>
              <w:framePr w:hSpace="0" w:wrap="auto" w:vAnchor="margin" w:hAnchor="text" w:yAlign="inline"/>
              <w:spacing w:after="50" w:line="360" w:lineRule="auto"/>
              <w:rPr>
                <w:rFonts w:hint="default" w:ascii="仿宋" w:hAnsi="仿宋" w:eastAsia="仿宋" w:cs="仿宋"/>
                <w:color w:val="auto"/>
                <w:kern w:val="0"/>
                <w:sz w:val="24"/>
                <w:szCs w:val="24"/>
                <w:highlight w:val="none"/>
                <w:u w:val="single"/>
                <w:lang w:val="en-US" w:eastAsia="zh-CN"/>
              </w:rPr>
            </w:pPr>
            <w:r>
              <w:rPr>
                <w:rFonts w:hint="eastAsia" w:ascii="仿宋" w:hAnsi="仿宋" w:eastAsia="仿宋" w:cs="仿宋"/>
                <w:color w:val="auto"/>
                <w:sz w:val="24"/>
                <w:szCs w:val="24"/>
                <w:highlight w:val="none"/>
              </w:rPr>
              <w:t>地址：</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p>
          <w:p w14:paraId="322BC298">
            <w:pPr>
              <w:pStyle w:val="7"/>
              <w:framePr w:hSpace="0" w:wrap="auto" w:vAnchor="margin" w:hAnchor="text" w:yAlign="inline"/>
              <w:spacing w:after="50"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p>
          <w:p w14:paraId="0314C61C">
            <w:pPr>
              <w:pStyle w:val="7"/>
              <w:framePr w:hSpace="0" w:wrap="auto" w:vAnchor="margin" w:hAnchor="text" w:yAlign="inline"/>
              <w:spacing w:after="50"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p>
          <w:p w14:paraId="0F441002">
            <w:pPr>
              <w:pStyle w:val="7"/>
              <w:framePr w:hSpace="0" w:wrap="auto" w:vAnchor="margin" w:hAnchor="text" w:yAlign="inline"/>
              <w:spacing w:after="50"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r>
              <w:rPr>
                <w:rFonts w:hint="eastAsia" w:ascii="仿宋" w:hAnsi="仿宋" w:eastAsia="仿宋" w:cs="仿宋"/>
                <w:color w:val="auto"/>
                <w:kern w:val="0"/>
                <w:sz w:val="24"/>
                <w:szCs w:val="24"/>
                <w:highlight w:val="none"/>
                <w:u w:val="single"/>
              </w:rPr>
              <w:t xml:space="preserve">                                        </w:t>
            </w:r>
          </w:p>
          <w:p w14:paraId="09D30410">
            <w:pPr>
              <w:pStyle w:val="7"/>
              <w:framePr w:hSpace="0" w:wrap="auto" w:vAnchor="margin" w:hAnchor="text" w:yAlign="inline"/>
              <w:spacing w:after="50" w:line="360" w:lineRule="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账号：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 w:val="24"/>
                <w:szCs w:val="24"/>
                <w:highlight w:val="none"/>
                <w:u w:val="single"/>
              </w:rPr>
              <w:t xml:space="preserve">                           </w:t>
            </w:r>
          </w:p>
          <w:p w14:paraId="5036B0D3">
            <w:pPr>
              <w:pStyle w:val="7"/>
              <w:framePr w:hSpace="0" w:wrap="auto" w:vAnchor="margin" w:hAnchor="text" w:yAlign="inline"/>
              <w:spacing w:after="120"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tc>
        <w:tc>
          <w:tcPr>
            <w:tcW w:w="4536" w:type="dxa"/>
            <w:noWrap w:val="0"/>
            <w:vAlign w:val="top"/>
          </w:tcPr>
          <w:p w14:paraId="68563DF5">
            <w:pPr>
              <w:pStyle w:val="7"/>
              <w:framePr w:hSpace="0" w:wrap="auto" w:vAnchor="margin" w:hAnchor="text" w:yAlign="inline"/>
              <w:spacing w:after="50"/>
              <w:rPr>
                <w:rFonts w:hint="eastAsia" w:ascii="仿宋" w:hAnsi="仿宋" w:eastAsia="仿宋" w:cs="仿宋"/>
                <w:color w:val="auto"/>
                <w:sz w:val="24"/>
                <w:szCs w:val="24"/>
                <w:highlight w:val="none"/>
              </w:rPr>
            </w:pPr>
          </w:p>
          <w:p w14:paraId="5DC42880">
            <w:pPr>
              <w:pStyle w:val="7"/>
              <w:framePr w:hSpace="0" w:wrap="auto" w:vAnchor="margin" w:hAnchor="text" w:yAlign="inline"/>
              <w:spacing w:after="50"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统一社会信用代码：</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5D37BFAD">
            <w:pPr>
              <w:pStyle w:val="7"/>
              <w:framePr w:hSpace="0" w:wrap="auto" w:vAnchor="margin" w:hAnchor="text" w:yAlign="inline"/>
              <w:spacing w:after="50" w:line="360" w:lineRule="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地址：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kern w:val="0"/>
                <w:sz w:val="24"/>
                <w:szCs w:val="24"/>
                <w:highlight w:val="none"/>
                <w:u w:val="single"/>
              </w:rPr>
              <w:t xml:space="preserve"> </w:t>
            </w:r>
          </w:p>
          <w:p w14:paraId="34341A9D">
            <w:pPr>
              <w:pStyle w:val="7"/>
              <w:framePr w:hSpace="0" w:wrap="auto" w:vAnchor="margin" w:hAnchor="text" w:yAlign="inline"/>
              <w:spacing w:after="50"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r>
              <w:rPr>
                <w:rFonts w:hint="eastAsia" w:ascii="仿宋" w:hAnsi="仿宋" w:eastAsia="仿宋" w:cs="仿宋"/>
                <w:color w:val="auto"/>
                <w:kern w:val="0"/>
                <w:sz w:val="24"/>
                <w:szCs w:val="24"/>
                <w:highlight w:val="none"/>
                <w:u w:val="single"/>
              </w:rPr>
              <w:t xml:space="preserve">                          </w:t>
            </w:r>
          </w:p>
          <w:p w14:paraId="6B36AE6F">
            <w:pPr>
              <w:pStyle w:val="7"/>
              <w:framePr w:hSpace="0" w:wrap="auto" w:vAnchor="margin" w:hAnchor="text" w:yAlign="inline"/>
              <w:spacing w:after="50"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kern w:val="0"/>
                <w:sz w:val="24"/>
                <w:szCs w:val="24"/>
                <w:highlight w:val="none"/>
                <w:u w:val="single"/>
              </w:rPr>
              <w:t xml:space="preserve">                    </w:t>
            </w:r>
          </w:p>
          <w:p w14:paraId="61529CFF">
            <w:pPr>
              <w:pStyle w:val="7"/>
              <w:framePr w:hSpace="0" w:wrap="auto" w:vAnchor="margin" w:hAnchor="text" w:yAlign="inline"/>
              <w:spacing w:after="50"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r>
              <w:rPr>
                <w:rFonts w:hint="eastAsia" w:ascii="仿宋" w:hAnsi="仿宋" w:eastAsia="仿宋" w:cs="仿宋"/>
                <w:color w:val="auto"/>
                <w:kern w:val="0"/>
                <w:sz w:val="24"/>
                <w:szCs w:val="24"/>
                <w:highlight w:val="none"/>
                <w:u w:val="single"/>
              </w:rPr>
              <w:t xml:space="preserve">                                        </w:t>
            </w:r>
          </w:p>
          <w:p w14:paraId="7039E619">
            <w:pPr>
              <w:pStyle w:val="7"/>
              <w:framePr w:hSpace="0" w:wrap="auto" w:vAnchor="margin" w:hAnchor="text" w:yAlign="inline"/>
              <w:spacing w:after="50" w:line="360" w:lineRule="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账号：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 w:val="24"/>
                <w:szCs w:val="24"/>
                <w:highlight w:val="none"/>
                <w:u w:val="single"/>
              </w:rPr>
              <w:t xml:space="preserve">                           </w:t>
            </w:r>
          </w:p>
          <w:p w14:paraId="17E26A42">
            <w:pPr>
              <w:pStyle w:val="7"/>
              <w:framePr w:hSpace="0" w:wrap="auto" w:vAnchor="margin" w:hAnchor="text" w:yAlign="inline"/>
              <w:spacing w:after="50" w:line="360" w:lineRule="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tc>
      </w:tr>
    </w:tbl>
    <w:p w14:paraId="62FEC50B">
      <w:pPr>
        <w:spacing w:before="156" w:beforeLines="50" w:after="156" w:afterLines="50" w:line="360" w:lineRule="auto"/>
        <w:ind w:firstLine="482" w:firstLineChars="20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注：本合同模板仅为合同的参考文本，合同签订双方可根据项目的具体要求进行修改。</w:t>
      </w:r>
    </w:p>
    <w:p w14:paraId="4F5C30B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EEFFA8"/>
    <w:multiLevelType w:val="singleLevel"/>
    <w:tmpl w:val="A8EEFFA8"/>
    <w:lvl w:ilvl="0" w:tentative="0">
      <w:start w:val="4"/>
      <w:numFmt w:val="decimal"/>
      <w:suff w:val="nothing"/>
      <w:lvlText w:val="%1、"/>
      <w:lvlJc w:val="left"/>
    </w:lvl>
  </w:abstractNum>
  <w:abstractNum w:abstractNumId="1">
    <w:nsid w:val="71674A7D"/>
    <w:multiLevelType w:val="multilevel"/>
    <w:tmpl w:val="71674A7D"/>
    <w:lvl w:ilvl="0" w:tentative="0">
      <w:start w:val="1"/>
      <w:numFmt w:val="japaneseCounting"/>
      <w:lvlText w:val="第%1条"/>
      <w:lvlJc w:val="left"/>
      <w:pPr>
        <w:tabs>
          <w:tab w:val="left" w:pos="1440"/>
        </w:tabs>
        <w:ind w:left="1380" w:hanging="960"/>
      </w:pPr>
    </w:lvl>
    <w:lvl w:ilvl="1" w:tentative="0">
      <w:start w:val="1"/>
      <w:numFmt w:val="decimal"/>
      <w:lvlText w:val="%2."/>
      <w:lvlJc w:val="left"/>
      <w:pPr>
        <w:tabs>
          <w:tab w:val="left" w:pos="1440"/>
        </w:tabs>
        <w:ind w:left="1380" w:hanging="360"/>
      </w:pPr>
    </w:lvl>
    <w:lvl w:ilvl="2" w:tentative="0">
      <w:start w:val="1"/>
      <w:numFmt w:val="decimal"/>
      <w:lvlText w:val="%3."/>
      <w:lvlJc w:val="left"/>
      <w:pPr>
        <w:tabs>
          <w:tab w:val="left" w:pos="2160"/>
        </w:tabs>
        <w:ind w:left="2100" w:hanging="360"/>
      </w:pPr>
    </w:lvl>
    <w:lvl w:ilvl="3" w:tentative="0">
      <w:start w:val="1"/>
      <w:numFmt w:val="decimal"/>
      <w:lvlText w:val="%4."/>
      <w:lvlJc w:val="left"/>
      <w:pPr>
        <w:tabs>
          <w:tab w:val="left" w:pos="2880"/>
        </w:tabs>
        <w:ind w:left="2820" w:hanging="360"/>
      </w:pPr>
    </w:lvl>
    <w:lvl w:ilvl="4" w:tentative="0">
      <w:start w:val="1"/>
      <w:numFmt w:val="decimal"/>
      <w:lvlText w:val="%5."/>
      <w:lvlJc w:val="left"/>
      <w:pPr>
        <w:tabs>
          <w:tab w:val="left" w:pos="3600"/>
        </w:tabs>
        <w:ind w:left="3540" w:hanging="360"/>
      </w:pPr>
    </w:lvl>
    <w:lvl w:ilvl="5" w:tentative="0">
      <w:start w:val="1"/>
      <w:numFmt w:val="decimal"/>
      <w:lvlText w:val="%6."/>
      <w:lvlJc w:val="left"/>
      <w:pPr>
        <w:tabs>
          <w:tab w:val="left" w:pos="4320"/>
        </w:tabs>
        <w:ind w:left="4260" w:hanging="360"/>
      </w:pPr>
    </w:lvl>
    <w:lvl w:ilvl="6" w:tentative="0">
      <w:start w:val="1"/>
      <w:numFmt w:val="decimal"/>
      <w:lvlText w:val="%7."/>
      <w:lvlJc w:val="left"/>
      <w:pPr>
        <w:tabs>
          <w:tab w:val="left" w:pos="5040"/>
        </w:tabs>
        <w:ind w:left="4980" w:hanging="360"/>
      </w:pPr>
    </w:lvl>
    <w:lvl w:ilvl="7" w:tentative="0">
      <w:start w:val="1"/>
      <w:numFmt w:val="decimal"/>
      <w:lvlText w:val="%8."/>
      <w:lvlJc w:val="left"/>
      <w:pPr>
        <w:tabs>
          <w:tab w:val="left" w:pos="5760"/>
        </w:tabs>
        <w:ind w:left="5700" w:hanging="360"/>
      </w:pPr>
    </w:lvl>
    <w:lvl w:ilvl="8" w:tentative="0">
      <w:start w:val="1"/>
      <w:numFmt w:val="decimal"/>
      <w:lvlText w:val="%9."/>
      <w:lvlJc w:val="left"/>
      <w:pPr>
        <w:tabs>
          <w:tab w:val="left" w:pos="6480"/>
        </w:tabs>
        <w:ind w:left="642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732DDE"/>
    <w:rsid w:val="481C4C34"/>
    <w:rsid w:val="4C732D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 w:type="paragraph" w:customStyle="1" w:styleId="5">
    <w:name w:val="样式 10 磅"/>
    <w:qFormat/>
    <w:uiPriority w:val="0"/>
    <w:pPr>
      <w:widowControl w:val="0"/>
      <w:jc w:val="both"/>
    </w:pPr>
    <w:rPr>
      <w:rFonts w:ascii="Calibri" w:hAnsi="Calibri" w:eastAsia="宋体" w:cs="Times New Roman"/>
      <w:kern w:val="2"/>
      <w:sz w:val="21"/>
      <w:szCs w:val="24"/>
      <w:lang w:val="en-US" w:eastAsia="zh-CN" w:bidi="ar-SA"/>
    </w:rPr>
  </w:style>
  <w:style w:type="paragraph" w:customStyle="1" w:styleId="6">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7">
    <w:name w:val="table"/>
    <w:qFormat/>
    <w:uiPriority w:val="0"/>
    <w:pPr>
      <w:framePr w:hSpace="180" w:wrap="around" w:vAnchor="text" w:hAnchor="margin" w:y="1418"/>
      <w:adjustRightInd w:val="0"/>
      <w:snapToGrid w:val="0"/>
    </w:pPr>
    <w:rPr>
      <w:rFonts w:ascii="宋体" w:hAnsi="Calibri" w:eastAsia="宋体" w:cs="Times New Roman"/>
      <w:kern w:val="2"/>
      <w:sz w:val="24"/>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4965</Words>
  <Characters>4984</Characters>
  <Lines>0</Lines>
  <Paragraphs>0</Paragraphs>
  <TotalTime>0</TotalTime>
  <ScaleCrop>false</ScaleCrop>
  <LinksUpToDate>false</LinksUpToDate>
  <CharactersWithSpaces>5569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2026-06-08T05:22:00Z</dcterms:created>
  <dc:creator>doit</dc:creator>
  <cp:lastModifiedBy>doit</cp:lastModifiedBy>
  <dcterms:modified xsi:type="dcterms:W3CDTF">2026-06-08T05:45:55Z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F1D0B84914904BBCA801B8BE1AB9F2B5_11</vt:lpwstr>
  </property>
  <property fmtid="{D5CDD505-2E9C-101B-9397-08002B2CF9AE}" pid="4" name="KSOTemplateDocerSaveRecord">
    <vt:lpwstr>eyJoZGlkIjoiNjU3ZGIwMTYyN2VhMzEyODI5YTFjODYzYmY0ZTZjNzciLCJ1c2VySWQiOiI1NDQyNTk1OTUifQ==</vt:lpwstr>
  </property>
</Properties>
</file>