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版本号：ZCSP-渭南市-2026-0011820260514002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侦查中心建设项目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ZCSP-渭南市-2026-00118</w:t>
      </w:r>
      <w:r>
        <w:br/>
      </w:r>
      <w:r>
        <w:br/>
      </w:r>
      <w:r>
        <w:br/>
      </w:r>
    </w:p>
    <w:p>
      <w:pPr>
        <w:pStyle w:val="null3"/>
        <w:jc w:val="center"/>
        <w:outlineLvl w:val="2"/>
      </w:pPr>
      <w:r>
        <w:rPr>
          <w:rFonts w:ascii="仿宋_GB2312" w:hAnsi="仿宋_GB2312" w:cs="仿宋_GB2312" w:eastAsia="仿宋_GB2312"/>
          <w:sz w:val="28"/>
          <w:b/>
        </w:rPr>
        <w:t>渭南市公安局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渭南市公安局</w:t>
      </w:r>
      <w:r>
        <w:rPr>
          <w:rFonts w:ascii="仿宋_GB2312" w:hAnsi="仿宋_GB2312" w:cs="仿宋_GB2312" w:eastAsia="仿宋_GB2312"/>
        </w:rPr>
        <w:t>委托，拟对</w:t>
      </w:r>
      <w:r>
        <w:rPr>
          <w:rFonts w:ascii="仿宋_GB2312" w:hAnsi="仿宋_GB2312" w:cs="仿宋_GB2312" w:eastAsia="仿宋_GB2312"/>
        </w:rPr>
        <w:t>侦查中心建设项目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侦查中心建设项目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侦查中心建设项目。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采购包1（侦查中心建设）：属于专门面向中小企业采购。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11、企业资质：供应商具备建筑装饰装修工程专业承包二级及以上资质和有效的安全生产许可证。</w:t>
      </w:r>
    </w:p>
    <w:p>
      <w:pPr>
        <w:pStyle w:val="null3"/>
      </w:pPr>
      <w:r>
        <w:rPr>
          <w:rFonts w:ascii="仿宋_GB2312" w:hAnsi="仿宋_GB2312" w:cs="仿宋_GB2312" w:eastAsia="仿宋_GB2312"/>
        </w:rPr>
        <w:t>12、项目经理：供应商拟派注册建造师具有建筑工程专业二级及以上注册建造师执业资格和有效的安全生产考核合格证书，且未担任其他在建工程的注册建造师（提供未担任其他在建工程承诺书）。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渭南市高新区东兴街11号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0913-2126756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银行账号：52880188000158115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招标代理服务收费管理暂行办法》（国家发改委计价格〔2002〕1980号）以及国家发改价格〔2011〕534号文件规定计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渭南市公安局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2,086,145.34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侦查中心建设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标的名称：侦查中心建设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对</w:t>
            </w:r>
            <w:r>
              <w:rPr>
                <w:rFonts w:ascii="仿宋_GB2312" w:hAnsi="仿宋_GB2312" w:cs="仿宋_GB2312" w:eastAsia="仿宋_GB2312"/>
              </w:rPr>
              <w:t>侦查中心进行建设，包括拆除、装修、工位、标识标语、弱电工程、强电工程、给排水工程等</w:t>
            </w:r>
            <w:r>
              <w:rPr>
                <w:rFonts w:ascii="仿宋_GB2312" w:hAnsi="仿宋_GB2312" w:cs="仿宋_GB2312" w:eastAsia="仿宋_GB2312"/>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《工程建设标准强制性条文》（2013年版） 《建筑防水工程技术规范》（GB50108-2008） 《公共建筑节能设计标准》及相关节能规范 《建筑设计防火规范》GB50016-2014(2018年版) 《施工现场临时用电安全技术规范》（JGJ46-88） 《建设工程施工现场供用电安全规范》（GB50194-93） 《安全防范工程技术规范》（GB50348-2004）及其它国家、行业、地方现行执行规范、规程、标准。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不超过45日历日。（2）工程地点：渭南市公安局。（3）质量标准：合格。（4）质保期：质量保修期不低于3年，自工程竣工验收合格之日起计算。（5）付款方式：合同签订后10个日历日内，支付合同价款的40%；本工程竣工验收合格后需要进行结算审核，最终的结算审定金额为本工程的最终应付款，审计报告出具后，10个日历日，支付工程款的60%。（6）工程项目建设相关要求：严格执行国家相关标准、行业标准、地方标准等。（7）本工程应按工程量清单、图纸及磋商文件完成全部内容。（8）依据磋商文件及成交供应商响应文件及签证单等文件内容进行验收。质量符合国家法律法规规定的合格标准、磋商文件、响应文件的要求。（9）供应商严格执行安全措施和交通组织措施，以保证施工及过往行人人身安全，杜绝安全事故的发生，因施工原因造成安全事故的责任和损失由成交人自行承担，采购人概不负责任和赔偿。（10）供应商负责施工期间与相关部门的协调，并承担相关责任及发生的相关费用，必须确保本项目施工最终验收通过。（11）本项目担任项目经理的建造师、项目技术负责人、施工员、专职安全员、质量员、材料员等施工现场关键岗位人员，必须与响应文件中载明的人员保持一致。若违反上述要求，采购人将依据住建部及陕西省住建厅相关规定，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1.成交供应商应在磋商会议结束后3日内向采购人提交最终版《工程量清单表》，供应商最终版《工程量清单表》中的总报价应与最终磋商总报价保持一致。 2.中标（成交）供应商在中标（成交）结果公告发布后3个工作日内提供叁套纸质投标文件（经编标工具生成的文件直接打印），递交的纸质版文件内容确保与线上电子文件保持一致，不允许修改和补充。 3.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4.落实异常低价审查 4.1评审中出现下列情形之一的，磋商小组应当启动异常低价投标（响应）审查程序：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4.2相关法律法规对供应商报价有规定的，从其规定。 4.3磋商小组启动异常低价投标（响应）审查后，属于4.1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时间为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供应商具备建筑装饰装修工程专业承包二级及以上资质和有效的安全生产许可证。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供应商拟派注册建造师具有建筑工程专业二级及以上注册建造师执业资格和有效的安全生产考核合格证书，且未担任其他在建工程的注册建造师（提供未担任其他在建工程承诺书）。</w:t>
            </w:r>
          </w:p>
        </w:tc>
        <w:tc>
          <w:tcPr>
            <w:tcW w:type="dxa" w:w="1661"/>
          </w:tcPr>
          <w:p>
            <w:pPr>
              <w:pStyle w:val="null3"/>
            </w:pPr>
            <w:r>
              <w:rPr>
                <w:rFonts w:ascii="仿宋_GB2312" w:hAnsi="仿宋_GB2312" w:cs="仿宋_GB2312" w:eastAsia="仿宋_GB2312"/>
              </w:rPr>
              <w:t>供应商应提交的相关资格证明材料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供应商名称与营业执照、资质证书、安全生产许可证等相一致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已标价工程量清单 法定代表人授权委托书 中小企业声明函 技术服务合同条款及其他商务要求应答表 供应商应提交的相关资格证明材料 控股管理关系 强制优先采购产品承诺函 响应文件封面 项目管理机构组成表 残疾人福利性单位声明函 报价函 标的清单 非联合体不分包投标声明 供应商类似项目业绩一览表 响应函 近三年无重大违法 书面声明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已标价工程量清单 法定代表人授权委托书 中小企业声明函 技术服务合同条款及其他商务要求应答表 供应商应提交的相关资格证明材料 控股管理关系 强制优先采购产品承诺函 响应文件封面 项目管理机构组成表 残疾人福利性单位声明函 报价函 标的清单 非联合体不分包投标声明 供应商类似项目业绩一览表 响应函 近三年无重大违法 书面声明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③施工目标：安全目标、工期目标、质量目标； ④资源配备计划：主要施工机械设备、劳动力等配备计划及主材进场计划；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 ②安全生产保证措施。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②防尘降噪措施、文明施工及环境保护措施。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（一）评审内容： ①人员配置、岗位职责及分工； ②人员学历、专业背景、技术能力、从业经验及相关证明材料。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供应商近三年（2023年4月至今）每具有1项类似业绩得1分，最多得5分，未提供得0分。（提供合同扫描件，以合同签订时间为准）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满足磋商文件要求且最后报价最低的价格为磋商基准价得40分； 其他供应商的价格分按下列公式计算： 磋商报价得分=(磋商基准价／最终磋商报价)×40%×100。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