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A26E48">
      <w:pPr>
        <w:pStyle w:val="4"/>
        <w:jc w:val="center"/>
        <w:outlineLvl w:val="0"/>
        <w:rPr>
          <w:highlight w:val="none"/>
        </w:rPr>
      </w:pPr>
      <w:r>
        <w:rPr>
          <w:rFonts w:ascii="仿宋_GB2312" w:hAnsi="仿宋_GB2312" w:eastAsia="仿宋_GB2312" w:cs="仿宋_GB2312"/>
          <w:b/>
          <w:sz w:val="36"/>
          <w:highlight w:val="none"/>
        </w:rPr>
        <w:t>拟签订采购合同文本</w:t>
      </w:r>
    </w:p>
    <w:p w14:paraId="411309C1">
      <w:pPr>
        <w:spacing w:before="480" w:after="480" w:line="288" w:lineRule="auto"/>
        <w:ind w:left="0"/>
        <w:jc w:val="both"/>
        <w:rPr>
          <w:rFonts w:hint="eastAsia" w:ascii="仿宋" w:hAnsi="仿宋" w:eastAsia="仿宋" w:cs="仿宋"/>
          <w:b/>
          <w:sz w:val="21"/>
          <w:szCs w:val="21"/>
          <w:highlight w:val="none"/>
        </w:rPr>
      </w:pPr>
      <w:r>
        <w:rPr>
          <w:rFonts w:hint="eastAsia" w:ascii="仿宋" w:hAnsi="仿宋" w:eastAsia="仿宋" w:cs="仿宋"/>
          <w:sz w:val="21"/>
          <w:szCs w:val="21"/>
          <w:highlight w:val="none"/>
        </w:rPr>
        <w:t xml:space="preserve"> </w:t>
      </w:r>
      <w:r>
        <w:rPr>
          <w:rFonts w:hint="eastAsia" w:ascii="仿宋" w:hAnsi="仿宋" w:eastAsia="仿宋" w:cs="仿宋"/>
          <w:sz w:val="21"/>
          <w:szCs w:val="21"/>
          <w:highlight w:val="none"/>
        </w:rPr>
        <w:br w:type="textWrapping"/>
      </w:r>
    </w:p>
    <w:p w14:paraId="1185542D">
      <w:pPr>
        <w:spacing w:before="480" w:after="480" w:line="288" w:lineRule="auto"/>
        <w:ind w:left="0"/>
        <w:jc w:val="both"/>
        <w:rPr>
          <w:rFonts w:hint="eastAsia" w:ascii="仿宋" w:hAnsi="仿宋" w:eastAsia="仿宋" w:cs="仿宋"/>
          <w:b/>
          <w:sz w:val="21"/>
          <w:szCs w:val="21"/>
          <w:highlight w:val="none"/>
        </w:rPr>
      </w:pPr>
    </w:p>
    <w:p w14:paraId="46E10A58">
      <w:pPr>
        <w:spacing w:before="480" w:after="480" w:line="288" w:lineRule="auto"/>
        <w:ind w:left="0"/>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侦查中心建设项目施工合同</w:t>
      </w:r>
    </w:p>
    <w:p w14:paraId="74684142">
      <w:pPr>
        <w:spacing w:before="120" w:after="120" w:line="288" w:lineRule="auto"/>
        <w:ind w:left="0"/>
        <w:jc w:val="both"/>
        <w:rPr>
          <w:rFonts w:hint="eastAsia" w:ascii="仿宋" w:hAnsi="仿宋" w:eastAsia="仿宋" w:cs="仿宋"/>
          <w:sz w:val="21"/>
          <w:szCs w:val="21"/>
          <w:highlight w:val="none"/>
        </w:rPr>
      </w:pPr>
    </w:p>
    <w:p w14:paraId="5E21B64A">
      <w:pPr>
        <w:spacing w:before="120" w:after="120" w:line="288" w:lineRule="auto"/>
        <w:ind w:left="0"/>
        <w:jc w:val="both"/>
        <w:rPr>
          <w:rFonts w:hint="eastAsia" w:ascii="仿宋" w:hAnsi="仿宋" w:eastAsia="仿宋" w:cs="仿宋"/>
          <w:sz w:val="21"/>
          <w:szCs w:val="21"/>
          <w:highlight w:val="none"/>
        </w:rPr>
      </w:pPr>
    </w:p>
    <w:p w14:paraId="7E5A1727">
      <w:pPr>
        <w:spacing w:before="120" w:after="120" w:line="288" w:lineRule="auto"/>
        <w:ind w:left="0"/>
        <w:jc w:val="both"/>
        <w:rPr>
          <w:rFonts w:hint="eastAsia" w:ascii="仿宋" w:hAnsi="仿宋" w:eastAsia="仿宋" w:cs="仿宋"/>
          <w:sz w:val="21"/>
          <w:szCs w:val="21"/>
          <w:highlight w:val="none"/>
        </w:rPr>
      </w:pPr>
    </w:p>
    <w:p w14:paraId="33DDE5E6">
      <w:pPr>
        <w:spacing w:before="120" w:after="120" w:line="288" w:lineRule="auto"/>
        <w:ind w:left="0"/>
        <w:jc w:val="both"/>
        <w:rPr>
          <w:rFonts w:hint="eastAsia" w:ascii="仿宋" w:hAnsi="仿宋" w:eastAsia="仿宋" w:cs="仿宋"/>
          <w:sz w:val="21"/>
          <w:szCs w:val="21"/>
          <w:highlight w:val="none"/>
        </w:rPr>
      </w:pPr>
    </w:p>
    <w:p w14:paraId="516A69BB">
      <w:pPr>
        <w:spacing w:before="120" w:after="120" w:line="288" w:lineRule="auto"/>
        <w:ind w:left="0"/>
        <w:jc w:val="both"/>
        <w:rPr>
          <w:rFonts w:hint="eastAsia" w:ascii="仿宋" w:hAnsi="仿宋" w:eastAsia="仿宋" w:cs="仿宋"/>
          <w:sz w:val="21"/>
          <w:szCs w:val="21"/>
          <w:highlight w:val="none"/>
        </w:rPr>
      </w:pPr>
    </w:p>
    <w:p w14:paraId="7E4982E5">
      <w:pPr>
        <w:spacing w:before="120" w:after="120" w:line="288" w:lineRule="auto"/>
        <w:ind w:left="0"/>
        <w:jc w:val="both"/>
        <w:rPr>
          <w:rFonts w:hint="eastAsia" w:ascii="仿宋" w:hAnsi="仿宋" w:eastAsia="仿宋" w:cs="仿宋"/>
          <w:sz w:val="21"/>
          <w:szCs w:val="21"/>
          <w:highlight w:val="none"/>
        </w:rPr>
      </w:pPr>
    </w:p>
    <w:p w14:paraId="34259E05">
      <w:pPr>
        <w:spacing w:before="120" w:after="120" w:line="288" w:lineRule="auto"/>
        <w:ind w:left="0"/>
        <w:jc w:val="both"/>
        <w:rPr>
          <w:rFonts w:hint="eastAsia" w:ascii="仿宋" w:hAnsi="仿宋" w:eastAsia="仿宋" w:cs="仿宋"/>
          <w:sz w:val="21"/>
          <w:szCs w:val="21"/>
          <w:highlight w:val="none"/>
        </w:rPr>
      </w:pPr>
    </w:p>
    <w:p w14:paraId="03A5895E">
      <w:pPr>
        <w:spacing w:before="120" w:after="120" w:line="288" w:lineRule="auto"/>
        <w:ind w:left="0"/>
        <w:jc w:val="both"/>
        <w:rPr>
          <w:rFonts w:hint="eastAsia" w:ascii="仿宋" w:hAnsi="仿宋" w:eastAsia="仿宋" w:cs="仿宋"/>
          <w:sz w:val="21"/>
          <w:szCs w:val="21"/>
          <w:highlight w:val="none"/>
        </w:rPr>
      </w:pPr>
    </w:p>
    <w:p w14:paraId="1B42BB3B">
      <w:pPr>
        <w:spacing w:before="120" w:after="120" w:line="480" w:lineRule="auto"/>
        <w:ind w:left="0"/>
        <w:jc w:val="both"/>
        <w:rPr>
          <w:rFonts w:hint="eastAsia" w:ascii="仿宋" w:hAnsi="仿宋" w:eastAsia="仿宋" w:cs="仿宋"/>
          <w:sz w:val="21"/>
          <w:szCs w:val="21"/>
          <w:highlight w:val="none"/>
          <w:u w:val="none"/>
          <w:lang w:val="en-US" w:eastAsia="zh-CN"/>
        </w:rPr>
      </w:pPr>
      <w:r>
        <w:rPr>
          <w:rFonts w:hint="eastAsia" w:ascii="仿宋" w:hAnsi="仿宋" w:eastAsia="仿宋" w:cs="仿宋"/>
          <w:sz w:val="21"/>
          <w:szCs w:val="21"/>
          <w:highlight w:val="none"/>
        </w:rPr>
        <w:t>甲</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方：</w:t>
      </w:r>
      <w:r>
        <w:rPr>
          <w:rFonts w:hint="eastAsia" w:ascii="仿宋" w:hAnsi="仿宋" w:eastAsia="仿宋" w:cs="仿宋"/>
          <w:sz w:val="21"/>
          <w:szCs w:val="21"/>
          <w:highlight w:val="none"/>
          <w:u w:val="none"/>
          <w:lang w:val="en-US" w:eastAsia="zh-CN"/>
        </w:rPr>
        <w:t xml:space="preserve">  </w:t>
      </w:r>
      <w:r>
        <w:rPr>
          <w:rFonts w:hint="eastAsia" w:ascii="仿宋" w:hAnsi="仿宋" w:eastAsia="仿宋" w:cs="仿宋"/>
          <w:sz w:val="21"/>
          <w:szCs w:val="21"/>
          <w:highlight w:val="none"/>
          <w:u w:val="none"/>
        </w:rPr>
        <w:t>渭南市公安局</w:t>
      </w:r>
      <w:r>
        <w:rPr>
          <w:rFonts w:hint="eastAsia" w:ascii="仿宋" w:hAnsi="仿宋" w:eastAsia="仿宋" w:cs="仿宋"/>
          <w:sz w:val="21"/>
          <w:szCs w:val="21"/>
          <w:highlight w:val="none"/>
          <w:u w:val="none"/>
          <w:lang w:val="en-US" w:eastAsia="zh-CN"/>
        </w:rPr>
        <w:t xml:space="preserve">  </w:t>
      </w:r>
    </w:p>
    <w:p w14:paraId="1A9210E9">
      <w:pPr>
        <w:spacing w:before="120" w:after="120" w:line="480" w:lineRule="auto"/>
        <w:ind w:left="0"/>
        <w:jc w:val="both"/>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乙</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方：</w:t>
      </w:r>
      <w:r>
        <w:rPr>
          <w:rFonts w:hint="eastAsia" w:ascii="仿宋" w:hAnsi="仿宋" w:eastAsia="仿宋" w:cs="仿宋"/>
          <w:sz w:val="21"/>
          <w:szCs w:val="21"/>
          <w:highlight w:val="none"/>
          <w:lang w:val="en-US" w:eastAsia="zh-CN"/>
        </w:rPr>
        <w:t xml:space="preserve">                </w:t>
      </w:r>
    </w:p>
    <w:p w14:paraId="277CC744">
      <w:pPr>
        <w:spacing w:before="120" w:after="120" w:line="48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签订时间：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年</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 xml:space="preserve"> 月</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 xml:space="preserve"> 日</w:t>
      </w:r>
    </w:p>
    <w:p w14:paraId="63A85797">
      <w:pPr>
        <w:spacing w:before="120" w:after="120" w:line="360" w:lineRule="auto"/>
        <w:ind w:left="0"/>
        <w:jc w:val="both"/>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br w:type="page"/>
      </w:r>
      <w:r>
        <w:rPr>
          <w:rFonts w:hint="eastAsia" w:ascii="仿宋" w:hAnsi="仿宋" w:eastAsia="仿宋" w:cs="仿宋"/>
          <w:sz w:val="21"/>
          <w:szCs w:val="21"/>
          <w:highlight w:val="none"/>
        </w:rPr>
        <w:t>甲方：</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渭南市公安局</w:t>
      </w:r>
      <w:r>
        <w:rPr>
          <w:rFonts w:hint="eastAsia" w:ascii="仿宋" w:hAnsi="仿宋" w:eastAsia="仿宋" w:cs="仿宋"/>
          <w:sz w:val="21"/>
          <w:szCs w:val="21"/>
          <w:highlight w:val="none"/>
          <w:lang w:val="en-US" w:eastAsia="zh-CN"/>
        </w:rPr>
        <w:t xml:space="preserve"> </w:t>
      </w:r>
    </w:p>
    <w:p w14:paraId="6B699D1C">
      <w:pPr>
        <w:spacing w:before="120" w:after="120" w:line="360" w:lineRule="auto"/>
        <w:ind w:left="0"/>
        <w:jc w:val="both"/>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乙方：</w:t>
      </w:r>
      <w:r>
        <w:rPr>
          <w:rFonts w:hint="eastAsia" w:ascii="仿宋" w:hAnsi="仿宋" w:eastAsia="仿宋" w:cs="仿宋"/>
          <w:sz w:val="21"/>
          <w:szCs w:val="21"/>
          <w:highlight w:val="none"/>
          <w:lang w:val="en-US" w:eastAsia="zh-CN"/>
        </w:rPr>
        <w:t xml:space="preserve">             </w:t>
      </w:r>
    </w:p>
    <w:p w14:paraId="6EDE082F">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根据《中华人民共和国民法典》《中华人民共和国政府采购法》和《中华人民共和国建筑法》及其它有关法律、行政法规，结合渭南市公安局侦查中心建设项目（以下简称“本项目”）竞争性磋商文件、乙方响应文件及成交通知书内容，为明确双方在施工过程中的权利、义务，经双方协商自愿签订本合同。</w:t>
      </w:r>
    </w:p>
    <w:p w14:paraId="50F47978">
      <w:pPr>
        <w:spacing w:before="320" w:after="120" w:line="360" w:lineRule="auto"/>
        <w:ind w:left="0"/>
        <w:jc w:val="both"/>
        <w:outlineLvl w:val="1"/>
        <w:rPr>
          <w:rFonts w:hint="eastAsia" w:ascii="仿宋" w:hAnsi="仿宋" w:eastAsia="仿宋" w:cs="仿宋"/>
          <w:sz w:val="21"/>
          <w:szCs w:val="21"/>
          <w:highlight w:val="none"/>
        </w:rPr>
      </w:pPr>
      <w:bookmarkStart w:id="0" w:name="heading_0"/>
      <w:r>
        <w:rPr>
          <w:rFonts w:hint="eastAsia" w:ascii="仿宋" w:hAnsi="仿宋" w:eastAsia="仿宋" w:cs="仿宋"/>
          <w:b/>
          <w:sz w:val="21"/>
          <w:szCs w:val="21"/>
          <w:highlight w:val="none"/>
        </w:rPr>
        <w:t>第一条 工程项目</w:t>
      </w:r>
      <w:bookmarkEnd w:id="0"/>
    </w:p>
    <w:p w14:paraId="547F6B60">
      <w:pPr>
        <w:spacing w:before="120" w:after="120" w:line="360" w:lineRule="auto"/>
        <w:ind w:left="0"/>
        <w:jc w:val="both"/>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1、项目名称：</w:t>
      </w:r>
      <w:r>
        <w:rPr>
          <w:rFonts w:hint="eastAsia" w:ascii="仿宋" w:hAnsi="仿宋" w:eastAsia="仿宋" w:cs="仿宋"/>
          <w:sz w:val="21"/>
          <w:szCs w:val="21"/>
          <w:highlight w:val="none"/>
          <w:lang w:val="en-US" w:eastAsia="zh-CN"/>
        </w:rPr>
        <w:t xml:space="preserve">        </w:t>
      </w:r>
    </w:p>
    <w:p w14:paraId="00CA6171">
      <w:pPr>
        <w:spacing w:before="120" w:after="120" w:line="360" w:lineRule="auto"/>
        <w:ind w:left="0"/>
        <w:jc w:val="both"/>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2、工程地点：</w:t>
      </w:r>
      <w:r>
        <w:rPr>
          <w:rFonts w:hint="eastAsia" w:ascii="仿宋" w:hAnsi="仿宋" w:eastAsia="仿宋" w:cs="仿宋"/>
          <w:sz w:val="21"/>
          <w:szCs w:val="21"/>
          <w:highlight w:val="none"/>
          <w:lang w:val="en-US" w:eastAsia="zh-CN"/>
        </w:rPr>
        <w:t xml:space="preserve">        </w:t>
      </w:r>
    </w:p>
    <w:p w14:paraId="5C756C88">
      <w:pPr>
        <w:spacing w:before="120" w:after="120" w:line="360" w:lineRule="auto"/>
        <w:ind w:left="0"/>
        <w:jc w:val="both"/>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3、工程概况：</w:t>
      </w:r>
      <w:r>
        <w:rPr>
          <w:rFonts w:hint="eastAsia" w:ascii="仿宋" w:hAnsi="仿宋" w:eastAsia="仿宋" w:cs="仿宋"/>
          <w:sz w:val="21"/>
          <w:szCs w:val="21"/>
          <w:highlight w:val="none"/>
          <w:lang w:val="en-US" w:eastAsia="zh-CN"/>
        </w:rPr>
        <w:t xml:space="preserve">        </w:t>
      </w:r>
    </w:p>
    <w:p w14:paraId="18FCEACF">
      <w:pPr>
        <w:spacing w:before="320" w:after="120" w:line="360" w:lineRule="auto"/>
        <w:ind w:left="0"/>
        <w:jc w:val="both"/>
        <w:outlineLvl w:val="1"/>
        <w:rPr>
          <w:rFonts w:hint="eastAsia" w:ascii="仿宋" w:hAnsi="仿宋" w:eastAsia="仿宋" w:cs="仿宋"/>
          <w:sz w:val="21"/>
          <w:szCs w:val="21"/>
          <w:highlight w:val="none"/>
        </w:rPr>
      </w:pPr>
      <w:bookmarkStart w:id="1" w:name="heading_1"/>
      <w:r>
        <w:rPr>
          <w:rFonts w:hint="eastAsia" w:ascii="仿宋" w:hAnsi="仿宋" w:eastAsia="仿宋" w:cs="仿宋"/>
          <w:b/>
          <w:sz w:val="21"/>
          <w:szCs w:val="21"/>
          <w:highlight w:val="none"/>
        </w:rPr>
        <w:t>第二条 施工依据</w:t>
      </w:r>
      <w:bookmarkEnd w:id="1"/>
    </w:p>
    <w:p w14:paraId="0B78D62F">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1、本施工合同；</w:t>
      </w:r>
    </w:p>
    <w:p w14:paraId="53DFF839">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2、成交通知书；</w:t>
      </w:r>
    </w:p>
    <w:p w14:paraId="33A3DA98">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3、乙方投标（响应）文件及其附件；</w:t>
      </w:r>
    </w:p>
    <w:p w14:paraId="21124BC8">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4、国家及行业现行标准、规范及有关技术文件（具体包括《工程建设标准强制性条文》（2013年版）、《建筑防水工程技术规范》（GB50108-2008）、《公共建筑节能设计标准》及相关节能规范、《建筑设计防火规范》GB50016-2014(2018年版)、《施工现场临时用电安全技术规范》（JGJ46-88）、《建设工程施工现场供用电安全规范》（GB50194-93）、《安全防范工程技术规范》（GB50348-2004）及其它国家、行业、地方现行执行规范、规程、标准）；</w:t>
      </w:r>
    </w:p>
    <w:p w14:paraId="5AD980AE">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5、本项目施工图纸及工程量清单；</w:t>
      </w:r>
    </w:p>
    <w:p w14:paraId="179B610A">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6、已报价的工程量清单；</w:t>
      </w:r>
    </w:p>
    <w:p w14:paraId="15B12509">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7、双方有关工程的洽商、变更等书面协议或文件视为施工合同的组成部分。但需经甲方现场代表签字并加盖甲方公章后生效，单方出具的洽商记录不构成合同变更。</w:t>
      </w:r>
    </w:p>
    <w:p w14:paraId="65C0392B">
      <w:pPr>
        <w:spacing w:before="320" w:after="120" w:line="360" w:lineRule="auto"/>
        <w:ind w:left="0"/>
        <w:jc w:val="both"/>
        <w:outlineLvl w:val="1"/>
        <w:rPr>
          <w:rFonts w:hint="eastAsia" w:ascii="仿宋" w:hAnsi="仿宋" w:eastAsia="仿宋" w:cs="仿宋"/>
          <w:sz w:val="21"/>
          <w:szCs w:val="21"/>
          <w:highlight w:val="none"/>
        </w:rPr>
      </w:pPr>
      <w:bookmarkStart w:id="2" w:name="heading_2"/>
      <w:r>
        <w:rPr>
          <w:rFonts w:hint="eastAsia" w:ascii="仿宋" w:hAnsi="仿宋" w:eastAsia="仿宋" w:cs="仿宋"/>
          <w:b/>
          <w:sz w:val="21"/>
          <w:szCs w:val="21"/>
          <w:highlight w:val="none"/>
        </w:rPr>
        <w:t>第三条 工程实施期限</w:t>
      </w:r>
      <w:bookmarkEnd w:id="2"/>
    </w:p>
    <w:p w14:paraId="1E27383F">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1、工期：45日历天。</w:t>
      </w:r>
    </w:p>
    <w:p w14:paraId="37F5716A">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2、如遇下列情况，经甲方现场代表签证后，工期可相应顺延（顺延工期应由甲、乙双方共同签字确认）：</w:t>
      </w:r>
    </w:p>
    <w:p w14:paraId="1CBF5344">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2.1、连续停电、停水累计超过8小时，或连续间歇性停水、停电3天以上（每次连续4小时以上），且因上述情形影响正常施工的；</w:t>
      </w:r>
    </w:p>
    <w:p w14:paraId="10F6E246">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2.2、遇阴雨天及不可抗力因素以及非乙方施工因素影响；</w:t>
      </w:r>
    </w:p>
    <w:p w14:paraId="0ED976A9">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2.3、因疫情防控工作需要停工的；</w:t>
      </w:r>
    </w:p>
    <w:p w14:paraId="12E8C416">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2.4、因防污治霾工作需要停工的；</w:t>
      </w:r>
    </w:p>
    <w:p w14:paraId="440B85A9">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2.5、因人力不可抗拒的其他因素而延误工期。</w:t>
      </w:r>
    </w:p>
    <w:p w14:paraId="4FB35B86">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3、因乙方原因造成施工延迟的，不得请求顺延工期。乙方原因包括但不限于施工组织不力、人员设备不到位、材料供应延误、质量整改等，即使发生本条第2款所列情形，亦不得主张工期顺延。</w:t>
      </w:r>
    </w:p>
    <w:p w14:paraId="4B38BDFF">
      <w:pPr>
        <w:spacing w:before="320" w:after="120" w:line="360" w:lineRule="auto"/>
        <w:ind w:left="0"/>
        <w:jc w:val="both"/>
        <w:outlineLvl w:val="1"/>
        <w:rPr>
          <w:rFonts w:hint="eastAsia" w:ascii="仿宋" w:hAnsi="仿宋" w:eastAsia="仿宋" w:cs="仿宋"/>
          <w:sz w:val="21"/>
          <w:szCs w:val="21"/>
          <w:highlight w:val="none"/>
        </w:rPr>
      </w:pPr>
      <w:bookmarkStart w:id="3" w:name="heading_3"/>
      <w:r>
        <w:rPr>
          <w:rFonts w:hint="eastAsia" w:ascii="仿宋" w:hAnsi="仿宋" w:eastAsia="仿宋" w:cs="仿宋"/>
          <w:b/>
          <w:sz w:val="21"/>
          <w:szCs w:val="21"/>
          <w:highlight w:val="none"/>
        </w:rPr>
        <w:t>第四条 合同价款、结算及付款方式</w:t>
      </w:r>
      <w:bookmarkEnd w:id="3"/>
    </w:p>
    <w:p w14:paraId="17FC9F20">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1、本合同为固定综合单价合同，合同价款为大写（人民币）</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u w:val="single"/>
        </w:rPr>
        <w:t xml:space="preserve"> 元</w:t>
      </w:r>
      <w:r>
        <w:rPr>
          <w:rFonts w:hint="eastAsia" w:ascii="仿宋" w:hAnsi="仿宋" w:eastAsia="仿宋" w:cs="仿宋"/>
          <w:sz w:val="21"/>
          <w:szCs w:val="21"/>
          <w:highlight w:val="none"/>
        </w:rPr>
        <w:t>（</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u w:val="single"/>
        </w:rPr>
        <w:t>元</w:t>
      </w:r>
      <w:r>
        <w:rPr>
          <w:rFonts w:hint="eastAsia" w:ascii="仿宋" w:hAnsi="仿宋" w:eastAsia="仿宋" w:cs="仿宋"/>
          <w:sz w:val="21"/>
          <w:szCs w:val="21"/>
          <w:highlight w:val="none"/>
        </w:rPr>
        <w:t>），对应采购包1预算金额</w:t>
      </w:r>
      <w:r>
        <w:rPr>
          <w:rFonts w:hint="eastAsia" w:ascii="仿宋" w:hAnsi="仿宋" w:eastAsia="仿宋" w:cs="仿宋"/>
          <w:sz w:val="21"/>
          <w:szCs w:val="21"/>
          <w:highlight w:val="none"/>
          <w:u w:val="single"/>
        </w:rPr>
        <w:t>2,</w:t>
      </w:r>
      <w:r>
        <w:rPr>
          <w:rFonts w:hint="eastAsia" w:ascii="仿宋" w:hAnsi="仿宋" w:eastAsia="仿宋" w:cs="仿宋"/>
          <w:sz w:val="21"/>
          <w:szCs w:val="21"/>
          <w:highlight w:val="none"/>
          <w:u w:val="single"/>
          <w:lang w:val="en-US" w:eastAsia="zh-CN"/>
        </w:rPr>
        <w:t>100</w:t>
      </w:r>
      <w:r>
        <w:rPr>
          <w:rFonts w:hint="eastAsia" w:ascii="仿宋" w:hAnsi="仿宋" w:eastAsia="仿宋" w:cs="仿宋"/>
          <w:sz w:val="21"/>
          <w:szCs w:val="21"/>
          <w:highlight w:val="none"/>
          <w:u w:val="single"/>
        </w:rPr>
        <w:t>,</w:t>
      </w:r>
      <w:r>
        <w:rPr>
          <w:rFonts w:hint="eastAsia" w:ascii="仿宋" w:hAnsi="仿宋" w:eastAsia="仿宋" w:cs="仿宋"/>
          <w:sz w:val="21"/>
          <w:szCs w:val="21"/>
          <w:highlight w:val="none"/>
          <w:u w:val="single"/>
          <w:lang w:val="en-US" w:eastAsia="zh-CN"/>
        </w:rPr>
        <w:t>000</w:t>
      </w:r>
      <w:r>
        <w:rPr>
          <w:rFonts w:hint="eastAsia" w:ascii="仿宋" w:hAnsi="仿宋" w:eastAsia="仿宋" w:cs="仿宋"/>
          <w:sz w:val="21"/>
          <w:szCs w:val="21"/>
          <w:highlight w:val="none"/>
          <w:u w:val="single"/>
        </w:rPr>
        <w:t>.</w:t>
      </w:r>
      <w:r>
        <w:rPr>
          <w:rFonts w:hint="eastAsia" w:ascii="仿宋" w:hAnsi="仿宋" w:eastAsia="仿宋" w:cs="仿宋"/>
          <w:sz w:val="21"/>
          <w:szCs w:val="21"/>
          <w:highlight w:val="none"/>
          <w:u w:val="single"/>
          <w:lang w:val="en-US" w:eastAsia="zh-CN"/>
        </w:rPr>
        <w:t>00</w:t>
      </w:r>
      <w:bookmarkStart w:id="27" w:name="_GoBack"/>
      <w:bookmarkEnd w:id="27"/>
      <w:r>
        <w:rPr>
          <w:rFonts w:hint="eastAsia" w:ascii="仿宋" w:hAnsi="仿宋" w:eastAsia="仿宋" w:cs="仿宋"/>
          <w:sz w:val="21"/>
          <w:szCs w:val="21"/>
          <w:highlight w:val="none"/>
          <w:u w:val="single"/>
        </w:rPr>
        <w:t>元</w:t>
      </w:r>
      <w:r>
        <w:rPr>
          <w:rFonts w:hint="eastAsia" w:ascii="仿宋" w:hAnsi="仿宋" w:eastAsia="仿宋" w:cs="仿宋"/>
          <w:sz w:val="21"/>
          <w:szCs w:val="21"/>
          <w:highlight w:val="none"/>
        </w:rPr>
        <w:t>，乙方报价不得高于该预算金额及最高限价。综合单价中包括的风险范围包括但不限于人工费、材料费、机械使用费、管理费、利润、材料市场价格变动风险等完成工程所需的一切费用。除另有约定外，综合单价不因为人工、物料、汇率、税金等任何因素的变化而调整；</w:t>
      </w:r>
    </w:p>
    <w:p w14:paraId="4D5A835B">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结算方式：工程结算价款以财政结算评审审定结果为准。乙方需配合财政评审工作，提供完整的结算资料（含竣工图纸、签证记录、结算及施工工作报告等），因乙方资料不全导致评审延误的，责任由乙方承担；</w:t>
      </w:r>
    </w:p>
    <w:p w14:paraId="0BE3CFDB">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3、付款方式：</w:t>
      </w:r>
      <w:r>
        <w:rPr>
          <w:rFonts w:hint="eastAsia" w:ascii="仿宋" w:hAnsi="仿宋" w:eastAsia="仿宋" w:cs="仿宋"/>
          <w:sz w:val="21"/>
          <w:szCs w:val="21"/>
          <w:highlight w:val="none"/>
          <w:lang w:val="en-US" w:eastAsia="zh-CN"/>
        </w:rPr>
        <w:t>合同签订后10个日历日内</w:t>
      </w:r>
      <w:r>
        <w:rPr>
          <w:rFonts w:hint="eastAsia" w:ascii="仿宋" w:hAnsi="仿宋" w:eastAsia="仿宋" w:cs="仿宋"/>
          <w:sz w:val="21"/>
          <w:szCs w:val="21"/>
          <w:highlight w:val="none"/>
        </w:rPr>
        <w:t>，支付合同价款的</w:t>
      </w:r>
      <w:r>
        <w:rPr>
          <w:rFonts w:hint="eastAsia" w:ascii="仿宋" w:hAnsi="仿宋" w:eastAsia="仿宋" w:cs="仿宋"/>
          <w:sz w:val="21"/>
          <w:szCs w:val="21"/>
          <w:highlight w:val="none"/>
          <w:lang w:val="en-US" w:eastAsia="zh-CN"/>
        </w:rPr>
        <w:t>4</w:t>
      </w:r>
      <w:r>
        <w:rPr>
          <w:rFonts w:hint="eastAsia" w:ascii="仿宋" w:hAnsi="仿宋" w:eastAsia="仿宋" w:cs="仿宋"/>
          <w:sz w:val="21"/>
          <w:szCs w:val="21"/>
          <w:highlight w:val="none"/>
        </w:rPr>
        <w:t>0%；本工程竣工验收</w:t>
      </w:r>
      <w:r>
        <w:rPr>
          <w:rFonts w:hint="eastAsia" w:ascii="仿宋" w:hAnsi="仿宋" w:eastAsia="仿宋" w:cs="仿宋"/>
          <w:sz w:val="21"/>
          <w:szCs w:val="21"/>
          <w:highlight w:val="none"/>
          <w:lang w:val="en-US" w:eastAsia="zh-CN"/>
        </w:rPr>
        <w:t>合格</w:t>
      </w:r>
      <w:r>
        <w:rPr>
          <w:rFonts w:hint="eastAsia" w:ascii="仿宋" w:hAnsi="仿宋" w:eastAsia="仿宋" w:cs="仿宋"/>
          <w:sz w:val="21"/>
          <w:szCs w:val="21"/>
          <w:highlight w:val="none"/>
        </w:rPr>
        <w:t>后需要进行结算审核，最终的结算审定金额为本工程的最终应付款，审计报告出具后</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10个日历日，</w:t>
      </w:r>
      <w:r>
        <w:rPr>
          <w:rFonts w:hint="eastAsia" w:ascii="仿宋" w:hAnsi="仿宋" w:eastAsia="仿宋" w:cs="仿宋"/>
          <w:sz w:val="21"/>
          <w:szCs w:val="21"/>
          <w:highlight w:val="none"/>
        </w:rPr>
        <w:t>支付工程款</w:t>
      </w:r>
      <w:r>
        <w:rPr>
          <w:rFonts w:hint="eastAsia" w:ascii="仿宋" w:hAnsi="仿宋" w:eastAsia="仿宋" w:cs="仿宋"/>
          <w:sz w:val="21"/>
          <w:szCs w:val="21"/>
          <w:highlight w:val="none"/>
          <w:lang w:val="en-US" w:eastAsia="zh-CN"/>
        </w:rPr>
        <w:t>的60%</w:t>
      </w:r>
      <w:r>
        <w:rPr>
          <w:rFonts w:hint="eastAsia" w:ascii="仿宋" w:hAnsi="仿宋" w:eastAsia="仿宋" w:cs="仿宋"/>
          <w:sz w:val="21"/>
          <w:szCs w:val="21"/>
          <w:highlight w:val="none"/>
        </w:rPr>
        <w:t>。</w:t>
      </w:r>
    </w:p>
    <w:p w14:paraId="4BA4563D">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4、付款依据：本合同、甲方出具的验收报告及甲方要求的其他资料；</w:t>
      </w:r>
    </w:p>
    <w:p w14:paraId="6A88B616">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5、合同范围外变更价款调整方式：</w:t>
      </w:r>
    </w:p>
    <w:p w14:paraId="17F284FF">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因甲方原因的工程变更签证，造成增加新的工程量清单项目，其对应的综合单价按下列方法确定：</w:t>
      </w:r>
    </w:p>
    <w:p w14:paraId="08A45BD8">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1）合同中已有适用的综合单价，按合同中已有的综合单价确定；</w:t>
      </w:r>
    </w:p>
    <w:p w14:paraId="4E15074E">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2）合同中有类似的综合单价，参照类似的综合单价确定；</w:t>
      </w:r>
    </w:p>
    <w:p w14:paraId="7146F276">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3）合同中没有适用或类似的综合单价，由乙方提出综合单价，甲方确认；未经确认的变更，乙方不得擅自施工，否则甲方不予支付相关费用。</w:t>
      </w:r>
    </w:p>
    <w:p w14:paraId="16EB092D">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6、工程竣工后，乙方应严格按照磋商文件及合同约定的计算方法编制竣工结算，如发生多估冒算，审减率超出5%部分的财政结算评审费用由乙方承担，甲方有权在结算工程价款时直接扣除。</w:t>
      </w:r>
    </w:p>
    <w:p w14:paraId="3B8D4022">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7、本项目不收取履约保证金、质量保证金。</w:t>
      </w:r>
    </w:p>
    <w:p w14:paraId="561E33EA">
      <w:pPr>
        <w:spacing w:before="320" w:after="120" w:line="360" w:lineRule="auto"/>
        <w:ind w:left="0"/>
        <w:jc w:val="both"/>
        <w:outlineLvl w:val="1"/>
        <w:rPr>
          <w:rFonts w:hint="eastAsia" w:ascii="仿宋" w:hAnsi="仿宋" w:eastAsia="仿宋" w:cs="仿宋"/>
          <w:sz w:val="21"/>
          <w:szCs w:val="21"/>
          <w:highlight w:val="none"/>
        </w:rPr>
      </w:pPr>
      <w:bookmarkStart w:id="4" w:name="heading_4"/>
      <w:r>
        <w:rPr>
          <w:rFonts w:hint="eastAsia" w:ascii="仿宋" w:hAnsi="仿宋" w:eastAsia="仿宋" w:cs="仿宋"/>
          <w:b/>
          <w:sz w:val="21"/>
          <w:szCs w:val="21"/>
          <w:highlight w:val="none"/>
        </w:rPr>
        <w:t>第五条 建筑材料、设备的供应和采购</w:t>
      </w:r>
      <w:bookmarkEnd w:id="4"/>
    </w:p>
    <w:p w14:paraId="4874523B">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1、工程材料、设备由乙方采购；</w:t>
      </w:r>
    </w:p>
    <w:p w14:paraId="593A902B">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乙方采购的材料、设备，必须附有产品合格证和试验报告才能用于工程，甲方认为乙方提供的材料需要复验的，乙方应按要求提供复验报告。经复验符合质量要求的，方可用于工程施工；复验不符合质量要求的，应退货处理，其复验费和退货损失由乙方承担；</w:t>
      </w:r>
    </w:p>
    <w:p w14:paraId="28F4359C">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3、本项目选用的主要工程材料、设备及重要部位的装饰材料，均应按规范进行见证取样、送检和试验（如需要），严禁将不合格的材料、设备用于本工程；乙方须报送甲方进行审核，甲方对选用的材料设备有认质和选用的决定权。</w:t>
      </w:r>
    </w:p>
    <w:p w14:paraId="62180E8E">
      <w:pPr>
        <w:spacing w:before="320" w:after="120" w:line="360" w:lineRule="auto"/>
        <w:ind w:left="0"/>
        <w:jc w:val="both"/>
        <w:outlineLvl w:val="1"/>
        <w:rPr>
          <w:rFonts w:hint="eastAsia" w:ascii="仿宋" w:hAnsi="仿宋" w:eastAsia="仿宋" w:cs="仿宋"/>
          <w:sz w:val="21"/>
          <w:szCs w:val="21"/>
          <w:highlight w:val="none"/>
        </w:rPr>
      </w:pPr>
      <w:bookmarkStart w:id="5" w:name="heading_5"/>
      <w:r>
        <w:rPr>
          <w:rFonts w:hint="eastAsia" w:ascii="仿宋" w:hAnsi="仿宋" w:eastAsia="仿宋" w:cs="仿宋"/>
          <w:b/>
          <w:sz w:val="21"/>
          <w:szCs w:val="21"/>
          <w:highlight w:val="none"/>
        </w:rPr>
        <w:t>第六条 本项目拟派主要人员</w:t>
      </w:r>
      <w:bookmarkEnd w:id="5"/>
    </w:p>
    <w:p w14:paraId="32501605">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1、甲方项目负责人为：</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；联系电话：</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w:t>
      </w:r>
    </w:p>
    <w:p w14:paraId="2845C940">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2、乙方拟派</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rPr>
        <w:t>为项目经理，须具有建筑工程专业二级及以上注册建造师执业资格和有效的安全生产考核合格证书，且未担任其他在建工程的注册建造师（已提供未担任其他在建工程承诺书）；联系电话：</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；拟派</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rPr>
        <w:t>为技术负责人，联系电话：</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w:t>
      </w:r>
    </w:p>
    <w:p w14:paraId="35A0CD5F">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3、乙方拟派的项目经理、项目技术负责人、施工员、专职安全员、质量员、材料员等施工现场关键岗位人员，必须与乙方响应文件中载明的人员保持一致。若违反上述要求，甲方将依据住建部及陕西省住建厅相关规定，上报住建主管部门处理，直至解除施工合同，并依法追究相关单位及人员的责任。</w:t>
      </w:r>
    </w:p>
    <w:p w14:paraId="7A3017A4">
      <w:pPr>
        <w:spacing w:before="320" w:after="120" w:line="360" w:lineRule="auto"/>
        <w:ind w:left="0"/>
        <w:jc w:val="both"/>
        <w:outlineLvl w:val="1"/>
        <w:rPr>
          <w:rFonts w:hint="eastAsia" w:ascii="仿宋" w:hAnsi="仿宋" w:eastAsia="仿宋" w:cs="仿宋"/>
          <w:sz w:val="21"/>
          <w:szCs w:val="21"/>
          <w:highlight w:val="none"/>
        </w:rPr>
      </w:pPr>
      <w:bookmarkStart w:id="6" w:name="heading_6"/>
      <w:r>
        <w:rPr>
          <w:rFonts w:hint="eastAsia" w:ascii="仿宋" w:hAnsi="仿宋" w:eastAsia="仿宋" w:cs="仿宋"/>
          <w:b/>
          <w:sz w:val="21"/>
          <w:szCs w:val="21"/>
          <w:highlight w:val="none"/>
        </w:rPr>
        <w:t>第七条 工程质量管理及验收</w:t>
      </w:r>
      <w:bookmarkEnd w:id="6"/>
    </w:p>
    <w:p w14:paraId="7795C035">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1、执行的法律法规、技术规范包括但不限于以下规定、规范、标准:</w:t>
      </w:r>
    </w:p>
    <w:p w14:paraId="42640E9D">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（1）《中华人民共和国民法典》</w:t>
      </w:r>
    </w:p>
    <w:p w14:paraId="721B4B80">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（2）《中华人民共和国建筑法》</w:t>
      </w:r>
    </w:p>
    <w:p w14:paraId="36E45378">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（3）《建设工程安全生产管理条例》</w:t>
      </w:r>
    </w:p>
    <w:p w14:paraId="0A7EEEF4">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（4）《工程建设标准强制性条文》（2013年版）</w:t>
      </w:r>
    </w:p>
    <w:p w14:paraId="53154E85">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（5）《建筑防水工程技术规范》（GB50108-2008）</w:t>
      </w:r>
    </w:p>
    <w:p w14:paraId="19304AAF">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（6）《公共建筑节能设计标准》及相关节能规范</w:t>
      </w:r>
    </w:p>
    <w:p w14:paraId="1617A5A9">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（7）《建筑设计防火规范》GB50016-2014(2018年版)</w:t>
      </w:r>
    </w:p>
    <w:p w14:paraId="4CB2B9FC">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（8）《施工现场临时用电安全技术规范》（JGJ46-88）</w:t>
      </w:r>
    </w:p>
    <w:p w14:paraId="187190A9">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（9）《建设工程施工现场供用电安全规范》（GB50194-93）</w:t>
      </w:r>
    </w:p>
    <w:p w14:paraId="6D2F53CF">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（10）《安全防范工程技术规范》（GB50348-2004）</w:t>
      </w:r>
    </w:p>
    <w:p w14:paraId="3334C70B">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以及其他国家、行业、地方现行执行规范、规程、标准，未详尽处应满足国家有关规范和规定，所有的规范执行最高规定。如有最新的法律法规、技术规范发布，按最新的文件执行；乙方自行承担因规范更新导致的整改费用。</w:t>
      </w:r>
    </w:p>
    <w:p w14:paraId="70BDF9BF">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2、工程质量标准：合格，符合国家及行业现行验收合格标准。</w:t>
      </w:r>
    </w:p>
    <w:p w14:paraId="587A15DE">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3、工程竣工验收由甲乙双方共同进行，由乙方按照相关要求编制竣工资料、竣工图纸及相关文件（所有验收发生的费用不再向甲方收取），验收合格后双方签署竣工验收书。验收不合格的，乙方需在10日内整改完成并重新申请验收，逾期未整改的，乙方承担所有责任。</w:t>
      </w:r>
    </w:p>
    <w:p w14:paraId="18205ED9">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4、验收相关要求：</w:t>
      </w:r>
    </w:p>
    <w:p w14:paraId="3F1DB864">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4.1、本工程应按工程量清单、图纸及磋商文件完成全部内容；</w:t>
      </w:r>
    </w:p>
    <w:p w14:paraId="45A114AB">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4.2、本工程验收标准应符合国家相关工程管理规定及行业标准要求；</w:t>
      </w:r>
    </w:p>
    <w:p w14:paraId="482E0B08">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4.3、乙方已自行组织验收合格，存在的问题已全部处理，竣工资料已按要求整理完成；</w:t>
      </w:r>
    </w:p>
    <w:p w14:paraId="4D1A00E9">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4.4、乙方提出验收申请，甲方及时组织验收，验收合格后出具验收报告；</w:t>
      </w:r>
    </w:p>
    <w:p w14:paraId="4D82BA80">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4.5、交付竣工验收的工程，必须符合规定的工程质量标准，有完整的工程技术经济资料和经签署的工程保修书，并具备国家规定的其他竣工条件。工程竣工经验收合格后，方可交付使用；未经验收或者验收不合格的，不得交付使用。</w:t>
      </w:r>
    </w:p>
    <w:p w14:paraId="238A155F">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5、质保期：质量保修期3年，自工程竣工验收合格之日起计算。质保期内，乙方负责工程的维修、维护，承担因工程质量问题产生的全部维修费用及相关损失。</w:t>
      </w:r>
    </w:p>
    <w:p w14:paraId="39CC9A14">
      <w:pPr>
        <w:spacing w:before="320" w:after="120" w:line="360" w:lineRule="auto"/>
        <w:ind w:left="0"/>
        <w:jc w:val="both"/>
        <w:outlineLvl w:val="1"/>
        <w:rPr>
          <w:rFonts w:hint="eastAsia" w:ascii="仿宋" w:hAnsi="仿宋" w:eastAsia="仿宋" w:cs="仿宋"/>
          <w:sz w:val="21"/>
          <w:szCs w:val="21"/>
          <w:highlight w:val="none"/>
        </w:rPr>
      </w:pPr>
      <w:bookmarkStart w:id="7" w:name="heading_7"/>
      <w:r>
        <w:rPr>
          <w:rFonts w:hint="eastAsia" w:ascii="仿宋" w:hAnsi="仿宋" w:eastAsia="仿宋" w:cs="仿宋"/>
          <w:b/>
          <w:sz w:val="21"/>
          <w:szCs w:val="21"/>
          <w:highlight w:val="none"/>
        </w:rPr>
        <w:t>第八条 安全施工</w:t>
      </w:r>
      <w:bookmarkEnd w:id="7"/>
    </w:p>
    <w:p w14:paraId="77D0726D">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遵守工程建设安全生产有关管理规定，严格按安全标准组织施工，采取必要的安全生产措施，消除事故隐患。乙方严格执行安全措施和交通组织措施，以保证施工及过往行人人身安全，杜绝安全事故的发生，因施工原因造成安全事故的责任和损失由乙方自行承担，甲方概不负责任和赔偿。</w:t>
      </w:r>
    </w:p>
    <w:p w14:paraId="3086C9BB">
      <w:pPr>
        <w:spacing w:before="320" w:after="120" w:line="360" w:lineRule="auto"/>
        <w:ind w:left="0"/>
        <w:jc w:val="both"/>
        <w:outlineLvl w:val="1"/>
        <w:rPr>
          <w:rFonts w:hint="eastAsia" w:ascii="仿宋" w:hAnsi="仿宋" w:eastAsia="仿宋" w:cs="仿宋"/>
          <w:sz w:val="21"/>
          <w:szCs w:val="21"/>
          <w:highlight w:val="none"/>
        </w:rPr>
      </w:pPr>
      <w:bookmarkStart w:id="8" w:name="heading_8"/>
      <w:r>
        <w:rPr>
          <w:rFonts w:hint="eastAsia" w:ascii="仿宋" w:hAnsi="仿宋" w:eastAsia="仿宋" w:cs="仿宋"/>
          <w:b/>
          <w:sz w:val="21"/>
          <w:szCs w:val="21"/>
          <w:highlight w:val="none"/>
        </w:rPr>
        <w:t>第九条 双方的权利和义务</w:t>
      </w:r>
      <w:bookmarkEnd w:id="8"/>
    </w:p>
    <w:p w14:paraId="3E90C66A">
      <w:pPr>
        <w:spacing w:before="300" w:after="120" w:line="360" w:lineRule="auto"/>
        <w:ind w:left="0"/>
        <w:jc w:val="both"/>
        <w:outlineLvl w:val="2"/>
        <w:rPr>
          <w:rFonts w:hint="eastAsia" w:ascii="仿宋" w:hAnsi="仿宋" w:eastAsia="仿宋" w:cs="仿宋"/>
          <w:sz w:val="21"/>
          <w:szCs w:val="21"/>
          <w:highlight w:val="none"/>
        </w:rPr>
      </w:pPr>
      <w:bookmarkStart w:id="9" w:name="heading_9"/>
      <w:r>
        <w:rPr>
          <w:rFonts w:hint="eastAsia" w:ascii="仿宋" w:hAnsi="仿宋" w:eastAsia="仿宋" w:cs="仿宋"/>
          <w:b/>
          <w:sz w:val="21"/>
          <w:szCs w:val="21"/>
          <w:highlight w:val="none"/>
        </w:rPr>
        <w:t>1、甲方的权利与义务</w:t>
      </w:r>
      <w:bookmarkEnd w:id="9"/>
    </w:p>
    <w:p w14:paraId="11092A6D">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1）按安全文明施工的相关规定、要求，督促乙方落实安全施工、文明施工措施，具体按照安全生产责任书要求落实；</w:t>
      </w:r>
    </w:p>
    <w:p w14:paraId="246B7D83">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2）对施工工作提出指导性建议或意见促使施工顺利进行；</w:t>
      </w:r>
    </w:p>
    <w:p w14:paraId="48E955FE">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3）负责施工现场工作的监督、检查；</w:t>
      </w:r>
    </w:p>
    <w:p w14:paraId="76D3CD5D">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4）负责组织相关力量对施工工作结束后的场地进行验收;</w:t>
      </w:r>
    </w:p>
    <w:p w14:paraId="7152C3D4">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5）按约定支付工程款并索取相应的发票；</w:t>
      </w:r>
    </w:p>
    <w:p w14:paraId="09BD27A7">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6）根据工程范围内的具体要求，安排乙方完成与上述工作有关的临时性任务。费用包含在合同总金额内，不再另行支付。</w:t>
      </w:r>
    </w:p>
    <w:p w14:paraId="232C9B5A">
      <w:pPr>
        <w:spacing w:before="300" w:after="120" w:line="360" w:lineRule="auto"/>
        <w:ind w:left="0"/>
        <w:jc w:val="both"/>
        <w:outlineLvl w:val="2"/>
        <w:rPr>
          <w:rFonts w:hint="eastAsia" w:ascii="仿宋" w:hAnsi="仿宋" w:eastAsia="仿宋" w:cs="仿宋"/>
          <w:sz w:val="21"/>
          <w:szCs w:val="21"/>
          <w:highlight w:val="none"/>
        </w:rPr>
      </w:pPr>
      <w:bookmarkStart w:id="10" w:name="heading_10"/>
      <w:r>
        <w:rPr>
          <w:rFonts w:hint="eastAsia" w:ascii="仿宋" w:hAnsi="仿宋" w:eastAsia="仿宋" w:cs="仿宋"/>
          <w:b/>
          <w:sz w:val="21"/>
          <w:szCs w:val="21"/>
          <w:highlight w:val="none"/>
        </w:rPr>
        <w:t>2、乙方的权利与义务</w:t>
      </w:r>
      <w:bookmarkEnd w:id="10"/>
    </w:p>
    <w:p w14:paraId="3AEE5AA9">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1）乙方应设置施工过程中必要的办公场所，并保证所有施工现场人员佩戴安全帽;</w:t>
      </w:r>
    </w:p>
    <w:p w14:paraId="30B4C719">
      <w:pPr>
        <w:spacing w:before="120" w:after="120" w:line="360" w:lineRule="auto"/>
        <w:ind w:left="0"/>
        <w:jc w:val="both"/>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2）每日向甲方提供进度计划，统计报表和工程事故报告，遵守有关部门对施工场地、交通、噪音等的管理规定</w:t>
      </w:r>
      <w:r>
        <w:rPr>
          <w:rFonts w:hint="eastAsia" w:ascii="仿宋" w:hAnsi="仿宋" w:eastAsia="仿宋" w:cs="仿宋"/>
          <w:sz w:val="21"/>
          <w:szCs w:val="21"/>
          <w:highlight w:val="none"/>
          <w:lang w:eastAsia="zh-CN"/>
        </w:rPr>
        <w:t>；</w:t>
      </w:r>
    </w:p>
    <w:p w14:paraId="70CA4766">
      <w:pPr>
        <w:spacing w:before="120" w:after="120" w:line="360" w:lineRule="auto"/>
        <w:ind w:left="0"/>
        <w:jc w:val="both"/>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3）保证施工现场清洁，负责道路维护工作</w:t>
      </w:r>
      <w:r>
        <w:rPr>
          <w:rFonts w:hint="eastAsia" w:ascii="仿宋" w:hAnsi="仿宋" w:eastAsia="仿宋" w:cs="仿宋"/>
          <w:sz w:val="21"/>
          <w:szCs w:val="21"/>
          <w:highlight w:val="none"/>
          <w:lang w:eastAsia="zh-CN"/>
        </w:rPr>
        <w:t>；</w:t>
      </w:r>
    </w:p>
    <w:p w14:paraId="17D1F4FA">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4）按照国家政策、法律法规及甲方确认的施工组织设计或施工方案进行文明动员、文明施工；</w:t>
      </w:r>
    </w:p>
    <w:p w14:paraId="1A7D94A5">
      <w:pPr>
        <w:spacing w:before="120" w:after="120" w:line="360" w:lineRule="auto"/>
        <w:ind w:left="0"/>
        <w:jc w:val="both"/>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5）遵守安全防护和文明施工的规定，建立健全安全防护和文明施工的制度，设专职安全员，负责维护施工现场安全，做到安全文明施工等</w:t>
      </w:r>
      <w:r>
        <w:rPr>
          <w:rFonts w:hint="eastAsia" w:ascii="仿宋" w:hAnsi="仿宋" w:eastAsia="仿宋" w:cs="仿宋"/>
          <w:sz w:val="21"/>
          <w:szCs w:val="21"/>
          <w:highlight w:val="none"/>
          <w:lang w:eastAsia="zh-CN"/>
        </w:rPr>
        <w:t>；</w:t>
      </w:r>
    </w:p>
    <w:p w14:paraId="43051D10">
      <w:pPr>
        <w:spacing w:before="120" w:after="120" w:line="360" w:lineRule="auto"/>
        <w:ind w:left="0"/>
        <w:jc w:val="both"/>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6）完善安全防护和文明施工条件，施工机械、设备须有检验报告，严格按照安全防护和文明施工的规定组织施工，采取必要的安全防护措施，消除安全事故隐患</w:t>
      </w:r>
      <w:r>
        <w:rPr>
          <w:rFonts w:hint="eastAsia" w:ascii="仿宋" w:hAnsi="仿宋" w:eastAsia="仿宋" w:cs="仿宋"/>
          <w:sz w:val="21"/>
          <w:szCs w:val="21"/>
          <w:highlight w:val="none"/>
          <w:lang w:eastAsia="zh-CN"/>
        </w:rPr>
        <w:t>；</w:t>
      </w:r>
    </w:p>
    <w:p w14:paraId="3C56EEE4">
      <w:pPr>
        <w:spacing w:before="120" w:after="120" w:line="360" w:lineRule="auto"/>
        <w:ind w:left="0"/>
        <w:jc w:val="both"/>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7）在工程实施期间，乙方应做好施工现场的安全警示标志、安全通道的合理布置、材料与设备的存放与保管、消防设施的安全有效、施工现场的照明与防护以及政府有关部门关于安全防护、文明施工规定的其他工作</w:t>
      </w:r>
      <w:r>
        <w:rPr>
          <w:rFonts w:hint="eastAsia" w:ascii="仿宋" w:hAnsi="仿宋" w:eastAsia="仿宋" w:cs="仿宋"/>
          <w:sz w:val="21"/>
          <w:szCs w:val="21"/>
          <w:highlight w:val="none"/>
          <w:lang w:eastAsia="zh-CN"/>
        </w:rPr>
        <w:t>；</w:t>
      </w:r>
    </w:p>
    <w:p w14:paraId="5255723D">
      <w:pPr>
        <w:spacing w:before="120" w:after="120" w:line="360" w:lineRule="auto"/>
        <w:ind w:left="0"/>
        <w:jc w:val="both"/>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8）按约定收取工程款并出具相应的发票</w:t>
      </w:r>
      <w:r>
        <w:rPr>
          <w:rFonts w:hint="eastAsia" w:ascii="仿宋" w:hAnsi="仿宋" w:eastAsia="仿宋" w:cs="仿宋"/>
          <w:sz w:val="21"/>
          <w:szCs w:val="21"/>
          <w:highlight w:val="none"/>
          <w:lang w:eastAsia="zh-CN"/>
        </w:rPr>
        <w:t>；</w:t>
      </w:r>
    </w:p>
    <w:p w14:paraId="4733421A">
      <w:pPr>
        <w:spacing w:before="120" w:after="120" w:line="360" w:lineRule="auto"/>
        <w:ind w:left="0"/>
        <w:jc w:val="both"/>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9）工作人员应服从甲方的领导、监督和管理，遵守工作制度和纪律，依法施工，文明施工</w:t>
      </w:r>
      <w:r>
        <w:rPr>
          <w:rFonts w:hint="eastAsia" w:ascii="仿宋" w:hAnsi="仿宋" w:eastAsia="仿宋" w:cs="仿宋"/>
          <w:sz w:val="21"/>
          <w:szCs w:val="21"/>
          <w:highlight w:val="none"/>
          <w:lang w:eastAsia="zh-CN"/>
        </w:rPr>
        <w:t>；</w:t>
      </w:r>
    </w:p>
    <w:p w14:paraId="14165760">
      <w:pPr>
        <w:spacing w:before="120" w:after="120" w:line="360" w:lineRule="auto"/>
        <w:ind w:left="0"/>
        <w:jc w:val="both"/>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10）施工过程中发生的各种不安全事故或人员伤亡，造成的责任、费用等由乙方完全承担</w:t>
      </w:r>
      <w:r>
        <w:rPr>
          <w:rFonts w:hint="eastAsia" w:ascii="仿宋" w:hAnsi="仿宋" w:eastAsia="仿宋" w:cs="仿宋"/>
          <w:sz w:val="21"/>
          <w:szCs w:val="21"/>
          <w:highlight w:val="none"/>
          <w:lang w:eastAsia="zh-CN"/>
        </w:rPr>
        <w:t>；</w:t>
      </w:r>
    </w:p>
    <w:p w14:paraId="3E150413">
      <w:pPr>
        <w:spacing w:before="120" w:after="120" w:line="360" w:lineRule="auto"/>
        <w:ind w:left="0"/>
        <w:jc w:val="both"/>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11）指派专职项目经理负责联系和工程施工工作的有关事项，参加协调会，协调合同执行过程中遇到的问题，并配备专职安全员每日巡视现场，安全员必须持证上岗</w:t>
      </w:r>
      <w:r>
        <w:rPr>
          <w:rFonts w:hint="eastAsia" w:ascii="仿宋" w:hAnsi="仿宋" w:eastAsia="仿宋" w:cs="仿宋"/>
          <w:sz w:val="21"/>
          <w:szCs w:val="21"/>
          <w:highlight w:val="none"/>
          <w:lang w:eastAsia="zh-CN"/>
        </w:rPr>
        <w:t>；</w:t>
      </w:r>
    </w:p>
    <w:p w14:paraId="7AC6D7FD">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12）负责施工期间与相关部门的协调，并承担相关责任及发生的相关费用，必须确保本项目施工最终验收通过；</w:t>
      </w:r>
    </w:p>
    <w:p w14:paraId="73B5B629">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13）完成甲方交办的与工程范围内有关的其它临时性工作；</w:t>
      </w:r>
    </w:p>
    <w:p w14:paraId="752E8C49">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14）乙方不得将本项目转包或分包给第三方（本项目不允许分包），不得将本合同任何权利、义务转让给第三方；</w:t>
      </w:r>
    </w:p>
    <w:p w14:paraId="5FE85CD9">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15）乙方应对项目过程中接触的项目信息（含侦查中心相关涉密信息）保密，不得向任何第三方泄漏；</w:t>
      </w:r>
    </w:p>
    <w:p w14:paraId="6900BF1C">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16）及时向甲方汇报施工进度及安全情况，保质保量完成建设任务；</w:t>
      </w:r>
    </w:p>
    <w:p w14:paraId="614A1D56">
      <w:pPr>
        <w:spacing w:before="320" w:after="120" w:line="360" w:lineRule="auto"/>
        <w:ind w:left="0"/>
        <w:jc w:val="both"/>
        <w:outlineLvl w:val="1"/>
        <w:rPr>
          <w:rFonts w:hint="eastAsia" w:ascii="仿宋" w:hAnsi="仿宋" w:eastAsia="仿宋" w:cs="仿宋"/>
          <w:sz w:val="21"/>
          <w:szCs w:val="21"/>
          <w:highlight w:val="none"/>
        </w:rPr>
      </w:pPr>
      <w:bookmarkStart w:id="11" w:name="heading_11"/>
      <w:r>
        <w:rPr>
          <w:rFonts w:hint="eastAsia" w:ascii="仿宋" w:hAnsi="仿宋" w:eastAsia="仿宋" w:cs="仿宋"/>
          <w:b/>
          <w:sz w:val="21"/>
          <w:szCs w:val="21"/>
          <w:highlight w:val="none"/>
        </w:rPr>
        <w:t>第十条 违约责任</w:t>
      </w:r>
      <w:bookmarkEnd w:id="11"/>
    </w:p>
    <w:p w14:paraId="471DB687">
      <w:pPr>
        <w:spacing w:before="300" w:after="120" w:line="360" w:lineRule="auto"/>
        <w:ind w:left="0"/>
        <w:jc w:val="both"/>
        <w:outlineLvl w:val="2"/>
        <w:rPr>
          <w:rFonts w:hint="eastAsia" w:ascii="仿宋" w:hAnsi="仿宋" w:eastAsia="仿宋" w:cs="仿宋"/>
          <w:sz w:val="21"/>
          <w:szCs w:val="21"/>
          <w:highlight w:val="none"/>
        </w:rPr>
      </w:pPr>
      <w:bookmarkStart w:id="12" w:name="heading_12"/>
      <w:r>
        <w:rPr>
          <w:rFonts w:hint="eastAsia" w:ascii="仿宋" w:hAnsi="仿宋" w:eastAsia="仿宋" w:cs="仿宋"/>
          <w:b/>
          <w:sz w:val="21"/>
          <w:szCs w:val="21"/>
          <w:highlight w:val="none"/>
        </w:rPr>
        <w:t>1、甲方的违约责任：</w:t>
      </w:r>
      <w:bookmarkEnd w:id="12"/>
    </w:p>
    <w:p w14:paraId="4A5F138A">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1.1、未能按本合同的约定履行自己应负的责任，竣工日期应得以顺延；</w:t>
      </w:r>
    </w:p>
    <w:p w14:paraId="70EB13F6">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1.2、因甲方原因导致工程中途停建、缓建或由于设计变更以及设计错误造成的返工，应采取措施弥补或减少损失。同时，赔偿乙方由此而造成的停工、窝工、返工、倒运、人员与机械设备调迁、材料与构件积压的直接损失。</w:t>
      </w:r>
    </w:p>
    <w:p w14:paraId="5B8CEA70">
      <w:pPr>
        <w:spacing w:before="300" w:after="120" w:line="360" w:lineRule="auto"/>
        <w:ind w:left="0"/>
        <w:jc w:val="both"/>
        <w:outlineLvl w:val="2"/>
        <w:rPr>
          <w:rFonts w:hint="eastAsia" w:ascii="仿宋" w:hAnsi="仿宋" w:eastAsia="仿宋" w:cs="仿宋"/>
          <w:sz w:val="21"/>
          <w:szCs w:val="21"/>
          <w:highlight w:val="none"/>
        </w:rPr>
      </w:pPr>
      <w:bookmarkStart w:id="13" w:name="heading_13"/>
      <w:r>
        <w:rPr>
          <w:rFonts w:hint="eastAsia" w:ascii="仿宋" w:hAnsi="仿宋" w:eastAsia="仿宋" w:cs="仿宋"/>
          <w:b/>
          <w:sz w:val="21"/>
          <w:szCs w:val="21"/>
          <w:highlight w:val="none"/>
        </w:rPr>
        <w:t>2、乙方的违约责任：</w:t>
      </w:r>
      <w:bookmarkEnd w:id="13"/>
    </w:p>
    <w:p w14:paraId="6090E7E2">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2.1、乙方未能按时完成本工程项目任务的，每延期一日应按合同金额的5‰/天向甲方支付违约金（从工程款中直接扣除），无故延期15日以上视为根本性违约，甲方有权解除本合同，乙方除应全额退还甲方已支付的工程款外，还应按合同总金额30%向甲方支付违约金，违约金不足以弥补甲方全部损失的，乙方还应当补足损失差额；</w:t>
      </w:r>
    </w:p>
    <w:p w14:paraId="6BBCFD2A">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2.2、工程出现质量问题视为乙方严重违约，乙方应无条件的返工直到工程合格为止，费用由乙方承担，因此给甲方造成的经济及名誉等一系列损失，由乙方承担全部费用。乙方应按合同金额的30%向甲方支付违约金（可从工程款中直接扣除）；</w:t>
      </w:r>
    </w:p>
    <w:p w14:paraId="111334FF">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2.3、乙方未经甲方事前书面同意更换投标文件及本协议约定的项目经理、技术负责人等服务团队的，乙方应向甲方支付贰万元违约金每人次，并应当按照甲方要求改正；乙方拒不改正或出现该情况累计达2次的，甲方有权解除本合同，乙方返还甲方已支付的全部费用并向甲方支付合同金额20%的违约金；</w:t>
      </w:r>
    </w:p>
    <w:p w14:paraId="48D8C51A">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2.4、乙方违反本合同第九条第二款第14项约定（转包、分包）的，乙方应向甲方支付合同金额30%的违约金，违约金不足以弥补给甲方造成的损失的，还应赔偿甲方全部损失，且甲方保留单方解除本合同的权利；</w:t>
      </w:r>
    </w:p>
    <w:p w14:paraId="65D765F7">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2.5、乙方违反本合同其他约定的，应向甲方支付合同金额的30%违约金，违约金不足以弥补全部损失的，还应就全部损失承担继续赔偿责任，包括但不限于诉讼费、律师费、保全费等；</w:t>
      </w:r>
    </w:p>
    <w:p w14:paraId="7594C578">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2.6、乙方违反本合同约定的保密义务，应向甲方支付合同总金额30%的违约金，给甲方造成损失的，还应承担赔偿责任；</w:t>
      </w:r>
    </w:p>
    <w:p w14:paraId="4AA865CE">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2.7、乙方未按要求提交最终版《工程量清单表》或纸质投标文件，每逾期一日，支付合同金额1‰的违约金，逾期达5日的，甲方有权暂缓支付工程款，直至乙方完成提交。</w:t>
      </w:r>
    </w:p>
    <w:p w14:paraId="49903DA7">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3、协议一方擅自解除或终止本合同的，违约方应按合同金额的30%向守约方支付违约金。</w:t>
      </w:r>
    </w:p>
    <w:p w14:paraId="7EA297BB">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4、甲方有权对乙方不称职或不接受管理的人员进行处罚或驱逐出场。在甲方发出要求更换不合格或不称职人员指令后，乙方须及时更换合格人员，逾期未到岗视为乙方违约，给甲方造成的经济及名誉等一系列损失，由乙方承担相应费用，并向甲方支付贰万元违约金每人次，同时立即更换不称职或不接受管理的人员。</w:t>
      </w:r>
    </w:p>
    <w:p w14:paraId="76898774">
      <w:pPr>
        <w:spacing w:before="320" w:after="120" w:line="360" w:lineRule="auto"/>
        <w:ind w:left="0"/>
        <w:jc w:val="both"/>
        <w:outlineLvl w:val="1"/>
        <w:rPr>
          <w:rFonts w:hint="eastAsia" w:ascii="仿宋" w:hAnsi="仿宋" w:eastAsia="仿宋" w:cs="仿宋"/>
          <w:sz w:val="21"/>
          <w:szCs w:val="21"/>
          <w:highlight w:val="none"/>
        </w:rPr>
      </w:pPr>
      <w:bookmarkStart w:id="14" w:name="heading_14"/>
      <w:r>
        <w:rPr>
          <w:rFonts w:hint="eastAsia" w:ascii="仿宋" w:hAnsi="仿宋" w:eastAsia="仿宋" w:cs="仿宋"/>
          <w:b/>
          <w:sz w:val="21"/>
          <w:szCs w:val="21"/>
          <w:highlight w:val="none"/>
        </w:rPr>
        <w:t>第十一条 合同终止</w:t>
      </w:r>
      <w:bookmarkEnd w:id="14"/>
    </w:p>
    <w:p w14:paraId="0E0BFD4B">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1、合同期间任何一方不得随意终止合同。</w:t>
      </w:r>
    </w:p>
    <w:p w14:paraId="7ED39AF7">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2、本合同规定的履行期限届满，且工程竣工验收合格、工程款结清后，合同自动终止。</w:t>
      </w:r>
    </w:p>
    <w:p w14:paraId="5CAC2924">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3、因双方机构撤并、职能调整等原因，确需终止合同的，双方可协商终止合同。</w:t>
      </w:r>
    </w:p>
    <w:p w14:paraId="53A6D3AD">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4、由于乙方原因造成工程进度严重滞后，影响后期运行，甲方可以单方面解除合同，由此给甲方造成损失的，乙方还应承担全部责任。</w:t>
      </w:r>
    </w:p>
    <w:p w14:paraId="63142053">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5、合同终止或解除后，乙方需在15日内完成工程移交、资料归档及场地清理，逾期未完成的，每日支付合同金额1‰的违约金，逾期达30日的，甲方有权直接清退场地，处置乙方留在现场的物品等，甲方不对此向乙方承担任何赔偿责任或支付任何费用，因此产生的清场费用，应由乙方承担。</w:t>
      </w:r>
    </w:p>
    <w:p w14:paraId="27DE5A36">
      <w:pPr>
        <w:spacing w:before="320" w:after="120" w:line="360" w:lineRule="auto"/>
        <w:ind w:left="0"/>
        <w:jc w:val="both"/>
        <w:outlineLvl w:val="1"/>
        <w:rPr>
          <w:rFonts w:hint="eastAsia" w:ascii="仿宋" w:hAnsi="仿宋" w:eastAsia="仿宋" w:cs="仿宋"/>
          <w:sz w:val="21"/>
          <w:szCs w:val="21"/>
          <w:highlight w:val="none"/>
        </w:rPr>
      </w:pPr>
      <w:bookmarkStart w:id="15" w:name="heading_15"/>
      <w:r>
        <w:rPr>
          <w:rFonts w:hint="eastAsia" w:ascii="仿宋" w:hAnsi="仿宋" w:eastAsia="仿宋" w:cs="仿宋"/>
          <w:b/>
          <w:sz w:val="21"/>
          <w:szCs w:val="21"/>
          <w:highlight w:val="none"/>
        </w:rPr>
        <w:t>第十二条 不可抗力</w:t>
      </w:r>
      <w:bookmarkEnd w:id="15"/>
    </w:p>
    <w:p w14:paraId="3A9C88DD">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14:paraId="5C28D8E9">
      <w:pPr>
        <w:spacing w:before="320" w:after="120" w:line="360" w:lineRule="auto"/>
        <w:ind w:left="0"/>
        <w:jc w:val="both"/>
        <w:outlineLvl w:val="1"/>
        <w:rPr>
          <w:rFonts w:hint="eastAsia" w:ascii="仿宋" w:hAnsi="仿宋" w:eastAsia="仿宋" w:cs="仿宋"/>
          <w:sz w:val="21"/>
          <w:szCs w:val="21"/>
          <w:highlight w:val="none"/>
        </w:rPr>
      </w:pPr>
      <w:bookmarkStart w:id="16" w:name="heading_16"/>
      <w:r>
        <w:rPr>
          <w:rFonts w:hint="eastAsia" w:ascii="仿宋" w:hAnsi="仿宋" w:eastAsia="仿宋" w:cs="仿宋"/>
          <w:b/>
          <w:sz w:val="21"/>
          <w:szCs w:val="21"/>
          <w:highlight w:val="none"/>
        </w:rPr>
        <w:t>第十三条 纠纷解决办法</w:t>
      </w:r>
      <w:bookmarkEnd w:id="16"/>
    </w:p>
    <w:p w14:paraId="6F5ECAAF">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因本合同产生纠纷，如协商无法解决，双方均有权向项目所在地（渭南市）人民法院提起诉讼。</w:t>
      </w:r>
    </w:p>
    <w:p w14:paraId="5848F8FC">
      <w:pPr>
        <w:spacing w:before="320" w:after="120" w:line="360" w:lineRule="auto"/>
        <w:ind w:left="0"/>
        <w:jc w:val="both"/>
        <w:outlineLvl w:val="1"/>
        <w:rPr>
          <w:rFonts w:hint="eastAsia" w:ascii="仿宋" w:hAnsi="仿宋" w:eastAsia="仿宋" w:cs="仿宋"/>
          <w:sz w:val="21"/>
          <w:szCs w:val="21"/>
          <w:highlight w:val="none"/>
        </w:rPr>
      </w:pPr>
      <w:bookmarkStart w:id="17" w:name="heading_17"/>
      <w:r>
        <w:rPr>
          <w:rFonts w:hint="eastAsia" w:ascii="仿宋" w:hAnsi="仿宋" w:eastAsia="仿宋" w:cs="仿宋"/>
          <w:b/>
          <w:sz w:val="21"/>
          <w:szCs w:val="21"/>
          <w:highlight w:val="none"/>
        </w:rPr>
        <w:t>第十四条 监督和管理</w:t>
      </w:r>
      <w:bookmarkEnd w:id="17"/>
    </w:p>
    <w:p w14:paraId="41B137DD">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1B5DBAA7">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2、甲乙双方均应自觉配合有关监督管理部门（渭南市财政局政府采购管理科）对合同履行情况的监督检查，如实反映情况，提供有关资料；否则，将对有关单位、当事人按照有关规定予以处罚。</w:t>
      </w:r>
    </w:p>
    <w:p w14:paraId="0FBBDA7B">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3、甲方有权监督乙方在支付当期进度款中发放农民工工资。如乙方未按时发放农民工工资，影响到本工程的质量和进度，甲方有权从剩余进度款中按乙方所拟的工资额度直接发放农民工的工资，并按发放金额的50%从乙方的剩余工程款中扣除作为违约金。乙方因农民工工资发放问题造成不良影响（包括但不限于农民工上访、信访、投诉或媒体曝光）的，甲方可视情节严重程度暂停付款、要求乙方支付10%-30%的违约金等。</w:t>
      </w:r>
    </w:p>
    <w:p w14:paraId="52A8A2DA">
      <w:pPr>
        <w:spacing w:before="320" w:after="120" w:line="360" w:lineRule="auto"/>
        <w:ind w:left="0"/>
        <w:jc w:val="both"/>
        <w:outlineLvl w:val="1"/>
        <w:rPr>
          <w:rFonts w:hint="eastAsia" w:ascii="仿宋" w:hAnsi="仿宋" w:eastAsia="仿宋" w:cs="仿宋"/>
          <w:sz w:val="21"/>
          <w:szCs w:val="21"/>
          <w:highlight w:val="none"/>
        </w:rPr>
      </w:pPr>
      <w:bookmarkStart w:id="18" w:name="heading_18"/>
      <w:r>
        <w:rPr>
          <w:rFonts w:hint="eastAsia" w:ascii="仿宋" w:hAnsi="仿宋" w:eastAsia="仿宋" w:cs="仿宋"/>
          <w:b/>
          <w:sz w:val="21"/>
          <w:szCs w:val="21"/>
          <w:highlight w:val="none"/>
        </w:rPr>
        <w:t>第十五条 补充条款</w:t>
      </w:r>
      <w:bookmarkEnd w:id="18"/>
    </w:p>
    <w:p w14:paraId="20A681E8">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1、乙方由于施工组织方案不合理、人力、材料、机械等组织不力、质量安全措施不到位等造成的工程受损，造成二次损毁的，由乙方承担全部损失，包括但不限于工程修复费、工期延误损失等。</w:t>
      </w:r>
    </w:p>
    <w:p w14:paraId="5C136B37">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2、乙方未经甲方及有关部门同意，不得擅自变更本工程在投标承诺中认定的工程范围、施工组织方案和项目负责人。</w:t>
      </w:r>
    </w:p>
    <w:p w14:paraId="781A703B">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3、乙方在工程实施过程中，应处理好扰民和民扰的工作，出现扰民应第一时间解释说服，出现民扰则应尽快处理，不得造成不良社会影响，坚决消除因此而产生的社会舆论。如因乙方原因或处理措施不当而产生严重后果的，甲方可视情节轻重有权单方解除施工合同，且追究乙方因此给甲方带来的损失。</w:t>
      </w:r>
    </w:p>
    <w:p w14:paraId="3035C221">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4、乙方对自有职工或外聘职工及农民工负有全部管理责任，因上述人员发生纠纷或问题，乙方对其全权负责。乙方应积极为员工购买相关保险，做好安全保障。</w:t>
      </w:r>
    </w:p>
    <w:p w14:paraId="3BFE9CB3">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5、乙方对工程施工过程中，施工场地内或施工场地周边人员安全负有全部责任，出现任何事故或问题乙方应积极主动处理，且甲方可视情节轻重有权单方解除施工合同，且追究乙方因此给甲方带来的损失。</w:t>
      </w:r>
    </w:p>
    <w:p w14:paraId="0E248B49">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6、本项目所属行业为建筑业，乙方应符合中小企业划型标准（营业收入80000万元以下或资产总额80000万元以下），若乙方为中小企业，应严格遵守《政府采购促进中小企业发展管理办法》相关规定，不得将合同分包或转包给大型、中型企业。</w:t>
      </w:r>
    </w:p>
    <w:p w14:paraId="65DADFE7">
      <w:pPr>
        <w:spacing w:before="320" w:after="120" w:line="360" w:lineRule="auto"/>
        <w:ind w:left="0"/>
        <w:jc w:val="both"/>
        <w:outlineLvl w:val="1"/>
        <w:rPr>
          <w:rFonts w:hint="eastAsia" w:ascii="仿宋" w:hAnsi="仿宋" w:eastAsia="仿宋" w:cs="仿宋"/>
          <w:sz w:val="21"/>
          <w:szCs w:val="21"/>
          <w:highlight w:val="none"/>
        </w:rPr>
      </w:pPr>
      <w:bookmarkStart w:id="19" w:name="heading_19"/>
      <w:r>
        <w:rPr>
          <w:rFonts w:hint="eastAsia" w:ascii="仿宋" w:hAnsi="仿宋" w:eastAsia="仿宋" w:cs="仿宋"/>
          <w:b/>
          <w:sz w:val="21"/>
          <w:szCs w:val="21"/>
          <w:highlight w:val="none"/>
        </w:rPr>
        <w:t>第十六条 附则</w:t>
      </w:r>
      <w:bookmarkEnd w:id="19"/>
    </w:p>
    <w:p w14:paraId="315FAF60">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一、本合同</w:t>
      </w:r>
      <w:r>
        <w:rPr>
          <w:rFonts w:hint="eastAsia" w:ascii="仿宋" w:hAnsi="仿宋" w:eastAsia="仿宋" w:cs="仿宋"/>
          <w:sz w:val="21"/>
          <w:szCs w:val="21"/>
          <w:highlight w:val="none"/>
          <w:u w:val="single"/>
        </w:rPr>
        <w:t>壹</w:t>
      </w:r>
      <w:r>
        <w:rPr>
          <w:rFonts w:hint="eastAsia" w:ascii="仿宋" w:hAnsi="仿宋" w:eastAsia="仿宋" w:cs="仿宋"/>
          <w:sz w:val="21"/>
          <w:szCs w:val="21"/>
          <w:highlight w:val="none"/>
        </w:rPr>
        <w:t>式</w:t>
      </w:r>
      <w:r>
        <w:rPr>
          <w:rFonts w:hint="eastAsia" w:ascii="仿宋" w:hAnsi="仿宋" w:eastAsia="仿宋" w:cs="仿宋"/>
          <w:sz w:val="21"/>
          <w:szCs w:val="21"/>
          <w:highlight w:val="none"/>
          <w:u w:val="single"/>
        </w:rPr>
        <w:t>陆</w:t>
      </w:r>
      <w:r>
        <w:rPr>
          <w:rFonts w:hint="eastAsia" w:ascii="仿宋" w:hAnsi="仿宋" w:eastAsia="仿宋" w:cs="仿宋"/>
          <w:sz w:val="21"/>
          <w:szCs w:val="21"/>
          <w:highlight w:val="none"/>
        </w:rPr>
        <w:t>份，甲方执</w:t>
      </w:r>
      <w:r>
        <w:rPr>
          <w:rFonts w:hint="eastAsia" w:ascii="仿宋" w:hAnsi="仿宋" w:eastAsia="仿宋" w:cs="仿宋"/>
          <w:sz w:val="21"/>
          <w:szCs w:val="21"/>
          <w:highlight w:val="none"/>
          <w:u w:val="single"/>
        </w:rPr>
        <w:t>肆</w:t>
      </w:r>
      <w:r>
        <w:rPr>
          <w:rFonts w:hint="eastAsia" w:ascii="仿宋" w:hAnsi="仿宋" w:eastAsia="仿宋" w:cs="仿宋"/>
          <w:sz w:val="21"/>
          <w:szCs w:val="21"/>
          <w:highlight w:val="none"/>
        </w:rPr>
        <w:t>份，乙方执</w:t>
      </w:r>
      <w:r>
        <w:rPr>
          <w:rFonts w:hint="eastAsia" w:ascii="仿宋" w:hAnsi="仿宋" w:eastAsia="仿宋" w:cs="仿宋"/>
          <w:sz w:val="21"/>
          <w:szCs w:val="21"/>
          <w:highlight w:val="none"/>
          <w:u w:val="single"/>
        </w:rPr>
        <w:t>贰</w:t>
      </w:r>
      <w:r>
        <w:rPr>
          <w:rFonts w:hint="eastAsia" w:ascii="仿宋" w:hAnsi="仿宋" w:eastAsia="仿宋" w:cs="仿宋"/>
          <w:sz w:val="21"/>
          <w:szCs w:val="21"/>
          <w:highlight w:val="none"/>
        </w:rPr>
        <w:t>份，自双方法定代表人或委托代理人签字，加盖公章或合同专用章后生效，附件具有同等效力。</w:t>
      </w:r>
    </w:p>
    <w:p w14:paraId="63347627">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二、合同中未尽事宜，由双方协商另订补充协议。补充协议与本合同具有相同法律效力。</w:t>
      </w:r>
    </w:p>
    <w:p w14:paraId="0C43A4CD">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三、附件：1.成交价已标价工程量清单；2.安全责任书；</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840"/>
        <w:gridCol w:w="4771"/>
      </w:tblGrid>
      <w:tr w14:paraId="6D2DA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40" w:type="dxa"/>
            <w:tcMar>
              <w:top w:w="60" w:type="dxa"/>
              <w:left w:w="120" w:type="dxa"/>
              <w:bottom w:w="30" w:type="dxa"/>
              <w:right w:w="120" w:type="dxa"/>
            </w:tcMar>
          </w:tcPr>
          <w:p w14:paraId="1BACA3F4">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甲方：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（公章）</w:t>
            </w:r>
          </w:p>
        </w:tc>
        <w:tc>
          <w:tcPr>
            <w:tcW w:w="4771" w:type="dxa"/>
            <w:tcMar>
              <w:top w:w="60" w:type="dxa"/>
              <w:left w:w="120" w:type="dxa"/>
              <w:bottom w:w="30" w:type="dxa"/>
              <w:right w:w="120" w:type="dxa"/>
            </w:tcMar>
          </w:tcPr>
          <w:p w14:paraId="0AE6FC0E">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乙方：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（公章）</w:t>
            </w:r>
          </w:p>
        </w:tc>
      </w:tr>
      <w:tr w14:paraId="7ACEC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40" w:type="dxa"/>
            <w:tcMar>
              <w:top w:w="60" w:type="dxa"/>
              <w:left w:w="120" w:type="dxa"/>
              <w:bottom w:w="30" w:type="dxa"/>
              <w:right w:w="120" w:type="dxa"/>
            </w:tcMar>
          </w:tcPr>
          <w:p w14:paraId="1AE7B9D9">
            <w:pPr>
              <w:spacing w:before="120" w:after="120" w:line="360" w:lineRule="auto"/>
              <w:ind w:left="840" w:hanging="630" w:hangingChars="30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法定代表人或委托代理人：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（签字或盖章）</w:t>
            </w:r>
          </w:p>
        </w:tc>
        <w:tc>
          <w:tcPr>
            <w:tcW w:w="4771" w:type="dxa"/>
            <w:tcMar>
              <w:top w:w="60" w:type="dxa"/>
              <w:left w:w="120" w:type="dxa"/>
              <w:bottom w:w="30" w:type="dxa"/>
              <w:right w:w="120" w:type="dxa"/>
            </w:tcMar>
          </w:tcPr>
          <w:p w14:paraId="01B80BA7">
            <w:pPr>
              <w:spacing w:before="120" w:after="120" w:line="360" w:lineRule="auto"/>
              <w:ind w:left="280" w:hanging="210" w:hangingChars="10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法定代表人或委托代理人：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（签字或盖章）</w:t>
            </w:r>
          </w:p>
        </w:tc>
      </w:tr>
      <w:tr w14:paraId="0101E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40" w:type="dxa"/>
            <w:tcMar>
              <w:top w:w="60" w:type="dxa"/>
              <w:left w:w="120" w:type="dxa"/>
              <w:bottom w:w="30" w:type="dxa"/>
              <w:right w:w="120" w:type="dxa"/>
            </w:tcMar>
          </w:tcPr>
          <w:p w14:paraId="75B68741">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地址：</w:t>
            </w:r>
          </w:p>
        </w:tc>
        <w:tc>
          <w:tcPr>
            <w:tcW w:w="4771" w:type="dxa"/>
            <w:tcMar>
              <w:top w:w="60" w:type="dxa"/>
              <w:left w:w="120" w:type="dxa"/>
              <w:bottom w:w="30" w:type="dxa"/>
              <w:right w:w="120" w:type="dxa"/>
            </w:tcMar>
          </w:tcPr>
          <w:p w14:paraId="192E7BCE">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地址：</w:t>
            </w:r>
          </w:p>
        </w:tc>
      </w:tr>
      <w:tr w14:paraId="58468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40" w:type="dxa"/>
            <w:tcMar>
              <w:top w:w="60" w:type="dxa"/>
              <w:left w:w="120" w:type="dxa"/>
              <w:bottom w:w="30" w:type="dxa"/>
              <w:right w:w="120" w:type="dxa"/>
            </w:tcMar>
          </w:tcPr>
          <w:p w14:paraId="6DEA877B">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联系电话：</w:t>
            </w:r>
          </w:p>
        </w:tc>
        <w:tc>
          <w:tcPr>
            <w:tcW w:w="4771" w:type="dxa"/>
            <w:tcMar>
              <w:top w:w="60" w:type="dxa"/>
              <w:left w:w="120" w:type="dxa"/>
              <w:bottom w:w="30" w:type="dxa"/>
              <w:right w:w="120" w:type="dxa"/>
            </w:tcMar>
          </w:tcPr>
          <w:p w14:paraId="119F1C56">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联系电话：</w:t>
            </w:r>
          </w:p>
        </w:tc>
      </w:tr>
      <w:tr w14:paraId="25847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40" w:type="dxa"/>
            <w:tcMar>
              <w:top w:w="60" w:type="dxa"/>
              <w:left w:w="120" w:type="dxa"/>
              <w:bottom w:w="30" w:type="dxa"/>
              <w:right w:w="120" w:type="dxa"/>
            </w:tcMar>
          </w:tcPr>
          <w:p w14:paraId="65027D79">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日期</w:t>
            </w:r>
            <w:r>
              <w:rPr>
                <w:rFonts w:hint="eastAsia" w:ascii="仿宋" w:hAnsi="仿宋" w:eastAsia="仿宋" w:cs="仿宋"/>
                <w:sz w:val="21"/>
                <w:szCs w:val="21"/>
                <w:highlight w:val="none"/>
              </w:rPr>
              <w:t>：</w:t>
            </w:r>
          </w:p>
        </w:tc>
        <w:tc>
          <w:tcPr>
            <w:tcW w:w="4771" w:type="dxa"/>
            <w:tcMar>
              <w:top w:w="60" w:type="dxa"/>
              <w:left w:w="120" w:type="dxa"/>
              <w:bottom w:w="30" w:type="dxa"/>
              <w:right w:w="120" w:type="dxa"/>
            </w:tcMar>
          </w:tcPr>
          <w:p w14:paraId="433BD628">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日期</w:t>
            </w:r>
            <w:r>
              <w:rPr>
                <w:rFonts w:hint="eastAsia" w:ascii="仿宋" w:hAnsi="仿宋" w:eastAsia="仿宋" w:cs="仿宋"/>
                <w:sz w:val="21"/>
                <w:szCs w:val="21"/>
                <w:highlight w:val="none"/>
              </w:rPr>
              <w:t>：</w:t>
            </w:r>
          </w:p>
        </w:tc>
      </w:tr>
    </w:tbl>
    <w:p w14:paraId="2DAEC262">
      <w:pPr>
        <w:spacing w:before="320" w:after="120" w:line="360" w:lineRule="auto"/>
        <w:ind w:left="0"/>
        <w:jc w:val="both"/>
        <w:outlineLvl w:val="1"/>
        <w:rPr>
          <w:rFonts w:hint="eastAsia" w:ascii="仿宋" w:hAnsi="仿宋" w:eastAsia="仿宋" w:cs="仿宋"/>
          <w:sz w:val="21"/>
          <w:szCs w:val="21"/>
          <w:highlight w:val="none"/>
        </w:rPr>
      </w:pPr>
      <w:bookmarkStart w:id="20" w:name="heading_20"/>
      <w:r>
        <w:rPr>
          <w:rFonts w:hint="eastAsia" w:ascii="仿宋" w:hAnsi="仿宋" w:eastAsia="仿宋" w:cs="仿宋"/>
          <w:b/>
          <w:sz w:val="21"/>
          <w:szCs w:val="21"/>
          <w:highlight w:val="none"/>
        </w:rPr>
        <w:br w:type="page"/>
      </w:r>
      <w:r>
        <w:rPr>
          <w:rFonts w:hint="eastAsia" w:ascii="仿宋" w:hAnsi="仿宋" w:eastAsia="仿宋" w:cs="仿宋"/>
          <w:b/>
          <w:sz w:val="21"/>
          <w:szCs w:val="21"/>
          <w:highlight w:val="none"/>
        </w:rPr>
        <w:t>附件：安全生产责任书</w:t>
      </w:r>
      <w:bookmarkEnd w:id="20"/>
    </w:p>
    <w:p w14:paraId="397C2079">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为在</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u w:val="single"/>
        </w:rPr>
        <w:t>侦查中心建设项目</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rPr>
        <w:t>施工合同的实施过程中创造安全、高效的施工环境，切实做好本项目的安全管理工作，本项目</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u w:val="single"/>
        </w:rPr>
        <w:t>渭南市公安局</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rPr>
        <w:t>（以下简称“甲方”）与</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（以下简称“乙方”）特此签订安全生产责任书：</w:t>
      </w:r>
    </w:p>
    <w:p w14:paraId="2327E90D">
      <w:pPr>
        <w:spacing w:before="300" w:after="120" w:line="360" w:lineRule="auto"/>
        <w:ind w:left="0"/>
        <w:jc w:val="both"/>
        <w:outlineLvl w:val="2"/>
        <w:rPr>
          <w:rFonts w:hint="eastAsia" w:ascii="仿宋" w:hAnsi="仿宋" w:eastAsia="仿宋" w:cs="仿宋"/>
          <w:sz w:val="21"/>
          <w:szCs w:val="21"/>
          <w:highlight w:val="none"/>
        </w:rPr>
      </w:pPr>
      <w:bookmarkStart w:id="21" w:name="heading_21"/>
      <w:r>
        <w:rPr>
          <w:rFonts w:hint="eastAsia" w:ascii="仿宋" w:hAnsi="仿宋" w:eastAsia="仿宋" w:cs="仿宋"/>
          <w:b/>
          <w:sz w:val="21"/>
          <w:szCs w:val="21"/>
          <w:highlight w:val="none"/>
        </w:rPr>
        <w:t>1.甲方职责</w:t>
      </w:r>
      <w:bookmarkEnd w:id="21"/>
    </w:p>
    <w:p w14:paraId="60973FB7">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（1）严格遵守国家有关安全生产的法律法规，认真执行工程承包合同中的有关安全要求。</w:t>
      </w:r>
    </w:p>
    <w:p w14:paraId="339E7521">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（2）按照“安全第一、预防为主 ”和坚持“ 管生产必须管安全 ”的原则进行安全生产管理，做到生产与安全工作同时计划、布置、检查、总结和评比。</w:t>
      </w:r>
    </w:p>
    <w:p w14:paraId="62E98A41">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（3）重要的安全设施必须坚持与主体工程“三同时 ”的原则，即：同时设计、审批，同时施工，同时验收，投入使用。</w:t>
      </w:r>
    </w:p>
    <w:p w14:paraId="2CBC9689">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（4）定期召开安全生产调度会，及时传达中央及地方有关安全生产的精神。</w:t>
      </w:r>
    </w:p>
    <w:p w14:paraId="75F4BAEE">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（5）组织对乙方施工现场安全生产检查，监督乙方及时处理发现的各种安全隐患。</w:t>
      </w:r>
      <w:bookmarkStart w:id="22" w:name="heading_22"/>
    </w:p>
    <w:p w14:paraId="64B925E0">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b/>
          <w:sz w:val="21"/>
          <w:szCs w:val="21"/>
          <w:highlight w:val="none"/>
        </w:rPr>
        <w:t>2.乙方职责</w:t>
      </w:r>
      <w:bookmarkEnd w:id="22"/>
    </w:p>
    <w:p w14:paraId="0AAD99B3">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（1）严格遵守《中华人民共和国安全生产法》、《建设工程安全生产管理条例》等国家有关安全生产的法律法规的规定。认真执行工程承包合同中的有关安全要求。</w:t>
      </w:r>
    </w:p>
    <w:p w14:paraId="22353E2D">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2EC74269">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规定的最低数量和资质条件配备专职安全生产管理人员，专职负责所有员工的安全和治安保卫工作及预防事故的发生。安全机构人员有权按有关规定发布指令，并采取保护性措施防止事故发生。</w:t>
      </w:r>
    </w:p>
    <w:p w14:paraId="2AFFC774">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（4）乙方在任何时候都应采取各种合理的预防措施，防止其员工发生任何违法、违禁、暴力或妨碍治安的行为。</w:t>
      </w:r>
    </w:p>
    <w:p w14:paraId="08485738">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（5）乙方必须具有劳动安全管理部门颁发的安全生产考核合格证书，参加施工的人员，必须接受安全技术教育，熟知和遵守本工种的各项安全技术操作规程，定期进行安全技术考核，合格者方准上岗操作。</w:t>
      </w:r>
    </w:p>
    <w:p w14:paraId="0EFCCBF3">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36A615D1">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（7）操作人员上岗，必须按规定穿戴防护用品。施工负责人和安全检查员应随时检查劳动防护用品的穿戴情况，不按规定穿戴防护用品的人员不得上岗。</w:t>
      </w:r>
    </w:p>
    <w:p w14:paraId="768A035B">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（8）所有施工机具设备和高空作业的设备均应定期检查，并有安全员的签字记录，保证其经常处于完好状态；不合格的机具、设备和劳动保护用品严禁使用。</w:t>
      </w:r>
    </w:p>
    <w:p w14:paraId="2A8E89DD">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（9）施工中采用新技术、新工艺、新设备、新材料时，必须制定相应的安全技术措施，施工现场必须具有相关的安全标志牌。</w:t>
      </w:r>
    </w:p>
    <w:p w14:paraId="4D63B5C0">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10）乙方必须按照本工程项目特点，组织制定本工程实施中的生产安全事故应急救援预案；如果发生安全事故，应按照《国务院关于特大安全事故行政责任追究的规定》以及其他有关规定，及时上报有关部门，并坚持“ 四不放过 ”的原则．严肃处理相关责任人。</w:t>
      </w:r>
    </w:p>
    <w:p w14:paraId="14A5F8D5">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（11）按照《陕西省水利工程建设安全生产责任保险实施意见（试行）》，项目开工前施工单位须完成工程安全责任险投保及备案工作。</w:t>
      </w:r>
    </w:p>
    <w:p w14:paraId="0E1A21D2">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12）乙方应对乙方工作人员（包括临时雇请的民工）的人身、财产权益负责，非因甲方原因导致前述主体人身、财产损害，乙方承担全部责任；因前述主体致甲方、第三方人身、财产权益遭受损害的，乙方应承担全部责任。</w:t>
      </w:r>
    </w:p>
    <w:p w14:paraId="54278E8E">
      <w:pPr>
        <w:spacing w:before="300" w:after="120" w:line="360" w:lineRule="auto"/>
        <w:ind w:left="0"/>
        <w:jc w:val="both"/>
        <w:outlineLvl w:val="2"/>
        <w:rPr>
          <w:rFonts w:hint="eastAsia" w:ascii="仿宋" w:hAnsi="仿宋" w:eastAsia="仿宋" w:cs="仿宋"/>
          <w:sz w:val="21"/>
          <w:szCs w:val="21"/>
          <w:highlight w:val="none"/>
        </w:rPr>
      </w:pPr>
      <w:bookmarkStart w:id="23" w:name="heading_23"/>
      <w:r>
        <w:rPr>
          <w:rFonts w:hint="eastAsia" w:ascii="仿宋" w:hAnsi="仿宋" w:eastAsia="仿宋" w:cs="仿宋"/>
          <w:b/>
          <w:sz w:val="21"/>
          <w:szCs w:val="21"/>
          <w:highlight w:val="none"/>
        </w:rPr>
        <w:t>3.违约责任</w:t>
      </w:r>
      <w:bookmarkEnd w:id="23"/>
    </w:p>
    <w:p w14:paraId="74514BCF">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如因乙方违约造成安全事故，将依法追究责任。</w:t>
      </w:r>
    </w:p>
    <w:p w14:paraId="4E169032">
      <w:pPr>
        <w:spacing w:before="300" w:after="120" w:line="360" w:lineRule="auto"/>
        <w:ind w:left="0"/>
        <w:jc w:val="both"/>
        <w:outlineLvl w:val="2"/>
        <w:rPr>
          <w:rFonts w:hint="eastAsia" w:ascii="仿宋" w:hAnsi="仿宋" w:eastAsia="仿宋" w:cs="仿宋"/>
          <w:sz w:val="21"/>
          <w:szCs w:val="21"/>
          <w:highlight w:val="none"/>
        </w:rPr>
      </w:pPr>
      <w:bookmarkStart w:id="24" w:name="heading_24"/>
      <w:r>
        <w:rPr>
          <w:rFonts w:hint="eastAsia" w:ascii="仿宋" w:hAnsi="仿宋" w:eastAsia="仿宋" w:cs="仿宋"/>
          <w:b/>
          <w:sz w:val="21"/>
          <w:szCs w:val="21"/>
          <w:highlight w:val="none"/>
        </w:rPr>
        <w:t>4.其他</w:t>
      </w:r>
      <w:bookmarkEnd w:id="24"/>
    </w:p>
    <w:p w14:paraId="02566D62">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本责任书由双方法定代表人或其授权的代理人签署并加盖单位公章后生效，附件具有同等效力，全部工程竣工验收合格后失效。</w:t>
      </w:r>
    </w:p>
    <w:p w14:paraId="22449EAB">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本安全生产责任书份数同项目施工合同书。</w:t>
      </w:r>
    </w:p>
    <w:p w14:paraId="5F4D4BB4">
      <w:pPr>
        <w:spacing w:before="300" w:after="120" w:line="360" w:lineRule="auto"/>
        <w:ind w:left="0"/>
        <w:jc w:val="both"/>
        <w:outlineLvl w:val="2"/>
        <w:rPr>
          <w:rFonts w:hint="eastAsia" w:ascii="仿宋" w:hAnsi="仿宋" w:eastAsia="仿宋" w:cs="仿宋"/>
          <w:sz w:val="21"/>
          <w:szCs w:val="21"/>
          <w:highlight w:val="none"/>
        </w:rPr>
      </w:pPr>
      <w:bookmarkStart w:id="25" w:name="heading_25"/>
      <w:r>
        <w:rPr>
          <w:rFonts w:hint="eastAsia" w:ascii="仿宋" w:hAnsi="仿宋" w:eastAsia="仿宋" w:cs="仿宋"/>
          <w:b/>
          <w:sz w:val="21"/>
          <w:szCs w:val="21"/>
          <w:highlight w:val="none"/>
        </w:rPr>
        <w:t>5.附件：建设工程安全防护、文明施工措施项目明细</w:t>
      </w:r>
      <w:bookmarkEnd w:id="25"/>
    </w:p>
    <w:tbl>
      <w:tblPr>
        <w:tblStyle w:val="2"/>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735"/>
        <w:gridCol w:w="5114"/>
      </w:tblGrid>
      <w:tr w14:paraId="1FC65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42" w:hRule="atLeast"/>
        </w:trPr>
        <w:tc>
          <w:tcPr>
            <w:tcW w:w="4735" w:type="dxa"/>
            <w:tcMar>
              <w:top w:w="60" w:type="dxa"/>
              <w:left w:w="120" w:type="dxa"/>
              <w:bottom w:w="30" w:type="dxa"/>
              <w:right w:w="120" w:type="dxa"/>
            </w:tcMar>
          </w:tcPr>
          <w:p w14:paraId="071C6344">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甲方: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(盖单位章)</w:t>
            </w:r>
          </w:p>
        </w:tc>
        <w:tc>
          <w:tcPr>
            <w:tcW w:w="5114" w:type="dxa"/>
            <w:tcMar>
              <w:top w:w="60" w:type="dxa"/>
              <w:left w:w="120" w:type="dxa"/>
              <w:bottom w:w="30" w:type="dxa"/>
              <w:right w:w="120" w:type="dxa"/>
            </w:tcMar>
          </w:tcPr>
          <w:p w14:paraId="70996106">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乙方: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(盖单位章)</w:t>
            </w:r>
          </w:p>
        </w:tc>
      </w:tr>
      <w:tr w14:paraId="4FA4A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5" w:hRule="atLeast"/>
        </w:trPr>
        <w:tc>
          <w:tcPr>
            <w:tcW w:w="4735" w:type="dxa"/>
            <w:tcMar>
              <w:top w:w="60" w:type="dxa"/>
              <w:left w:w="120" w:type="dxa"/>
              <w:bottom w:w="30" w:type="dxa"/>
              <w:right w:w="120" w:type="dxa"/>
            </w:tcMar>
          </w:tcPr>
          <w:p w14:paraId="753394CF">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法定代表人或其委托代理人：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(签字)</w:t>
            </w:r>
          </w:p>
        </w:tc>
        <w:tc>
          <w:tcPr>
            <w:tcW w:w="5114" w:type="dxa"/>
            <w:tcMar>
              <w:top w:w="60" w:type="dxa"/>
              <w:left w:w="120" w:type="dxa"/>
              <w:bottom w:w="30" w:type="dxa"/>
              <w:right w:w="120" w:type="dxa"/>
            </w:tcMar>
          </w:tcPr>
          <w:p w14:paraId="4F260606">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法定代表人或其委托代理人：</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 xml:space="preserve"> (签字）</w:t>
            </w:r>
          </w:p>
        </w:tc>
      </w:tr>
      <w:tr w14:paraId="3C4C2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7" w:hRule="atLeast"/>
        </w:trPr>
        <w:tc>
          <w:tcPr>
            <w:tcW w:w="4735" w:type="dxa"/>
            <w:tcMar>
              <w:top w:w="60" w:type="dxa"/>
              <w:left w:w="120" w:type="dxa"/>
              <w:bottom w:w="30" w:type="dxa"/>
              <w:right w:w="120" w:type="dxa"/>
            </w:tcMar>
          </w:tcPr>
          <w:p w14:paraId="730A25F0">
            <w:pPr>
              <w:spacing w:before="120" w:after="120" w:line="360" w:lineRule="auto"/>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年</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 xml:space="preserve">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月</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 xml:space="preserve">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日</w:t>
            </w:r>
          </w:p>
        </w:tc>
        <w:tc>
          <w:tcPr>
            <w:tcW w:w="5114" w:type="dxa"/>
            <w:tcMar>
              <w:top w:w="60" w:type="dxa"/>
              <w:left w:w="120" w:type="dxa"/>
              <w:bottom w:w="30" w:type="dxa"/>
              <w:right w:w="120" w:type="dxa"/>
            </w:tcMar>
          </w:tcPr>
          <w:p w14:paraId="4880A8CE">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 xml:space="preserve">年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月</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 xml:space="preserve"> 日</w:t>
            </w:r>
          </w:p>
        </w:tc>
      </w:tr>
    </w:tbl>
    <w:p w14:paraId="385E3BD2">
      <w:pPr>
        <w:spacing w:before="320" w:after="120" w:line="360" w:lineRule="auto"/>
        <w:ind w:left="0"/>
        <w:jc w:val="both"/>
        <w:outlineLvl w:val="1"/>
        <w:rPr>
          <w:rFonts w:hint="eastAsia" w:ascii="仿宋" w:hAnsi="仿宋" w:eastAsia="仿宋" w:cs="仿宋"/>
          <w:sz w:val="21"/>
          <w:szCs w:val="21"/>
          <w:highlight w:val="none"/>
        </w:rPr>
      </w:pPr>
      <w:bookmarkStart w:id="26" w:name="heading_26"/>
      <w:r>
        <w:rPr>
          <w:rFonts w:hint="eastAsia" w:ascii="仿宋" w:hAnsi="仿宋" w:eastAsia="仿宋" w:cs="仿宋"/>
          <w:b/>
          <w:sz w:val="21"/>
          <w:szCs w:val="21"/>
          <w:highlight w:val="none"/>
        </w:rPr>
        <w:br w:type="page"/>
      </w:r>
      <w:r>
        <w:rPr>
          <w:rFonts w:hint="eastAsia" w:ascii="仿宋" w:hAnsi="仿宋" w:eastAsia="仿宋" w:cs="仿宋"/>
          <w:b/>
          <w:sz w:val="21"/>
          <w:szCs w:val="21"/>
          <w:highlight w:val="none"/>
        </w:rPr>
        <w:t>附件：建设工程安全防护、文明施工措施项目明细</w:t>
      </w:r>
      <w:bookmarkEnd w:id="26"/>
    </w:p>
    <w:tbl>
      <w:tblPr>
        <w:tblStyle w:val="2"/>
        <w:tblW w:w="0" w:type="auto"/>
        <w:tblInd w:w="0" w:type="dxa"/>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Layout w:type="fixed"/>
        <w:tblCellMar>
          <w:top w:w="0" w:type="dxa"/>
          <w:left w:w="10" w:type="dxa"/>
          <w:bottom w:w="0" w:type="dxa"/>
          <w:right w:w="10" w:type="dxa"/>
        </w:tblCellMar>
      </w:tblPr>
      <w:tblGrid>
        <w:gridCol w:w="1894"/>
        <w:gridCol w:w="2259"/>
        <w:gridCol w:w="5512"/>
      </w:tblGrid>
      <w:tr w14:paraId="17C349F4">
        <w:tblPrEx>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CellMar>
            <w:top w:w="0" w:type="dxa"/>
            <w:left w:w="10" w:type="dxa"/>
            <w:bottom w:w="0" w:type="dxa"/>
            <w:right w:w="10" w:type="dxa"/>
          </w:tblCellMar>
        </w:tblPrEx>
        <w:tc>
          <w:tcPr>
            <w:tcW w:w="1894" w:type="dxa"/>
            <w:tcBorders>
              <w:bottom w:val="single" w:color="auto" w:sz="4" w:space="0"/>
              <w:right w:val="single" w:color="auto" w:sz="4" w:space="0"/>
            </w:tcBorders>
            <w:tcMar>
              <w:top w:w="60" w:type="dxa"/>
              <w:left w:w="120" w:type="dxa"/>
              <w:bottom w:w="30" w:type="dxa"/>
              <w:right w:w="120" w:type="dxa"/>
            </w:tcMar>
          </w:tcPr>
          <w:p w14:paraId="5FB3B023">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类别</w:t>
            </w:r>
          </w:p>
        </w:tc>
        <w:tc>
          <w:tcPr>
            <w:tcW w:w="2259" w:type="dxa"/>
            <w:tcBorders>
              <w:left w:val="single" w:color="auto" w:sz="4" w:space="0"/>
              <w:bottom w:val="single" w:color="auto" w:sz="4" w:space="0"/>
              <w:right w:val="single" w:color="auto" w:sz="4" w:space="0"/>
            </w:tcBorders>
            <w:tcMar>
              <w:top w:w="60" w:type="dxa"/>
              <w:left w:w="120" w:type="dxa"/>
              <w:bottom w:w="30" w:type="dxa"/>
              <w:right w:w="120" w:type="dxa"/>
            </w:tcMar>
          </w:tcPr>
          <w:p w14:paraId="0A0E0C8A">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项目名称</w:t>
            </w:r>
          </w:p>
        </w:tc>
        <w:tc>
          <w:tcPr>
            <w:tcW w:w="5512" w:type="dxa"/>
            <w:tcBorders>
              <w:left w:val="single" w:color="auto" w:sz="4" w:space="0"/>
              <w:bottom w:val="single" w:color="auto" w:sz="4" w:space="0"/>
            </w:tcBorders>
            <w:tcMar>
              <w:top w:w="60" w:type="dxa"/>
              <w:left w:w="120" w:type="dxa"/>
              <w:bottom w:w="30" w:type="dxa"/>
              <w:right w:w="120" w:type="dxa"/>
            </w:tcMar>
          </w:tcPr>
          <w:p w14:paraId="26D132DB">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具体要求</w:t>
            </w:r>
          </w:p>
        </w:tc>
      </w:tr>
      <w:tr w14:paraId="62E09A91">
        <w:tblPrEx>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CellMar>
            <w:top w:w="0" w:type="dxa"/>
            <w:left w:w="10" w:type="dxa"/>
            <w:bottom w:w="0" w:type="dxa"/>
            <w:right w:w="10" w:type="dxa"/>
          </w:tblCellMar>
        </w:tblPrEx>
        <w:tc>
          <w:tcPr>
            <w:tcW w:w="1894" w:type="dxa"/>
            <w:vMerge w:val="restart"/>
            <w:tcBorders>
              <w:top w:val="single" w:color="auto" w:sz="4" w:space="0"/>
              <w:bottom w:val="single" w:color="auto" w:sz="4" w:space="0"/>
              <w:right w:val="single" w:color="auto" w:sz="4" w:space="0"/>
            </w:tcBorders>
            <w:tcMar>
              <w:top w:w="60" w:type="dxa"/>
              <w:left w:w="120" w:type="dxa"/>
              <w:bottom w:w="30" w:type="dxa"/>
              <w:right w:w="120" w:type="dxa"/>
            </w:tcMar>
          </w:tcPr>
          <w:p w14:paraId="7FDFB30B">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文明施工与 环境保护</w:t>
            </w:r>
          </w:p>
        </w:tc>
        <w:tc>
          <w:tcPr>
            <w:tcW w:w="22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FE5A502">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安全警示标志牌</w:t>
            </w:r>
          </w:p>
        </w:tc>
        <w:tc>
          <w:tcPr>
            <w:tcW w:w="5512" w:type="dxa"/>
            <w:tcBorders>
              <w:top w:val="single" w:color="auto" w:sz="4" w:space="0"/>
              <w:left w:val="single" w:color="auto" w:sz="4" w:space="0"/>
              <w:bottom w:val="single" w:color="auto" w:sz="4" w:space="0"/>
            </w:tcBorders>
            <w:tcMar>
              <w:top w:w="60" w:type="dxa"/>
              <w:left w:w="120" w:type="dxa"/>
              <w:bottom w:w="30" w:type="dxa"/>
              <w:right w:w="120" w:type="dxa"/>
            </w:tcMar>
          </w:tcPr>
          <w:p w14:paraId="52BDFE61">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在易发伤亡事故（或危险）处设置明显的、符合国家标准要求的安全警示标志牌。</w:t>
            </w:r>
          </w:p>
        </w:tc>
      </w:tr>
      <w:tr w14:paraId="20ED917F">
        <w:tblPrEx>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CellMar>
            <w:top w:w="0" w:type="dxa"/>
            <w:left w:w="10" w:type="dxa"/>
            <w:bottom w:w="0" w:type="dxa"/>
            <w:right w:w="10" w:type="dxa"/>
          </w:tblCellMar>
        </w:tblPrEx>
        <w:tc>
          <w:tcPr>
            <w:tcW w:w="1894" w:type="dxa"/>
            <w:vMerge w:val="continue"/>
            <w:tcBorders>
              <w:top w:val="single" w:color="auto" w:sz="4" w:space="0"/>
              <w:bottom w:val="single" w:color="auto" w:sz="4" w:space="0"/>
              <w:right w:val="single" w:color="auto" w:sz="4" w:space="0"/>
            </w:tcBorders>
            <w:tcMar>
              <w:top w:w="60" w:type="dxa"/>
              <w:left w:w="120" w:type="dxa"/>
              <w:bottom w:w="30" w:type="dxa"/>
              <w:right w:w="120" w:type="dxa"/>
            </w:tcMar>
          </w:tcPr>
          <w:p w14:paraId="16111D04">
            <w:pPr>
              <w:spacing w:before="120" w:after="120" w:line="360" w:lineRule="auto"/>
              <w:ind w:left="0"/>
              <w:jc w:val="both"/>
              <w:rPr>
                <w:rFonts w:hint="eastAsia" w:ascii="仿宋" w:hAnsi="仿宋" w:eastAsia="仿宋" w:cs="仿宋"/>
                <w:sz w:val="21"/>
                <w:szCs w:val="21"/>
                <w:highlight w:val="none"/>
              </w:rPr>
            </w:pPr>
          </w:p>
        </w:tc>
        <w:tc>
          <w:tcPr>
            <w:tcW w:w="22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BB9E9DA">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现场围挡</w:t>
            </w:r>
          </w:p>
        </w:tc>
        <w:tc>
          <w:tcPr>
            <w:tcW w:w="5512" w:type="dxa"/>
            <w:tcBorders>
              <w:top w:val="single" w:color="auto" w:sz="4" w:space="0"/>
              <w:left w:val="single" w:color="auto" w:sz="4" w:space="0"/>
              <w:bottom w:val="single" w:color="auto" w:sz="4" w:space="0"/>
            </w:tcBorders>
            <w:tcMar>
              <w:top w:w="60" w:type="dxa"/>
              <w:left w:w="120" w:type="dxa"/>
              <w:bottom w:w="30" w:type="dxa"/>
              <w:right w:w="120" w:type="dxa"/>
            </w:tcMar>
          </w:tcPr>
          <w:p w14:paraId="1B04AD0D">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（1）现场采用封闭围挡，高度不小于1.8m；（2）围挡材料可采用彩色、定型钢板，砖、砼砌块等墙体。</w:t>
            </w:r>
          </w:p>
        </w:tc>
      </w:tr>
      <w:tr w14:paraId="039BDFD6">
        <w:tblPrEx>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CellMar>
            <w:top w:w="0" w:type="dxa"/>
            <w:left w:w="10" w:type="dxa"/>
            <w:bottom w:w="0" w:type="dxa"/>
            <w:right w:w="10" w:type="dxa"/>
          </w:tblCellMar>
        </w:tblPrEx>
        <w:tc>
          <w:tcPr>
            <w:tcW w:w="1894" w:type="dxa"/>
            <w:vMerge w:val="continue"/>
            <w:tcBorders>
              <w:top w:val="single" w:color="auto" w:sz="4" w:space="0"/>
              <w:bottom w:val="single" w:color="auto" w:sz="4" w:space="0"/>
              <w:right w:val="single" w:color="auto" w:sz="4" w:space="0"/>
            </w:tcBorders>
            <w:tcMar>
              <w:top w:w="60" w:type="dxa"/>
              <w:left w:w="120" w:type="dxa"/>
              <w:bottom w:w="30" w:type="dxa"/>
              <w:right w:w="120" w:type="dxa"/>
            </w:tcMar>
          </w:tcPr>
          <w:p w14:paraId="20D31B3A">
            <w:pPr>
              <w:spacing w:before="120" w:after="120" w:line="360" w:lineRule="auto"/>
              <w:ind w:left="0"/>
              <w:jc w:val="both"/>
              <w:rPr>
                <w:rFonts w:hint="eastAsia" w:ascii="仿宋" w:hAnsi="仿宋" w:eastAsia="仿宋" w:cs="仿宋"/>
                <w:sz w:val="21"/>
                <w:szCs w:val="21"/>
                <w:highlight w:val="none"/>
              </w:rPr>
            </w:pPr>
          </w:p>
        </w:tc>
        <w:tc>
          <w:tcPr>
            <w:tcW w:w="22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70946C91">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治污减霾</w:t>
            </w:r>
          </w:p>
        </w:tc>
        <w:tc>
          <w:tcPr>
            <w:tcW w:w="5512" w:type="dxa"/>
            <w:tcBorders>
              <w:top w:val="single" w:color="auto" w:sz="4" w:space="0"/>
              <w:left w:val="single" w:color="auto" w:sz="4" w:space="0"/>
              <w:bottom w:val="single" w:color="auto" w:sz="4" w:space="0"/>
            </w:tcBorders>
            <w:tcMar>
              <w:top w:w="60" w:type="dxa"/>
              <w:left w:w="120" w:type="dxa"/>
              <w:bottom w:w="30" w:type="dxa"/>
              <w:right w:w="120" w:type="dxa"/>
            </w:tcMar>
          </w:tcPr>
          <w:p w14:paraId="673DB744">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（1）公示牌；（2）密目网等其他措施、材料。</w:t>
            </w:r>
          </w:p>
        </w:tc>
      </w:tr>
      <w:tr w14:paraId="544FF321">
        <w:tblPrEx>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CellMar>
            <w:top w:w="0" w:type="dxa"/>
            <w:left w:w="10" w:type="dxa"/>
            <w:bottom w:w="0" w:type="dxa"/>
            <w:right w:w="10" w:type="dxa"/>
          </w:tblCellMar>
        </w:tblPrEx>
        <w:tc>
          <w:tcPr>
            <w:tcW w:w="1894" w:type="dxa"/>
            <w:vMerge w:val="continue"/>
            <w:tcBorders>
              <w:top w:val="single" w:color="auto" w:sz="4" w:space="0"/>
              <w:bottom w:val="single" w:color="auto" w:sz="4" w:space="0"/>
              <w:right w:val="single" w:color="auto" w:sz="4" w:space="0"/>
            </w:tcBorders>
            <w:tcMar>
              <w:top w:w="60" w:type="dxa"/>
              <w:left w:w="120" w:type="dxa"/>
              <w:bottom w:w="30" w:type="dxa"/>
              <w:right w:w="120" w:type="dxa"/>
            </w:tcMar>
          </w:tcPr>
          <w:p w14:paraId="7E4C546D">
            <w:pPr>
              <w:spacing w:before="120" w:after="120" w:line="360" w:lineRule="auto"/>
              <w:ind w:left="0"/>
              <w:jc w:val="both"/>
              <w:rPr>
                <w:rFonts w:hint="eastAsia" w:ascii="仿宋" w:hAnsi="仿宋" w:eastAsia="仿宋" w:cs="仿宋"/>
                <w:sz w:val="21"/>
                <w:szCs w:val="21"/>
                <w:highlight w:val="none"/>
              </w:rPr>
            </w:pPr>
          </w:p>
        </w:tc>
        <w:tc>
          <w:tcPr>
            <w:tcW w:w="22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434E995">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十牌二图</w:t>
            </w:r>
          </w:p>
        </w:tc>
        <w:tc>
          <w:tcPr>
            <w:tcW w:w="5512" w:type="dxa"/>
            <w:tcBorders>
              <w:top w:val="single" w:color="auto" w:sz="4" w:space="0"/>
              <w:left w:val="single" w:color="auto" w:sz="4" w:space="0"/>
              <w:bottom w:val="single" w:color="auto" w:sz="4" w:space="0"/>
            </w:tcBorders>
            <w:tcMar>
              <w:top w:w="60" w:type="dxa"/>
              <w:left w:w="120" w:type="dxa"/>
              <w:bottom w:w="30" w:type="dxa"/>
              <w:right w:w="120" w:type="dxa"/>
            </w:tcMar>
          </w:tcPr>
          <w:p w14:paraId="1E867C27">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包含工程概况牌、管理人员名单及监督电话牌、安全生产牌、消防保卫牌、文明施工牌、节能标识牌、治污减霾公示牌、治污减霾包抓牌、建筑企业进城劳务人员须知牌、维权信息告示牌及施工现场总平面图、工程效果图。</w:t>
            </w:r>
          </w:p>
        </w:tc>
      </w:tr>
      <w:tr w14:paraId="46DCD6B0">
        <w:tblPrEx>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CellMar>
            <w:top w:w="0" w:type="dxa"/>
            <w:left w:w="10" w:type="dxa"/>
            <w:bottom w:w="0" w:type="dxa"/>
            <w:right w:w="10" w:type="dxa"/>
          </w:tblCellMar>
        </w:tblPrEx>
        <w:tc>
          <w:tcPr>
            <w:tcW w:w="1894" w:type="dxa"/>
            <w:vMerge w:val="continue"/>
            <w:tcBorders>
              <w:top w:val="single" w:color="auto" w:sz="4" w:space="0"/>
              <w:bottom w:val="single" w:color="auto" w:sz="4" w:space="0"/>
              <w:right w:val="single" w:color="auto" w:sz="4" w:space="0"/>
            </w:tcBorders>
            <w:tcMar>
              <w:top w:w="60" w:type="dxa"/>
              <w:left w:w="120" w:type="dxa"/>
              <w:bottom w:w="30" w:type="dxa"/>
              <w:right w:w="120" w:type="dxa"/>
            </w:tcMar>
          </w:tcPr>
          <w:p w14:paraId="173B7F19">
            <w:pPr>
              <w:spacing w:before="120" w:after="120" w:line="360" w:lineRule="auto"/>
              <w:ind w:left="0"/>
              <w:jc w:val="both"/>
              <w:rPr>
                <w:rFonts w:hint="eastAsia" w:ascii="仿宋" w:hAnsi="仿宋" w:eastAsia="仿宋" w:cs="仿宋"/>
                <w:sz w:val="21"/>
                <w:szCs w:val="21"/>
                <w:highlight w:val="none"/>
              </w:rPr>
            </w:pPr>
          </w:p>
        </w:tc>
        <w:tc>
          <w:tcPr>
            <w:tcW w:w="22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52B3174">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企业标志</w:t>
            </w:r>
          </w:p>
        </w:tc>
        <w:tc>
          <w:tcPr>
            <w:tcW w:w="5512" w:type="dxa"/>
            <w:tcBorders>
              <w:top w:val="single" w:color="auto" w:sz="4" w:space="0"/>
              <w:left w:val="single" w:color="auto" w:sz="4" w:space="0"/>
              <w:bottom w:val="single" w:color="auto" w:sz="4" w:space="0"/>
            </w:tcBorders>
            <w:tcMar>
              <w:top w:w="60" w:type="dxa"/>
              <w:left w:w="120" w:type="dxa"/>
              <w:bottom w:w="30" w:type="dxa"/>
              <w:right w:w="120" w:type="dxa"/>
            </w:tcMar>
          </w:tcPr>
          <w:p w14:paraId="03B565B8">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现场出入的大门应设有本企业标识或企业标识。</w:t>
            </w:r>
          </w:p>
        </w:tc>
      </w:tr>
      <w:tr w14:paraId="1EB103A1">
        <w:tblPrEx>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CellMar>
            <w:top w:w="0" w:type="dxa"/>
            <w:left w:w="10" w:type="dxa"/>
            <w:bottom w:w="0" w:type="dxa"/>
            <w:right w:w="10" w:type="dxa"/>
          </w:tblCellMar>
        </w:tblPrEx>
        <w:tc>
          <w:tcPr>
            <w:tcW w:w="1894" w:type="dxa"/>
            <w:vMerge w:val="continue"/>
            <w:tcBorders>
              <w:top w:val="single" w:color="auto" w:sz="4" w:space="0"/>
              <w:bottom w:val="single" w:color="auto" w:sz="4" w:space="0"/>
              <w:right w:val="single" w:color="auto" w:sz="4" w:space="0"/>
            </w:tcBorders>
            <w:tcMar>
              <w:top w:w="60" w:type="dxa"/>
              <w:left w:w="120" w:type="dxa"/>
              <w:bottom w:w="30" w:type="dxa"/>
              <w:right w:w="120" w:type="dxa"/>
            </w:tcMar>
          </w:tcPr>
          <w:p w14:paraId="07F5266F">
            <w:pPr>
              <w:spacing w:before="120" w:after="120" w:line="360" w:lineRule="auto"/>
              <w:ind w:left="0"/>
              <w:jc w:val="both"/>
              <w:rPr>
                <w:rFonts w:hint="eastAsia" w:ascii="仿宋" w:hAnsi="仿宋" w:eastAsia="仿宋" w:cs="仿宋"/>
                <w:sz w:val="21"/>
                <w:szCs w:val="21"/>
                <w:highlight w:val="none"/>
              </w:rPr>
            </w:pPr>
          </w:p>
        </w:tc>
        <w:tc>
          <w:tcPr>
            <w:tcW w:w="22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1D8D5CE3">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场容场貌</w:t>
            </w:r>
          </w:p>
        </w:tc>
        <w:tc>
          <w:tcPr>
            <w:tcW w:w="5512" w:type="dxa"/>
            <w:tcBorders>
              <w:top w:val="single" w:color="auto" w:sz="4" w:space="0"/>
              <w:left w:val="single" w:color="auto" w:sz="4" w:space="0"/>
              <w:bottom w:val="single" w:color="auto" w:sz="4" w:space="0"/>
            </w:tcBorders>
            <w:tcMar>
              <w:top w:w="60" w:type="dxa"/>
              <w:left w:w="120" w:type="dxa"/>
              <w:bottom w:w="30" w:type="dxa"/>
              <w:right w:w="120" w:type="dxa"/>
            </w:tcMar>
          </w:tcPr>
          <w:p w14:paraId="2DEAE875">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（1）道路畅通；（2）排水沟、排水设施通畅；（3）工地场地干净整洁；（4）洒水，避免扬尘。</w:t>
            </w:r>
          </w:p>
        </w:tc>
      </w:tr>
      <w:tr w14:paraId="1EEDF2E4">
        <w:tblPrEx>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CellMar>
            <w:top w:w="0" w:type="dxa"/>
            <w:left w:w="10" w:type="dxa"/>
            <w:bottom w:w="0" w:type="dxa"/>
            <w:right w:w="10" w:type="dxa"/>
          </w:tblCellMar>
        </w:tblPrEx>
        <w:tc>
          <w:tcPr>
            <w:tcW w:w="1894" w:type="dxa"/>
            <w:vMerge w:val="continue"/>
            <w:tcBorders>
              <w:top w:val="single" w:color="auto" w:sz="4" w:space="0"/>
              <w:bottom w:val="single" w:color="auto" w:sz="4" w:space="0"/>
              <w:right w:val="single" w:color="auto" w:sz="4" w:space="0"/>
            </w:tcBorders>
            <w:tcMar>
              <w:top w:w="60" w:type="dxa"/>
              <w:left w:w="120" w:type="dxa"/>
              <w:bottom w:w="30" w:type="dxa"/>
              <w:right w:w="120" w:type="dxa"/>
            </w:tcMar>
          </w:tcPr>
          <w:p w14:paraId="149D4C11">
            <w:pPr>
              <w:spacing w:before="120" w:after="120" w:line="360" w:lineRule="auto"/>
              <w:ind w:left="0"/>
              <w:jc w:val="both"/>
              <w:rPr>
                <w:rFonts w:hint="eastAsia" w:ascii="仿宋" w:hAnsi="仿宋" w:eastAsia="仿宋" w:cs="仿宋"/>
                <w:sz w:val="21"/>
                <w:szCs w:val="21"/>
                <w:highlight w:val="none"/>
              </w:rPr>
            </w:pPr>
          </w:p>
        </w:tc>
        <w:tc>
          <w:tcPr>
            <w:tcW w:w="22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43282CE">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材料堆放</w:t>
            </w:r>
          </w:p>
        </w:tc>
        <w:tc>
          <w:tcPr>
            <w:tcW w:w="5512" w:type="dxa"/>
            <w:tcBorders>
              <w:top w:val="single" w:color="auto" w:sz="4" w:space="0"/>
              <w:left w:val="single" w:color="auto" w:sz="4" w:space="0"/>
              <w:bottom w:val="single" w:color="auto" w:sz="4" w:space="0"/>
            </w:tcBorders>
            <w:tcMar>
              <w:top w:w="60" w:type="dxa"/>
              <w:left w:w="120" w:type="dxa"/>
              <w:bottom w:w="30" w:type="dxa"/>
              <w:right w:w="120" w:type="dxa"/>
            </w:tcMar>
          </w:tcPr>
          <w:p w14:paraId="71CA43B2">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（1）材料、构件、料具等堆放时，悬挂有名称、品种、规格等标牌；（2）水泥和其他易飞扬细颗粒建筑材料应密闭存放或采取覆盖等措施；（3）易燃、易爆和有毒有害物品分类存放。</w:t>
            </w:r>
          </w:p>
        </w:tc>
      </w:tr>
      <w:tr w14:paraId="2D989828">
        <w:tblPrEx>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CellMar>
            <w:top w:w="0" w:type="dxa"/>
            <w:left w:w="10" w:type="dxa"/>
            <w:bottom w:w="0" w:type="dxa"/>
            <w:right w:w="10" w:type="dxa"/>
          </w:tblCellMar>
        </w:tblPrEx>
        <w:tc>
          <w:tcPr>
            <w:tcW w:w="1894" w:type="dxa"/>
            <w:vMerge w:val="continue"/>
            <w:tcBorders>
              <w:top w:val="single" w:color="auto" w:sz="4" w:space="0"/>
              <w:bottom w:val="single" w:color="auto" w:sz="4" w:space="0"/>
              <w:right w:val="single" w:color="auto" w:sz="4" w:space="0"/>
            </w:tcBorders>
            <w:tcMar>
              <w:top w:w="60" w:type="dxa"/>
              <w:left w:w="120" w:type="dxa"/>
              <w:bottom w:w="30" w:type="dxa"/>
              <w:right w:w="120" w:type="dxa"/>
            </w:tcMar>
          </w:tcPr>
          <w:p w14:paraId="24190F82">
            <w:pPr>
              <w:spacing w:before="120" w:after="120" w:line="360" w:lineRule="auto"/>
              <w:ind w:left="0"/>
              <w:jc w:val="both"/>
              <w:rPr>
                <w:rFonts w:hint="eastAsia" w:ascii="仿宋" w:hAnsi="仿宋" w:eastAsia="仿宋" w:cs="仿宋"/>
                <w:sz w:val="21"/>
                <w:szCs w:val="21"/>
                <w:highlight w:val="none"/>
              </w:rPr>
            </w:pPr>
          </w:p>
        </w:tc>
        <w:tc>
          <w:tcPr>
            <w:tcW w:w="22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EF28062">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现场防火</w:t>
            </w:r>
          </w:p>
        </w:tc>
        <w:tc>
          <w:tcPr>
            <w:tcW w:w="5512" w:type="dxa"/>
            <w:tcBorders>
              <w:top w:val="single" w:color="auto" w:sz="4" w:space="0"/>
              <w:left w:val="single" w:color="auto" w:sz="4" w:space="0"/>
              <w:bottom w:val="single" w:color="auto" w:sz="4" w:space="0"/>
            </w:tcBorders>
            <w:tcMar>
              <w:top w:w="60" w:type="dxa"/>
              <w:left w:w="120" w:type="dxa"/>
              <w:bottom w:w="30" w:type="dxa"/>
              <w:right w:w="120" w:type="dxa"/>
            </w:tcMar>
          </w:tcPr>
          <w:p w14:paraId="3615ACD6">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消防器材配置合理，符合消防要求。</w:t>
            </w:r>
          </w:p>
        </w:tc>
      </w:tr>
      <w:tr w14:paraId="0157755F">
        <w:tblPrEx>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CellMar>
            <w:top w:w="0" w:type="dxa"/>
            <w:left w:w="10" w:type="dxa"/>
            <w:bottom w:w="0" w:type="dxa"/>
            <w:right w:w="10" w:type="dxa"/>
          </w:tblCellMar>
        </w:tblPrEx>
        <w:tc>
          <w:tcPr>
            <w:tcW w:w="1894" w:type="dxa"/>
            <w:tcBorders>
              <w:top w:val="single" w:color="auto" w:sz="4" w:space="0"/>
              <w:bottom w:val="single" w:color="auto" w:sz="4" w:space="0"/>
              <w:right w:val="single" w:color="auto" w:sz="4" w:space="0"/>
            </w:tcBorders>
            <w:tcMar>
              <w:top w:w="60" w:type="dxa"/>
              <w:left w:w="120" w:type="dxa"/>
              <w:bottom w:w="30" w:type="dxa"/>
              <w:right w:w="120" w:type="dxa"/>
            </w:tcMar>
          </w:tcPr>
          <w:p w14:paraId="3FF88B8C">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文明施工与 环境保护</w:t>
            </w:r>
          </w:p>
        </w:tc>
        <w:tc>
          <w:tcPr>
            <w:tcW w:w="22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DF165A6">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垃圾清运</w:t>
            </w:r>
          </w:p>
        </w:tc>
        <w:tc>
          <w:tcPr>
            <w:tcW w:w="5512" w:type="dxa"/>
            <w:tcBorders>
              <w:top w:val="single" w:color="auto" w:sz="4" w:space="0"/>
              <w:left w:val="single" w:color="auto" w:sz="4" w:space="0"/>
              <w:bottom w:val="single" w:color="auto" w:sz="4" w:space="0"/>
            </w:tcBorders>
            <w:tcMar>
              <w:top w:w="60" w:type="dxa"/>
              <w:left w:w="120" w:type="dxa"/>
              <w:bottom w:w="30" w:type="dxa"/>
              <w:right w:w="120" w:type="dxa"/>
            </w:tcMar>
          </w:tcPr>
          <w:p w14:paraId="77B685F1">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施工现场应设置密闭式垃圾站，施工垃圾、生活垃圾应分类存放。施工垃圾必须采用相应容器或管道运输。</w:t>
            </w:r>
          </w:p>
        </w:tc>
      </w:tr>
      <w:tr w14:paraId="179D3FB2">
        <w:tblPrEx>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CellMar>
            <w:top w:w="0" w:type="dxa"/>
            <w:left w:w="10" w:type="dxa"/>
            <w:bottom w:w="0" w:type="dxa"/>
            <w:right w:w="10" w:type="dxa"/>
          </w:tblCellMar>
        </w:tblPrEx>
        <w:tc>
          <w:tcPr>
            <w:tcW w:w="1894" w:type="dxa"/>
            <w:vMerge w:val="restart"/>
            <w:tcBorders>
              <w:top w:val="single" w:color="auto" w:sz="4" w:space="0"/>
              <w:bottom w:val="single" w:color="auto" w:sz="4" w:space="0"/>
              <w:right w:val="single" w:color="auto" w:sz="4" w:space="0"/>
            </w:tcBorders>
            <w:tcMar>
              <w:top w:w="60" w:type="dxa"/>
              <w:left w:w="120" w:type="dxa"/>
              <w:bottom w:w="30" w:type="dxa"/>
              <w:right w:w="120" w:type="dxa"/>
            </w:tcMar>
          </w:tcPr>
          <w:p w14:paraId="42689111">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临时设施</w:t>
            </w:r>
          </w:p>
        </w:tc>
        <w:tc>
          <w:tcPr>
            <w:tcW w:w="22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69CDF39">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现场办公生活设施</w:t>
            </w:r>
          </w:p>
        </w:tc>
        <w:tc>
          <w:tcPr>
            <w:tcW w:w="5512" w:type="dxa"/>
            <w:tcBorders>
              <w:top w:val="single" w:color="auto" w:sz="4" w:space="0"/>
              <w:left w:val="single" w:color="auto" w:sz="4" w:space="0"/>
              <w:bottom w:val="single" w:color="auto" w:sz="4" w:space="0"/>
            </w:tcBorders>
            <w:tcMar>
              <w:top w:w="60" w:type="dxa"/>
              <w:left w:w="120" w:type="dxa"/>
              <w:bottom w:w="30" w:type="dxa"/>
              <w:right w:w="120" w:type="dxa"/>
            </w:tcMar>
          </w:tcPr>
          <w:p w14:paraId="479298A8">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（1）施工现场办公、生活区与作业区分开设置，保持安全距离；（2）工地办公室、现场宿舍、食堂、厕所、饮水、休息场所符合卫生和安全要求。</w:t>
            </w:r>
          </w:p>
        </w:tc>
      </w:tr>
      <w:tr w14:paraId="1CDCAFAB">
        <w:tblPrEx>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CellMar>
            <w:top w:w="0" w:type="dxa"/>
            <w:left w:w="10" w:type="dxa"/>
            <w:bottom w:w="0" w:type="dxa"/>
            <w:right w:w="10" w:type="dxa"/>
          </w:tblCellMar>
        </w:tblPrEx>
        <w:tc>
          <w:tcPr>
            <w:tcW w:w="1894" w:type="dxa"/>
            <w:vMerge w:val="continue"/>
            <w:tcBorders>
              <w:top w:val="single" w:color="auto" w:sz="4" w:space="0"/>
              <w:bottom w:val="single" w:color="auto" w:sz="4" w:space="0"/>
              <w:right w:val="single" w:color="auto" w:sz="4" w:space="0"/>
            </w:tcBorders>
            <w:tcMar>
              <w:top w:w="60" w:type="dxa"/>
              <w:left w:w="120" w:type="dxa"/>
              <w:bottom w:w="30" w:type="dxa"/>
              <w:right w:w="120" w:type="dxa"/>
            </w:tcMar>
          </w:tcPr>
          <w:p w14:paraId="2BECF617">
            <w:pPr>
              <w:spacing w:before="120" w:after="120" w:line="360" w:lineRule="auto"/>
              <w:ind w:left="0"/>
              <w:jc w:val="both"/>
              <w:rPr>
                <w:rFonts w:hint="eastAsia" w:ascii="仿宋" w:hAnsi="仿宋" w:eastAsia="仿宋" w:cs="仿宋"/>
                <w:sz w:val="21"/>
                <w:szCs w:val="21"/>
                <w:highlight w:val="none"/>
              </w:rPr>
            </w:pPr>
          </w:p>
        </w:tc>
        <w:tc>
          <w:tcPr>
            <w:tcW w:w="22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D80BB0F">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施工现场临时用电-配电线路</w:t>
            </w:r>
          </w:p>
        </w:tc>
        <w:tc>
          <w:tcPr>
            <w:tcW w:w="5512" w:type="dxa"/>
            <w:tcBorders>
              <w:top w:val="single" w:color="auto" w:sz="4" w:space="0"/>
              <w:left w:val="single" w:color="auto" w:sz="4" w:space="0"/>
              <w:bottom w:val="single" w:color="auto" w:sz="4" w:space="0"/>
            </w:tcBorders>
            <w:tcMar>
              <w:top w:w="60" w:type="dxa"/>
              <w:left w:w="120" w:type="dxa"/>
              <w:bottom w:w="30" w:type="dxa"/>
              <w:right w:w="120" w:type="dxa"/>
            </w:tcMar>
          </w:tcPr>
          <w:p w14:paraId="176A8731">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按照TN-S系统要求配备五芯电缆、四芯电缆和三芯电缆。（2）按要求架设临时用电线路的电杆、横担、瓷夹、瓷瓶等，或电缆埋地的地沟。（3）对靠近施工现场的外电线路，设置木质、塑料等绝缘体的防护设施。</w:t>
            </w:r>
          </w:p>
        </w:tc>
      </w:tr>
      <w:tr w14:paraId="0EE1E094">
        <w:tblPrEx>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CellMar>
            <w:top w:w="0" w:type="dxa"/>
            <w:left w:w="10" w:type="dxa"/>
            <w:bottom w:w="0" w:type="dxa"/>
            <w:right w:w="10" w:type="dxa"/>
          </w:tblCellMar>
        </w:tblPrEx>
        <w:tc>
          <w:tcPr>
            <w:tcW w:w="1894" w:type="dxa"/>
            <w:vMerge w:val="continue"/>
            <w:tcBorders>
              <w:top w:val="single" w:color="auto" w:sz="4" w:space="0"/>
              <w:bottom w:val="single" w:color="auto" w:sz="4" w:space="0"/>
              <w:right w:val="single" w:color="auto" w:sz="4" w:space="0"/>
            </w:tcBorders>
            <w:tcMar>
              <w:top w:w="60" w:type="dxa"/>
              <w:left w:w="120" w:type="dxa"/>
              <w:bottom w:w="30" w:type="dxa"/>
              <w:right w:w="120" w:type="dxa"/>
            </w:tcMar>
          </w:tcPr>
          <w:p w14:paraId="18827E48">
            <w:pPr>
              <w:spacing w:before="120" w:after="120" w:line="360" w:lineRule="auto"/>
              <w:ind w:left="0"/>
              <w:jc w:val="both"/>
              <w:rPr>
                <w:rFonts w:hint="eastAsia" w:ascii="仿宋" w:hAnsi="仿宋" w:eastAsia="仿宋" w:cs="仿宋"/>
                <w:sz w:val="21"/>
                <w:szCs w:val="21"/>
                <w:highlight w:val="none"/>
              </w:rPr>
            </w:pPr>
          </w:p>
        </w:tc>
        <w:tc>
          <w:tcPr>
            <w:tcW w:w="22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76A1751">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施工现场临时用电-配电箱开关箱</w:t>
            </w:r>
          </w:p>
        </w:tc>
        <w:tc>
          <w:tcPr>
            <w:tcW w:w="5512" w:type="dxa"/>
            <w:tcBorders>
              <w:top w:val="single" w:color="auto" w:sz="4" w:space="0"/>
              <w:left w:val="single" w:color="auto" w:sz="4" w:space="0"/>
              <w:bottom w:val="single" w:color="auto" w:sz="4" w:space="0"/>
            </w:tcBorders>
            <w:tcMar>
              <w:top w:w="60" w:type="dxa"/>
              <w:left w:w="120" w:type="dxa"/>
              <w:bottom w:w="30" w:type="dxa"/>
              <w:right w:w="120" w:type="dxa"/>
            </w:tcMar>
          </w:tcPr>
          <w:p w14:paraId="3306CC6C">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1）按三级配电要求，配备总配电箱、分配电箱、开关箱三类标准电箱。开关箱应符合一机、一箱、一闸、一漏。三类电箱中的各类电器应是合格品。（2）按两级保护的要求，选取符合容量要求和质量合格的总配电箱和开关箱中的漏电保护器。</w:t>
            </w:r>
          </w:p>
        </w:tc>
      </w:tr>
      <w:tr w14:paraId="2F4780DE">
        <w:tblPrEx>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CellMar>
            <w:top w:w="0" w:type="dxa"/>
            <w:left w:w="10" w:type="dxa"/>
            <w:bottom w:w="0" w:type="dxa"/>
            <w:right w:w="10" w:type="dxa"/>
          </w:tblCellMar>
        </w:tblPrEx>
        <w:tc>
          <w:tcPr>
            <w:tcW w:w="1894" w:type="dxa"/>
            <w:vMerge w:val="restart"/>
            <w:tcBorders>
              <w:top w:val="single" w:color="auto" w:sz="4" w:space="0"/>
              <w:bottom w:val="single" w:color="auto" w:sz="4" w:space="0"/>
              <w:right w:val="single" w:color="auto" w:sz="4" w:space="0"/>
            </w:tcBorders>
            <w:tcMar>
              <w:top w:w="60" w:type="dxa"/>
              <w:left w:w="120" w:type="dxa"/>
              <w:bottom w:w="30" w:type="dxa"/>
              <w:right w:w="120" w:type="dxa"/>
            </w:tcMar>
          </w:tcPr>
          <w:p w14:paraId="1FCEEBDF">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高处作业与临边防护</w:t>
            </w:r>
          </w:p>
        </w:tc>
        <w:tc>
          <w:tcPr>
            <w:tcW w:w="22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9B73E5A">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施工现场临时用电-接地保护装置</w:t>
            </w:r>
          </w:p>
        </w:tc>
        <w:tc>
          <w:tcPr>
            <w:tcW w:w="5512" w:type="dxa"/>
            <w:tcBorders>
              <w:top w:val="single" w:color="auto" w:sz="4" w:space="0"/>
              <w:left w:val="single" w:color="auto" w:sz="4" w:space="0"/>
              <w:bottom w:val="single" w:color="auto" w:sz="4" w:space="0"/>
            </w:tcBorders>
            <w:tcMar>
              <w:top w:w="60" w:type="dxa"/>
              <w:left w:w="120" w:type="dxa"/>
              <w:bottom w:w="30" w:type="dxa"/>
              <w:right w:w="120" w:type="dxa"/>
            </w:tcMar>
          </w:tcPr>
          <w:p w14:paraId="74CA8161">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施工现场保护零线的重复接地应不少于三处。</w:t>
            </w:r>
          </w:p>
        </w:tc>
      </w:tr>
      <w:tr w14:paraId="4BD06A81">
        <w:tblPrEx>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CellMar>
            <w:top w:w="0" w:type="dxa"/>
            <w:left w:w="10" w:type="dxa"/>
            <w:bottom w:w="0" w:type="dxa"/>
            <w:right w:w="10" w:type="dxa"/>
          </w:tblCellMar>
        </w:tblPrEx>
        <w:tc>
          <w:tcPr>
            <w:tcW w:w="1894" w:type="dxa"/>
            <w:vMerge w:val="continue"/>
            <w:tcBorders>
              <w:top w:val="single" w:color="auto" w:sz="4" w:space="0"/>
              <w:bottom w:val="single" w:color="auto" w:sz="4" w:space="0"/>
              <w:right w:val="single" w:color="auto" w:sz="4" w:space="0"/>
            </w:tcBorders>
            <w:tcMar>
              <w:top w:w="60" w:type="dxa"/>
              <w:left w:w="120" w:type="dxa"/>
              <w:bottom w:w="30" w:type="dxa"/>
              <w:right w:w="120" w:type="dxa"/>
            </w:tcMar>
          </w:tcPr>
          <w:p w14:paraId="6B4D9735">
            <w:pPr>
              <w:spacing w:before="120" w:after="120" w:line="360" w:lineRule="auto"/>
              <w:ind w:left="0"/>
              <w:jc w:val="both"/>
              <w:rPr>
                <w:rFonts w:hint="eastAsia" w:ascii="仿宋" w:hAnsi="仿宋" w:eastAsia="仿宋" w:cs="仿宋"/>
                <w:sz w:val="21"/>
                <w:szCs w:val="21"/>
                <w:highlight w:val="none"/>
              </w:rPr>
            </w:pPr>
          </w:p>
        </w:tc>
        <w:tc>
          <w:tcPr>
            <w:tcW w:w="22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FDC69E4">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通道口防护</w:t>
            </w:r>
          </w:p>
        </w:tc>
        <w:tc>
          <w:tcPr>
            <w:tcW w:w="5512" w:type="dxa"/>
            <w:tcBorders>
              <w:top w:val="single" w:color="auto" w:sz="4" w:space="0"/>
              <w:left w:val="single" w:color="auto" w:sz="4" w:space="0"/>
              <w:bottom w:val="single" w:color="auto" w:sz="4" w:space="0"/>
            </w:tcBorders>
            <w:tcMar>
              <w:top w:w="60" w:type="dxa"/>
              <w:left w:w="120" w:type="dxa"/>
              <w:bottom w:w="30" w:type="dxa"/>
              <w:right w:w="120" w:type="dxa"/>
            </w:tcMar>
          </w:tcPr>
          <w:p w14:paraId="5347E7F2">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设防护棚，防护棚应为不小于5cm厚的木板或两道相距50cm的竹笆。两侧应沿栏杆架用密目式安全网封闭。</w:t>
            </w:r>
          </w:p>
        </w:tc>
      </w:tr>
      <w:tr w14:paraId="10DC53FE">
        <w:tblPrEx>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CellMar>
            <w:top w:w="0" w:type="dxa"/>
            <w:left w:w="10" w:type="dxa"/>
            <w:bottom w:w="0" w:type="dxa"/>
            <w:right w:w="10" w:type="dxa"/>
          </w:tblCellMar>
        </w:tblPrEx>
        <w:tc>
          <w:tcPr>
            <w:tcW w:w="1894" w:type="dxa"/>
            <w:vMerge w:val="continue"/>
            <w:tcBorders>
              <w:top w:val="single" w:color="auto" w:sz="4" w:space="0"/>
              <w:bottom w:val="single" w:color="auto" w:sz="4" w:space="0"/>
              <w:right w:val="single" w:color="auto" w:sz="4" w:space="0"/>
            </w:tcBorders>
            <w:tcMar>
              <w:top w:w="60" w:type="dxa"/>
              <w:left w:w="120" w:type="dxa"/>
              <w:bottom w:w="30" w:type="dxa"/>
              <w:right w:w="120" w:type="dxa"/>
            </w:tcMar>
          </w:tcPr>
          <w:p w14:paraId="496832CA">
            <w:pPr>
              <w:spacing w:before="120" w:after="120" w:line="360" w:lineRule="auto"/>
              <w:ind w:left="0"/>
              <w:jc w:val="both"/>
              <w:rPr>
                <w:rFonts w:hint="eastAsia" w:ascii="仿宋" w:hAnsi="仿宋" w:eastAsia="仿宋" w:cs="仿宋"/>
                <w:sz w:val="21"/>
                <w:szCs w:val="21"/>
                <w:highlight w:val="none"/>
              </w:rPr>
            </w:pPr>
          </w:p>
        </w:tc>
        <w:tc>
          <w:tcPr>
            <w:tcW w:w="22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87959B6">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预留洞口防护</w:t>
            </w:r>
          </w:p>
        </w:tc>
        <w:tc>
          <w:tcPr>
            <w:tcW w:w="5512" w:type="dxa"/>
            <w:tcBorders>
              <w:top w:val="single" w:color="auto" w:sz="4" w:space="0"/>
              <w:left w:val="single" w:color="auto" w:sz="4" w:space="0"/>
              <w:bottom w:val="single" w:color="auto" w:sz="4" w:space="0"/>
            </w:tcBorders>
            <w:tcMar>
              <w:top w:w="60" w:type="dxa"/>
              <w:left w:w="120" w:type="dxa"/>
              <w:bottom w:w="30" w:type="dxa"/>
              <w:right w:w="120" w:type="dxa"/>
            </w:tcMar>
          </w:tcPr>
          <w:p w14:paraId="1B1A13E0">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用木板全封闭；短边超过1.5m长的洞口，除封闭外四周还应设有防护栏杆。</w:t>
            </w:r>
          </w:p>
        </w:tc>
      </w:tr>
      <w:tr w14:paraId="78F44D80">
        <w:tblPrEx>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CellMar>
            <w:top w:w="0" w:type="dxa"/>
            <w:left w:w="10" w:type="dxa"/>
            <w:bottom w:w="0" w:type="dxa"/>
            <w:right w:w="10" w:type="dxa"/>
          </w:tblCellMar>
        </w:tblPrEx>
        <w:tc>
          <w:tcPr>
            <w:tcW w:w="1894" w:type="dxa"/>
            <w:vMerge w:val="continue"/>
            <w:tcBorders>
              <w:top w:val="single" w:color="auto" w:sz="4" w:space="0"/>
              <w:bottom w:val="single" w:color="auto" w:sz="4" w:space="0"/>
              <w:right w:val="single" w:color="auto" w:sz="4" w:space="0"/>
            </w:tcBorders>
            <w:tcMar>
              <w:top w:w="60" w:type="dxa"/>
              <w:left w:w="120" w:type="dxa"/>
              <w:bottom w:w="30" w:type="dxa"/>
              <w:right w:w="120" w:type="dxa"/>
            </w:tcMar>
          </w:tcPr>
          <w:p w14:paraId="116B2CDC">
            <w:pPr>
              <w:spacing w:before="120" w:after="120" w:line="360" w:lineRule="auto"/>
              <w:ind w:left="0"/>
              <w:jc w:val="both"/>
              <w:rPr>
                <w:rFonts w:hint="eastAsia" w:ascii="仿宋" w:hAnsi="仿宋" w:eastAsia="仿宋" w:cs="仿宋"/>
                <w:sz w:val="21"/>
                <w:szCs w:val="21"/>
                <w:highlight w:val="none"/>
              </w:rPr>
            </w:pPr>
          </w:p>
        </w:tc>
        <w:tc>
          <w:tcPr>
            <w:tcW w:w="22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5A6AD5B">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高空作业防护</w:t>
            </w:r>
          </w:p>
        </w:tc>
        <w:tc>
          <w:tcPr>
            <w:tcW w:w="5512" w:type="dxa"/>
            <w:tcBorders>
              <w:top w:val="single" w:color="auto" w:sz="4" w:space="0"/>
              <w:left w:val="single" w:color="auto" w:sz="4" w:space="0"/>
              <w:bottom w:val="single" w:color="auto" w:sz="4" w:space="0"/>
            </w:tcBorders>
            <w:tcMar>
              <w:top w:w="60" w:type="dxa"/>
              <w:left w:w="120" w:type="dxa"/>
              <w:bottom w:w="30" w:type="dxa"/>
              <w:right w:w="120" w:type="dxa"/>
            </w:tcMar>
          </w:tcPr>
          <w:p w14:paraId="5AB8AC71">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有悬挂安全带的悬索或其他设施；有操作平台；有上下的梯子或其他形式的通道。</w:t>
            </w:r>
          </w:p>
        </w:tc>
      </w:tr>
      <w:tr w14:paraId="377041CB">
        <w:tblPrEx>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CellMar>
            <w:top w:w="0" w:type="dxa"/>
            <w:left w:w="10" w:type="dxa"/>
            <w:bottom w:w="0" w:type="dxa"/>
            <w:right w:w="10" w:type="dxa"/>
          </w:tblCellMar>
        </w:tblPrEx>
        <w:tc>
          <w:tcPr>
            <w:tcW w:w="1894" w:type="dxa"/>
            <w:vMerge w:val="continue"/>
            <w:tcBorders>
              <w:top w:val="single" w:color="auto" w:sz="4" w:space="0"/>
              <w:bottom w:val="single" w:color="auto" w:sz="4" w:space="0"/>
              <w:right w:val="single" w:color="auto" w:sz="4" w:space="0"/>
            </w:tcBorders>
            <w:tcMar>
              <w:top w:w="60" w:type="dxa"/>
              <w:left w:w="120" w:type="dxa"/>
              <w:bottom w:w="30" w:type="dxa"/>
              <w:right w:w="120" w:type="dxa"/>
            </w:tcMar>
          </w:tcPr>
          <w:p w14:paraId="0121D47B">
            <w:pPr>
              <w:spacing w:before="120" w:after="120" w:line="360" w:lineRule="auto"/>
              <w:ind w:left="0"/>
              <w:jc w:val="both"/>
              <w:rPr>
                <w:rFonts w:hint="eastAsia" w:ascii="仿宋" w:hAnsi="仿宋" w:eastAsia="仿宋" w:cs="仿宋"/>
                <w:sz w:val="21"/>
                <w:szCs w:val="21"/>
                <w:highlight w:val="none"/>
              </w:rPr>
            </w:pPr>
          </w:p>
        </w:tc>
        <w:tc>
          <w:tcPr>
            <w:tcW w:w="22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1F24C222">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作业层护栏</w:t>
            </w:r>
          </w:p>
        </w:tc>
        <w:tc>
          <w:tcPr>
            <w:tcW w:w="5512" w:type="dxa"/>
            <w:tcBorders>
              <w:top w:val="single" w:color="auto" w:sz="4" w:space="0"/>
              <w:left w:val="single" w:color="auto" w:sz="4" w:space="0"/>
              <w:bottom w:val="single" w:color="auto" w:sz="4" w:space="0"/>
            </w:tcBorders>
            <w:tcMar>
              <w:top w:w="60" w:type="dxa"/>
              <w:left w:w="120" w:type="dxa"/>
              <w:bottom w:w="30" w:type="dxa"/>
              <w:right w:w="120" w:type="dxa"/>
            </w:tcMar>
          </w:tcPr>
          <w:p w14:paraId="493CA6FE">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作业层还需在护栏内侧加设一道小孔安全网。</w:t>
            </w:r>
          </w:p>
        </w:tc>
      </w:tr>
      <w:tr w14:paraId="0EA4E2F3">
        <w:tblPrEx>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CellMar>
            <w:top w:w="0" w:type="dxa"/>
            <w:left w:w="10" w:type="dxa"/>
            <w:bottom w:w="0" w:type="dxa"/>
            <w:right w:w="10" w:type="dxa"/>
          </w:tblCellMar>
        </w:tblPrEx>
        <w:tc>
          <w:tcPr>
            <w:tcW w:w="1894" w:type="dxa"/>
            <w:vMerge w:val="continue"/>
            <w:tcBorders>
              <w:top w:val="single" w:color="auto" w:sz="4" w:space="0"/>
              <w:bottom w:val="single" w:color="auto" w:sz="4" w:space="0"/>
              <w:right w:val="single" w:color="auto" w:sz="4" w:space="0"/>
            </w:tcBorders>
            <w:tcMar>
              <w:top w:w="60" w:type="dxa"/>
              <w:left w:w="120" w:type="dxa"/>
              <w:bottom w:w="30" w:type="dxa"/>
              <w:right w:w="120" w:type="dxa"/>
            </w:tcMar>
          </w:tcPr>
          <w:p w14:paraId="47C42A03">
            <w:pPr>
              <w:spacing w:before="120" w:after="120" w:line="360" w:lineRule="auto"/>
              <w:ind w:left="0"/>
              <w:jc w:val="both"/>
              <w:rPr>
                <w:rFonts w:hint="eastAsia" w:ascii="仿宋" w:hAnsi="仿宋" w:eastAsia="仿宋" w:cs="仿宋"/>
                <w:sz w:val="21"/>
                <w:szCs w:val="21"/>
                <w:highlight w:val="none"/>
              </w:rPr>
            </w:pPr>
          </w:p>
        </w:tc>
        <w:tc>
          <w:tcPr>
            <w:tcW w:w="225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1D482E1">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临边防护</w:t>
            </w:r>
          </w:p>
        </w:tc>
        <w:tc>
          <w:tcPr>
            <w:tcW w:w="5512" w:type="dxa"/>
            <w:tcBorders>
              <w:top w:val="single" w:color="auto" w:sz="4" w:space="0"/>
              <w:left w:val="single" w:color="auto" w:sz="4" w:space="0"/>
              <w:bottom w:val="single" w:color="auto" w:sz="4" w:space="0"/>
            </w:tcBorders>
            <w:tcMar>
              <w:top w:w="60" w:type="dxa"/>
              <w:left w:w="120" w:type="dxa"/>
              <w:bottom w:w="30" w:type="dxa"/>
              <w:right w:w="120" w:type="dxa"/>
            </w:tcMar>
          </w:tcPr>
          <w:p w14:paraId="332195D0">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外侧临街道时，除设计护栏、满挂密目网全封闭处理外，内侧还需加挂小孔安全网加强防护；挂架、爬架、悬挑架除用密目网全封闭处理外，内侧还需满加挂设小孔安全网防护。</w:t>
            </w:r>
          </w:p>
        </w:tc>
      </w:tr>
      <w:tr w14:paraId="27105401">
        <w:tblPrEx>
          <w:tblBorders>
            <w:top w:val="single" w:color="auto" w:sz="4" w:space="0"/>
            <w:left w:val="single" w:color="auto" w:sz="4" w:space="0"/>
            <w:bottom w:val="single" w:color="auto" w:sz="4" w:space="0"/>
            <w:right w:val="single" w:color="auto" w:sz="4" w:space="0"/>
            <w:insideH w:val="single" w:color="DEE0E3" w:sz="0" w:space="0"/>
            <w:insideV w:val="single" w:color="DEE0E3" w:sz="0" w:space="0"/>
          </w:tblBorders>
          <w:tblCellMar>
            <w:top w:w="0" w:type="dxa"/>
            <w:left w:w="10" w:type="dxa"/>
            <w:bottom w:w="0" w:type="dxa"/>
            <w:right w:w="10" w:type="dxa"/>
          </w:tblCellMar>
        </w:tblPrEx>
        <w:tc>
          <w:tcPr>
            <w:tcW w:w="1894" w:type="dxa"/>
            <w:tcBorders>
              <w:top w:val="single" w:color="auto" w:sz="4" w:space="0"/>
              <w:right w:val="single" w:color="auto" w:sz="4" w:space="0"/>
            </w:tcBorders>
            <w:tcMar>
              <w:top w:w="60" w:type="dxa"/>
              <w:left w:w="120" w:type="dxa"/>
              <w:bottom w:w="30" w:type="dxa"/>
              <w:right w:w="120" w:type="dxa"/>
            </w:tcMar>
          </w:tcPr>
          <w:p w14:paraId="271FD28F">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基坑支护</w:t>
            </w:r>
          </w:p>
        </w:tc>
        <w:tc>
          <w:tcPr>
            <w:tcW w:w="2259" w:type="dxa"/>
            <w:tcBorders>
              <w:top w:val="single" w:color="auto" w:sz="4" w:space="0"/>
              <w:left w:val="single" w:color="auto" w:sz="4" w:space="0"/>
              <w:right w:val="single" w:color="auto" w:sz="4" w:space="0"/>
            </w:tcBorders>
            <w:tcMar>
              <w:top w:w="60" w:type="dxa"/>
              <w:left w:w="120" w:type="dxa"/>
              <w:bottom w:w="30" w:type="dxa"/>
              <w:right w:w="120" w:type="dxa"/>
            </w:tcMar>
          </w:tcPr>
          <w:p w14:paraId="57FEB2FB">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基坑支护</w:t>
            </w:r>
          </w:p>
        </w:tc>
        <w:tc>
          <w:tcPr>
            <w:tcW w:w="5512" w:type="dxa"/>
            <w:tcBorders>
              <w:top w:val="single" w:color="auto" w:sz="4" w:space="0"/>
              <w:left w:val="single" w:color="auto" w:sz="4" w:space="0"/>
            </w:tcBorders>
            <w:tcMar>
              <w:top w:w="60" w:type="dxa"/>
              <w:left w:w="120" w:type="dxa"/>
              <w:bottom w:w="30" w:type="dxa"/>
              <w:right w:w="120" w:type="dxa"/>
            </w:tcMar>
          </w:tcPr>
          <w:p w14:paraId="2309BAD2">
            <w:pPr>
              <w:spacing w:before="120" w:after="120" w:line="360" w:lineRule="auto"/>
              <w:ind w:left="0"/>
              <w:jc w:val="both"/>
              <w:rPr>
                <w:rFonts w:hint="eastAsia" w:ascii="仿宋" w:hAnsi="仿宋" w:eastAsia="仿宋" w:cs="仿宋"/>
                <w:sz w:val="21"/>
                <w:szCs w:val="21"/>
                <w:highlight w:val="none"/>
              </w:rPr>
            </w:pPr>
            <w:r>
              <w:rPr>
                <w:rFonts w:hint="eastAsia" w:ascii="仿宋" w:hAnsi="仿宋" w:eastAsia="仿宋" w:cs="仿宋"/>
                <w:sz w:val="21"/>
                <w:szCs w:val="21"/>
                <w:highlight w:val="none"/>
              </w:rPr>
              <w:t>基坑支护应根据支护结构形式、挖深、地质条件、周围环境、地面载荷等制定边坡支护和临边防护实施方案。</w:t>
            </w:r>
          </w:p>
        </w:tc>
      </w:tr>
    </w:tbl>
    <w:p w14:paraId="7AC787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A52A7F"/>
    <w:rsid w:val="5FE01E53"/>
    <w:rsid w:val="67A52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9364</Words>
  <Characters>9602</Characters>
  <Lines>0</Lines>
  <Paragraphs>0</Paragraphs>
  <TotalTime>0</TotalTime>
  <ScaleCrop>false</ScaleCrop>
  <LinksUpToDate>false</LinksUpToDate>
  <CharactersWithSpaces>9905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2026-05-14T06:03:00Z</dcterms:created>
  <dc:creator>admin</dc:creator>
  <cp:lastModifiedBy>admin</cp:lastModifiedBy>
  <dcterms:modified xsi:type="dcterms:W3CDTF">2026-05-14T08:45:47Z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EE42DA503B994CA5B963AD0B950788CF_11</vt:lpwstr>
  </property>
  <property fmtid="{D5CDD505-2E9C-101B-9397-08002B2CF9AE}" pid="4" name="KSOTemplateDocerSaveRecord">
    <vt:lpwstr>eyJoZGlkIjoiMDRjOTQzZTdhZjdiNGYyM2NmMjFiZGIxOWY4ODgxMjkiLCJ1c2VySWQiOiIyMzI0Njk3NzUifQ==</vt:lpwstr>
  </property>
</Properties>
</file>