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E99C2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562" w:firstLineChars="200"/>
        <w:jc w:val="center"/>
        <w:rPr>
          <w:rFonts w:hint="eastAsia" w:ascii="宋体" w:hAnsi="宋体" w:eastAsia="宋体" w:cs="宋体"/>
          <w:b/>
          <w:bCs w:val="0"/>
          <w:snapToGrid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napToGrid/>
          <w:color w:val="auto"/>
          <w:kern w:val="2"/>
          <w:sz w:val="28"/>
          <w:szCs w:val="28"/>
          <w:highlight w:val="none"/>
          <w:lang w:val="en-US" w:eastAsia="zh-CN"/>
        </w:rPr>
        <w:t>采购需求</w:t>
      </w:r>
    </w:p>
    <w:p w14:paraId="07BF2B8D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default" w:ascii="宋体" w:hAnsi="宋体" w:eastAsia="宋体" w:cs="宋体"/>
          <w:b/>
          <w:bCs w:val="0"/>
          <w:snapToGrid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napToGrid/>
          <w:color w:val="auto"/>
          <w:kern w:val="2"/>
          <w:sz w:val="21"/>
          <w:szCs w:val="21"/>
          <w:highlight w:val="none"/>
          <w:lang w:val="en-US" w:eastAsia="zh-CN"/>
        </w:rPr>
        <w:t>一、项目内容概况</w:t>
      </w:r>
    </w:p>
    <w:p w14:paraId="41599132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highlight w:val="none"/>
          <w:lang w:val="en-US" w:eastAsia="zh-CN"/>
        </w:rPr>
        <w:t>本项目为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highlight w:val="none"/>
          <w:lang w:eastAsia="zh-CN"/>
        </w:rPr>
        <w:t>西安市长安区人民法院档案托管项目，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highlight w:val="none"/>
          <w:lang w:val="en-US" w:eastAsia="zh-CN"/>
        </w:rPr>
        <w:t>主要包含法院档案交接、入库盘点、档案保管、日常巡检、调阅服务、出库核验等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highlight w:val="none"/>
          <w:lang w:eastAsia="zh-CN"/>
        </w:rPr>
        <w:t>。</w:t>
      </w:r>
    </w:p>
    <w:p w14:paraId="7CF55057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 w:val="0"/>
          <w:snapToGrid/>
          <w:color w:val="auto"/>
          <w:kern w:val="2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 w:val="0"/>
          <w:snapToGrid/>
          <w:color w:val="auto"/>
          <w:kern w:val="2"/>
          <w:sz w:val="21"/>
          <w:szCs w:val="21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 w:val="0"/>
          <w:snapToGrid/>
          <w:color w:val="auto"/>
          <w:kern w:val="2"/>
          <w:sz w:val="21"/>
          <w:szCs w:val="21"/>
          <w:highlight w:val="none"/>
          <w:lang w:eastAsia="zh-CN"/>
        </w:rPr>
        <w:t>服务内容与要求</w:t>
      </w:r>
    </w:p>
    <w:p w14:paraId="1F1BC5F9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highlight w:val="none"/>
          <w:lang w:eastAsia="zh-CN"/>
        </w:rPr>
        <w:t>档案寄存要求：</w:t>
      </w:r>
    </w:p>
    <w:p w14:paraId="51E71969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1.1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执行标准文件</w:t>
      </w:r>
    </w:p>
    <w:p w14:paraId="633171D1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参照执行的标准文件（包含但不限于）：《档案馆温湿度管理暂行规定》《档案虫霉防治一般规则》《中华人民共和国消防法》。</w:t>
      </w:r>
    </w:p>
    <w:p w14:paraId="43A61680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1.2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库房环境要求</w:t>
      </w:r>
    </w:p>
    <w:p w14:paraId="68785463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（1）库房温度全年符合要求；</w:t>
      </w:r>
    </w:p>
    <w:p w14:paraId="103E3F89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（2）密闭：库房的门窗采取相应措施，在门窗框上嵌橡皮条、绒布条等填塞物；玻璃四周嵌油灰、双层窗；安装防光窗帘；</w:t>
      </w:r>
    </w:p>
    <w:p w14:paraId="00884FBD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（3）通风：根据室外相对湿度变化规律适时地进行通风；</w:t>
      </w:r>
    </w:p>
    <w:p w14:paraId="75412182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（4）控温：安装有风扇和空调，调节库房内温度均匀，方便且安全有效。使档案库温度保持在14—24℃之间；</w:t>
      </w:r>
    </w:p>
    <w:p w14:paraId="4BE543B6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（5）除湿：鉴于档案的特点，供应商需提供相应的除湿工作。</w:t>
      </w:r>
    </w:p>
    <w:p w14:paraId="354E2B18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1.3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虫（鼠）霉的防护要求</w:t>
      </w:r>
    </w:p>
    <w:p w14:paraId="789EF0AE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每周进行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次库房内、库房外的清洁卫生。库房门口安装防鼠板，库房内不准堆放任何杂物。</w:t>
      </w:r>
    </w:p>
    <w:p w14:paraId="3CF0BFAB">
      <w:pPr>
        <w:keepNext w:val="0"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发现虫害应及时处理。必须立即对库存档案进行清查，确认发生虫害的种类、程度及分布，采取有效措施杀虫。对于那些已确认有虫害的档案，应立即加以隔离处理，防止虫害大面积扩散。</w:t>
      </w:r>
    </w:p>
    <w:p w14:paraId="11666CD0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1.4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防水(潮)要求</w:t>
      </w:r>
    </w:p>
    <w:p w14:paraId="2D8CDF10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档案库房顶设计合理的通畅渠道和管路走水，应实施双层卷材的渗水防漏处理，每年春季进行检查和养护。为防止潮气由墙体渗入档案库，外墙定期实施防水涂料的防潮层刮涂处理。</w:t>
      </w:r>
    </w:p>
    <w:p w14:paraId="5CCE2038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1.5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防尘要求</w:t>
      </w:r>
    </w:p>
    <w:p w14:paraId="1AA660D6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档案盒装入档案专用档案箱，档案得到双层防尘保护。</w:t>
      </w:r>
    </w:p>
    <w:p w14:paraId="2C048091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1.6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防火要求</w:t>
      </w:r>
    </w:p>
    <w:p w14:paraId="721B69D8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（1）专业货架内无电源、热源，具有防火功能；</w:t>
      </w:r>
    </w:p>
    <w:p w14:paraId="28F48B30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（2）库房电线全部经过走线钢管，无电线在外，并且安装电线漏电断电装置，最大防止因电线、电路引起的起火隐患；各种电气设备应定期检查，如发现电线绝缘有破坏、漏电和其他故障应立即修理；</w:t>
      </w:r>
    </w:p>
    <w:p w14:paraId="5873071B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（3）库房明令禁止烟火；严禁在库房内放置易燃、易爆或其他危险物品；</w:t>
      </w:r>
    </w:p>
    <w:p w14:paraId="223AEF79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（4）定期组织防火检查，及时消除火灾隐患；</w:t>
      </w:r>
    </w:p>
    <w:p w14:paraId="7CFFD68B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（5）按照国家有关规定配置消防设施和器材、设置消防安全标志，并定期组织检验、维修，确保消防设施和器材完好、有效；</w:t>
      </w:r>
    </w:p>
    <w:p w14:paraId="3390890C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（6）保障疏散通道、安全出口畅通，并设置符合国家规定的消防安全疏散标志；</w:t>
      </w:r>
    </w:p>
    <w:p w14:paraId="57E9092D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1.7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防盗要求</w:t>
      </w:r>
    </w:p>
    <w:p w14:paraId="6EAB1F9A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装有防盗门，窗户为双窗并加装防盗网。</w:t>
      </w:r>
    </w:p>
    <w:p w14:paraId="2D4A0758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1.8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防光要求</w:t>
      </w:r>
    </w:p>
    <w:p w14:paraId="019A2D84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（1）减少阳光危害。档案库房设置的窗户少、基本不见自然光，双层加装防光窗帘；</w:t>
      </w:r>
    </w:p>
    <w:p w14:paraId="46F7C903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（2）档案盒和档案保管箱双层防光；</w:t>
      </w:r>
    </w:p>
    <w:p w14:paraId="38E1D12D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（3）选择合适的照明光源。库内照明光源选用防爆白炽灯；</w:t>
      </w:r>
    </w:p>
    <w:p w14:paraId="738FFF52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（4）合理确定库房照度标准。档案库房照度确定保持在能够看清的水平，定为50勒（克司）左右。</w:t>
      </w:r>
    </w:p>
    <w:p w14:paraId="65B2A1C2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eastAsia="zh-CN"/>
        </w:rPr>
        <w:t>2.保密档案寄存要求：</w:t>
      </w:r>
    </w:p>
    <w:p w14:paraId="095E3CB1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2.1.保密档案必须严格履行审批、清点、登记、签收等手续；</w:t>
      </w:r>
    </w:p>
    <w:p w14:paraId="75904AEF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2.2.保密档案必须实行专人保管，专册登记，专柜存放，个人不得私自保存涉密文件资料，阅办保密档案必须在办公室或者安全保密的场所进行；</w:t>
      </w:r>
    </w:p>
    <w:p w14:paraId="04E0B7E7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2.3.保密档案不经甲方同意，不得自行扩大阅读范围，不得自行复印、翻印或转载，不得向规定范围以外的人员泄露；</w:t>
      </w:r>
    </w:p>
    <w:p w14:paraId="53611564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eastAsia="zh-CN"/>
        </w:rPr>
        <w:t>2.4.保密档案确因工作需要携带外出调档的，需采取相应的保密措施。不准在公共场所停留、游览、购物、探亲访友等，送至甲方单位需交由专人保管，返回单位后要及时交保密员保管，确保秘密安全。</w:t>
      </w:r>
    </w:p>
    <w:p w14:paraId="390F0634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  <w:t>3.供应商取送档案响应要求</w:t>
      </w:r>
    </w:p>
    <w:p w14:paraId="055E5D39">
      <w:pPr>
        <w:pStyle w:val="5"/>
        <w:widowControl w:val="0"/>
        <w:numPr>
          <w:ilvl w:val="0"/>
          <w:numId w:val="0"/>
        </w:numPr>
        <w:spacing w:line="360" w:lineRule="auto"/>
        <w:ind w:left="0" w:leftChars="0" w:firstLine="420" w:firstLineChars="200"/>
        <w:jc w:val="both"/>
        <w:rPr>
          <w:rFonts w:hint="default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snapToGrid/>
          <w:color w:val="auto"/>
          <w:kern w:val="2"/>
          <w:sz w:val="21"/>
          <w:szCs w:val="21"/>
          <w:lang w:val="en-US" w:eastAsia="zh-CN" w:bidi="ar-SA"/>
        </w:rPr>
        <w:t>3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>.1供应商需到采购人处取送档案每周两次；</w:t>
      </w:r>
    </w:p>
    <w:p w14:paraId="3D508406">
      <w:pPr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0" w:firstLineChars="200"/>
        <w:rPr>
          <w:rFonts w:hint="default" w:ascii="宋体" w:hAnsi="宋体" w:eastAsia="宋体" w:cs="宋体"/>
          <w:b/>
          <w:bCs/>
          <w:snapToGrid/>
          <w:color w:val="auto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 xml:space="preserve">3.2 </w:t>
      </w:r>
      <w:r>
        <w:rPr>
          <w:rFonts w:hint="default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>加急档案取送收到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>采购人通知</w:t>
      </w:r>
      <w:r>
        <w:rPr>
          <w:rFonts w:hint="default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>后1天内送到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>。</w:t>
      </w:r>
    </w:p>
    <w:p w14:paraId="69A3E1D6">
      <w:pPr>
        <w:pStyle w:val="5"/>
        <w:keepNext w:val="0"/>
        <w:keepLines/>
        <w:pageBreakBefore w:val="0"/>
        <w:widowControl/>
        <w:wordWrap/>
        <w:overflowPunct/>
        <w:topLinePunct w:val="0"/>
        <w:bidi w:val="0"/>
        <w:spacing w:line="360" w:lineRule="auto"/>
        <w:ind w:firstLine="422" w:firstLineChars="200"/>
        <w:jc w:val="both"/>
        <w:rPr>
          <w:rFonts w:hint="eastAsia" w:ascii="宋体" w:hAnsi="宋体" w:cs="宋体"/>
          <w:b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color w:val="auto"/>
          <w:sz w:val="21"/>
          <w:szCs w:val="21"/>
          <w:lang w:val="en-US" w:eastAsia="zh-CN"/>
        </w:rPr>
        <w:t>三、商务要求</w:t>
      </w:r>
    </w:p>
    <w:p w14:paraId="547114DF">
      <w:pPr>
        <w:pStyle w:val="5"/>
        <w:keepNext w:val="0"/>
        <w:keepLines/>
        <w:pageBreakBefore w:val="0"/>
        <w:widowControl/>
        <w:numPr>
          <w:ilvl w:val="0"/>
          <w:numId w:val="0"/>
        </w:numPr>
        <w:wordWrap/>
        <w:overflowPunct/>
        <w:topLinePunct w:val="0"/>
        <w:bidi w:val="0"/>
        <w:spacing w:line="360" w:lineRule="auto"/>
        <w:ind w:firstLine="420" w:firstLineChars="200"/>
        <w:jc w:val="both"/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snapToGrid/>
          <w:color w:val="auto"/>
          <w:kern w:val="2"/>
          <w:sz w:val="21"/>
          <w:szCs w:val="21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>单价限价：50元/箱/年。（本项目报单价进行评审和最终结算。）</w:t>
      </w:r>
    </w:p>
    <w:p w14:paraId="087BF3DE">
      <w:pPr>
        <w:pStyle w:val="5"/>
        <w:keepNext w:val="0"/>
        <w:keepLines/>
        <w:pageBreakBefore w:val="0"/>
        <w:widowControl/>
        <w:numPr>
          <w:ilvl w:val="0"/>
          <w:numId w:val="0"/>
        </w:numPr>
        <w:wordWrap/>
        <w:overflowPunct/>
        <w:topLinePunct w:val="0"/>
        <w:bidi w:val="0"/>
        <w:spacing w:line="360" w:lineRule="auto"/>
        <w:ind w:firstLine="420" w:firstLineChars="200"/>
        <w:jc w:val="both"/>
        <w:rPr>
          <w:rFonts w:hint="default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1"/>
          <w:szCs w:val="21"/>
          <w:lang w:val="en-US" w:eastAsia="zh-CN" w:bidi="ar-SA"/>
        </w:rPr>
        <w:t>2.装箱要求：箱子尺寸为43cmX33cmX25cm，整箱装满为止。</w:t>
      </w:r>
    </w:p>
    <w:p w14:paraId="0FC78612">
      <w:pPr>
        <w:pStyle w:val="5"/>
        <w:widowControl w:val="0"/>
        <w:spacing w:line="360" w:lineRule="auto"/>
        <w:ind w:firstLine="422" w:firstLineChars="20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、服务、产品（如有）执行的标准、规范：</w:t>
      </w:r>
    </w:p>
    <w:p w14:paraId="6F6561B8">
      <w:pPr>
        <w:pStyle w:val="5"/>
        <w:widowControl w:val="0"/>
        <w:spacing w:line="360" w:lineRule="auto"/>
        <w:ind w:firstLine="35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（1）国家标准、规范/；</w:t>
      </w:r>
    </w:p>
    <w:p w14:paraId="1C8E2004">
      <w:pPr>
        <w:pStyle w:val="5"/>
        <w:widowControl w:val="0"/>
        <w:spacing w:line="360" w:lineRule="auto"/>
        <w:ind w:firstLine="35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（2）行业标准、规范/；</w:t>
      </w:r>
      <w:bookmarkStart w:id="0" w:name="_GoBack"/>
      <w:bookmarkEnd w:id="0"/>
    </w:p>
    <w:p w14:paraId="57762F88">
      <w:pPr>
        <w:pStyle w:val="5"/>
        <w:widowControl w:val="0"/>
        <w:spacing w:line="360" w:lineRule="auto"/>
        <w:ind w:firstLine="35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（3）地方标准、规范/；</w:t>
      </w:r>
    </w:p>
    <w:p w14:paraId="29E19653">
      <w:pPr>
        <w:pStyle w:val="5"/>
        <w:widowControl w:val="0"/>
        <w:spacing w:line="360" w:lineRule="auto"/>
        <w:ind w:firstLine="35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（4）团体标准、规范/；</w:t>
      </w:r>
    </w:p>
    <w:p w14:paraId="396E2678">
      <w:pPr>
        <w:pStyle w:val="5"/>
        <w:widowControl w:val="0"/>
        <w:spacing w:line="360" w:lineRule="auto"/>
        <w:ind w:firstLine="35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（5）企业标准、规范/。</w:t>
      </w:r>
    </w:p>
    <w:p w14:paraId="5DDD59C5">
      <w:pPr>
        <w:pStyle w:val="5"/>
        <w:widowControl w:val="0"/>
        <w:spacing w:line="360" w:lineRule="auto"/>
        <w:ind w:firstLine="422" w:firstLineChars="200"/>
        <w:jc w:val="both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、本章第</w:t>
      </w: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条款未明确服务（产品）执行标准、规范的，按下列方法进行选择：</w:t>
      </w:r>
    </w:p>
    <w:p w14:paraId="4B81ECAB">
      <w:pPr>
        <w:pStyle w:val="5"/>
        <w:widowControl w:val="0"/>
        <w:spacing w:line="360" w:lineRule="auto"/>
        <w:ind w:firstLine="35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□顺序执行： 国家标准→行业标准→地方标准→ 团体标准→企业 标 准（有国家标准按国家标准执行，没有国家标准按行业标准， 以此类推）；</w:t>
      </w:r>
    </w:p>
    <w:p w14:paraId="7DF3F6A9">
      <w:pPr>
        <w:pStyle w:val="5"/>
        <w:widowControl w:val="0"/>
        <w:spacing w:line="360" w:lineRule="auto"/>
        <w:ind w:firstLine="350"/>
        <w:jc w:val="both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□最高标准执行：国家标准，行业标准，地方标准，团体标准，企业标准（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哪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个标准高执行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哪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个标准）</w:t>
      </w:r>
    </w:p>
    <w:p w14:paraId="2518662A"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☑必须执行：国家（行业）强制性标准。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846CCE"/>
    <w:rsid w:val="75C1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752</Words>
  <Characters>767</Characters>
  <Lines>0</Lines>
  <Paragraphs>0</Paragraphs>
  <TotalTime>0</TotalTime>
  <ScaleCrop>false</ScaleCrop>
  <LinksUpToDate>false</LinksUpToDate>
  <CharactersWithSpaces>773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2026-10-30T11:01:00Z</dcterms:created>
  <dc:creator>LX</dc:creator>
  <cp:lastModifiedBy>哆啦A梦</cp:lastModifiedBy>
  <dcterms:modified xsi:type="dcterms:W3CDTF">2026-11-02T01:32:27Z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eyJoZGlkIjoiZjFhMjllM2U1MDBhZGU3NjVlNmFlNWU2YjFmZTUwZDQiLCJ1c2VySWQiOiIzMDU5ODIxMzEifQ==</vt:lpwstr>
  </property>
  <property fmtid="{D5CDD505-2E9C-101B-9397-08002B2CF9AE}" pid="4" name="ICV">
    <vt:lpwstr>1D1A5CFB8D4D466F81944821200CC0A6_12</vt:lpwstr>
  </property>
</Properties>
</file>